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63F5" w:rsidRPr="00290F9B" w:rsidRDefault="004C2D7F" w:rsidP="004C2D7F">
      <w:pPr>
        <w:jc w:val="center"/>
        <w:rPr>
          <w:rFonts w:ascii="Times New Roman" w:hAnsi="Times New Roman" w:cs="Times New Roman"/>
          <w:b/>
          <w:sz w:val="28"/>
          <w:lang w:val="fr-CA"/>
        </w:rPr>
      </w:pPr>
      <w:r w:rsidRPr="00290F9B">
        <w:rPr>
          <w:rFonts w:ascii="Times New Roman" w:hAnsi="Times New Roman" w:cs="Times New Roman"/>
          <w:b/>
          <w:sz w:val="28"/>
          <w:lang w:val="fr-CA"/>
        </w:rPr>
        <w:t>Key ratios</w:t>
      </w:r>
      <w:r w:rsidR="002F0614" w:rsidRPr="00290F9B">
        <w:rPr>
          <w:rFonts w:ascii="Times New Roman" w:hAnsi="Times New Roman" w:cs="Times New Roman"/>
          <w:b/>
          <w:sz w:val="28"/>
          <w:lang w:val="fr-CA"/>
        </w:rPr>
        <w:t xml:space="preserve"> and Formulas</w:t>
      </w:r>
    </w:p>
    <w:p w:rsidR="004C2D7F" w:rsidRPr="004C2D7F" w:rsidRDefault="004C2D7F" w:rsidP="004C2D7F">
      <w:pPr>
        <w:rPr>
          <w:rFonts w:ascii="Times New Roman" w:hAnsi="Times New Roman" w:cs="Times New Roman"/>
          <w:sz w:val="24"/>
        </w:rPr>
      </w:pPr>
      <w:r w:rsidRPr="004C2D7F">
        <w:rPr>
          <w:rFonts w:ascii="Times New Roman" w:hAnsi="Times New Roman" w:cs="Times New Roman"/>
          <w:b/>
          <w:sz w:val="24"/>
        </w:rPr>
        <w:t xml:space="preserve">Fixed Asset Turnover </w:t>
      </w:r>
      <w:r>
        <w:rPr>
          <w:rFonts w:ascii="Times New Roman" w:hAnsi="Times New Roman" w:cs="Times New Roman"/>
          <w:b/>
          <w:sz w:val="24"/>
        </w:rPr>
        <w:t>Ratio =</w:t>
      </w:r>
      <w:r w:rsidRPr="004C2D7F">
        <w:rPr>
          <w:rFonts w:ascii="Times New Roman" w:hAnsi="Times New Roman" w:cs="Times New Roman"/>
          <w:sz w:val="24"/>
        </w:rPr>
        <w:t xml:space="preserve"> Net Sales (or operating revenues)/Average Net Fixed Assets</w:t>
      </w:r>
    </w:p>
    <w:p w:rsidR="004C2D7F" w:rsidRDefault="004C2D7F" w:rsidP="004C2D7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-Average Net Fixed Assets: [Beginning + Ending Balance of Property, Plant and Equipment (net of accumulated depreciation)]/2</w:t>
      </w:r>
    </w:p>
    <w:p w:rsidR="004C2D7F" w:rsidRDefault="004C2D7F" w:rsidP="004C2D7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-How many sales dollars can 1 dollar of fixed assets produce.</w:t>
      </w:r>
    </w:p>
    <w:p w:rsidR="004C2D7F" w:rsidRDefault="004C2D7F" w:rsidP="004C2D7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-High ratio = good management!</w:t>
      </w:r>
    </w:p>
    <w:p w:rsidR="004C2D7F" w:rsidRDefault="004C2D7F" w:rsidP="004C2D7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-Increasing ratio = more efficient use of fixed assets.</w:t>
      </w:r>
    </w:p>
    <w:p w:rsidR="004C2D7F" w:rsidRDefault="004C2D7F" w:rsidP="004C2D7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-A ratio that allows creditors to know if a company is good at generating sales from its fixed assets.</w:t>
      </w:r>
    </w:p>
    <w:p w:rsidR="004C2D7F" w:rsidRDefault="004C2D7F" w:rsidP="004C2D7F">
      <w:pPr>
        <w:rPr>
          <w:rFonts w:ascii="Times New Roman" w:hAnsi="Times New Roman" w:cs="Times New Roman"/>
          <w:sz w:val="24"/>
        </w:rPr>
      </w:pPr>
    </w:p>
    <w:p w:rsidR="004C2D7F" w:rsidRDefault="004C2D7F" w:rsidP="004C2D7F">
      <w:pPr>
        <w:rPr>
          <w:rFonts w:ascii="Times New Roman" w:hAnsi="Times New Roman" w:cs="Times New Roman"/>
          <w:sz w:val="24"/>
        </w:rPr>
      </w:pPr>
      <w:r w:rsidRPr="002F0614">
        <w:rPr>
          <w:rFonts w:ascii="Times New Roman" w:hAnsi="Times New Roman" w:cs="Times New Roman"/>
          <w:b/>
          <w:sz w:val="24"/>
        </w:rPr>
        <w:t>Quick Ratio</w:t>
      </w:r>
      <w:r>
        <w:rPr>
          <w:rFonts w:ascii="Times New Roman" w:hAnsi="Times New Roman" w:cs="Times New Roman"/>
          <w:sz w:val="24"/>
        </w:rPr>
        <w:t xml:space="preserve"> = </w:t>
      </w:r>
      <w:r w:rsidR="002F0614">
        <w:rPr>
          <w:rFonts w:ascii="Times New Roman" w:hAnsi="Times New Roman" w:cs="Times New Roman"/>
          <w:sz w:val="24"/>
        </w:rPr>
        <w:t>Quick Assets/Current Liabilities</w:t>
      </w:r>
    </w:p>
    <w:p w:rsidR="002F0614" w:rsidRDefault="002F0614" w:rsidP="004C2D7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-Quick Asset: Cash, short-term investments, net receivables</w:t>
      </w:r>
    </w:p>
    <w:p w:rsidR="002F0614" w:rsidRDefault="002F0614" w:rsidP="004C2D7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-High ratio indicates good liquidity.</w:t>
      </w:r>
    </w:p>
    <w:p w:rsidR="002F0614" w:rsidRDefault="002F0614" w:rsidP="004C2D7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-Too high of a ratio = inefficient use of resources.</w:t>
      </w:r>
    </w:p>
    <w:p w:rsidR="002F0614" w:rsidRPr="002F0614" w:rsidRDefault="002F0614" w:rsidP="004C2D7F">
      <w:pPr>
        <w:rPr>
          <w:rFonts w:ascii="Times New Roman" w:hAnsi="Times New Roman" w:cs="Times New Roman"/>
          <w:b/>
          <w:sz w:val="24"/>
        </w:rPr>
      </w:pPr>
    </w:p>
    <w:p w:rsidR="002F0614" w:rsidRDefault="002F0614" w:rsidP="004C2D7F">
      <w:pPr>
        <w:rPr>
          <w:rFonts w:ascii="Times New Roman" w:hAnsi="Times New Roman" w:cs="Times New Roman"/>
          <w:sz w:val="24"/>
        </w:rPr>
      </w:pPr>
      <w:r w:rsidRPr="002F0614">
        <w:rPr>
          <w:rFonts w:ascii="Times New Roman" w:hAnsi="Times New Roman" w:cs="Times New Roman"/>
          <w:b/>
          <w:sz w:val="24"/>
        </w:rPr>
        <w:t>Trade Payables Turnover Ratio</w:t>
      </w:r>
      <w:r>
        <w:rPr>
          <w:rFonts w:ascii="Times New Roman" w:hAnsi="Times New Roman" w:cs="Times New Roman"/>
          <w:sz w:val="24"/>
        </w:rPr>
        <w:t xml:space="preserve"> = Cost of Sales/Average Net Trade Payables</w:t>
      </w:r>
    </w:p>
    <w:p w:rsidR="002F0614" w:rsidRDefault="002F0614" w:rsidP="004C2D7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-How quickly is management paying trade creditors.</w:t>
      </w:r>
    </w:p>
    <w:p w:rsidR="002F0614" w:rsidRDefault="002F0614" w:rsidP="004C2D7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-Measures Liquidity.</w:t>
      </w:r>
    </w:p>
    <w:p w:rsidR="002F0614" w:rsidRDefault="002F0614" w:rsidP="004C2D7F">
      <w:pPr>
        <w:rPr>
          <w:rFonts w:ascii="Times New Roman" w:hAnsi="Times New Roman" w:cs="Times New Roman"/>
          <w:sz w:val="24"/>
        </w:rPr>
      </w:pPr>
    </w:p>
    <w:p w:rsidR="002F0614" w:rsidRDefault="002F0614" w:rsidP="004C2D7F">
      <w:pPr>
        <w:rPr>
          <w:rFonts w:ascii="Times New Roman" w:hAnsi="Times New Roman" w:cs="Times New Roman"/>
          <w:sz w:val="24"/>
        </w:rPr>
      </w:pPr>
      <w:r w:rsidRPr="002F0614">
        <w:rPr>
          <w:rFonts w:ascii="Times New Roman" w:hAnsi="Times New Roman" w:cs="Times New Roman"/>
          <w:b/>
          <w:sz w:val="24"/>
        </w:rPr>
        <w:t>Average Age of Payables</w:t>
      </w:r>
      <w:r>
        <w:rPr>
          <w:rFonts w:ascii="Times New Roman" w:hAnsi="Times New Roman" w:cs="Times New Roman"/>
          <w:sz w:val="24"/>
        </w:rPr>
        <w:t xml:space="preserve"> = 365/Trade Payables Turnover Ratio</w:t>
      </w:r>
    </w:p>
    <w:p w:rsidR="002F0614" w:rsidRDefault="002F0614" w:rsidP="004C2D7F">
      <w:pPr>
        <w:rPr>
          <w:rFonts w:ascii="Times New Roman" w:hAnsi="Times New Roman" w:cs="Times New Roman"/>
          <w:sz w:val="24"/>
        </w:rPr>
      </w:pPr>
    </w:p>
    <w:p w:rsidR="002F0614" w:rsidRDefault="002F0614" w:rsidP="004C2D7F">
      <w:pPr>
        <w:rPr>
          <w:rFonts w:ascii="Times New Roman" w:hAnsi="Times New Roman" w:cs="Times New Roman"/>
          <w:sz w:val="24"/>
        </w:rPr>
      </w:pPr>
      <w:r w:rsidRPr="002F0614">
        <w:rPr>
          <w:rFonts w:ascii="Times New Roman" w:hAnsi="Times New Roman" w:cs="Times New Roman"/>
          <w:b/>
          <w:sz w:val="24"/>
        </w:rPr>
        <w:t>Times Interest Earned Ratio</w:t>
      </w:r>
      <w:r>
        <w:rPr>
          <w:rFonts w:ascii="Times New Roman" w:hAnsi="Times New Roman" w:cs="Times New Roman"/>
          <w:sz w:val="24"/>
        </w:rPr>
        <w:t xml:space="preserve"> = [Net Earnings + Interest Expense + Income Tax Expense]/Interest Expense</w:t>
      </w:r>
    </w:p>
    <w:p w:rsidR="002F0614" w:rsidRDefault="002F0614" w:rsidP="004C2D7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-High ratio is good. </w:t>
      </w:r>
    </w:p>
    <w:p w:rsidR="002F0614" w:rsidRDefault="002F0614" w:rsidP="004C2D7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-Ratio indicates net earnings before income and tax expense, generated relative to interest expense.</w:t>
      </w:r>
    </w:p>
    <w:p w:rsidR="008B4E11" w:rsidRDefault="008B4E11" w:rsidP="004C2D7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-Measures whether a company is able to pay its interest, otherwise = indicator of bankruptcy.</w:t>
      </w:r>
    </w:p>
    <w:p w:rsidR="008B4E11" w:rsidRDefault="008B4E11" w:rsidP="004C2D7F">
      <w:pPr>
        <w:rPr>
          <w:rFonts w:ascii="Times New Roman" w:hAnsi="Times New Roman" w:cs="Times New Roman"/>
          <w:sz w:val="24"/>
        </w:rPr>
      </w:pPr>
      <w:r w:rsidRPr="008B4E11">
        <w:rPr>
          <w:rFonts w:ascii="Times New Roman" w:hAnsi="Times New Roman" w:cs="Times New Roman"/>
          <w:b/>
          <w:sz w:val="24"/>
        </w:rPr>
        <w:t>Debt-to-Equity-Ratio</w:t>
      </w:r>
      <w:r>
        <w:rPr>
          <w:rFonts w:ascii="Times New Roman" w:hAnsi="Times New Roman" w:cs="Times New Roman"/>
          <w:sz w:val="24"/>
        </w:rPr>
        <w:t xml:space="preserve"> = Total Liabilities/Shareholder’s Equity.</w:t>
      </w:r>
    </w:p>
    <w:p w:rsidR="008B4E11" w:rsidRDefault="008B4E11" w:rsidP="004C2D7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-To finance assets, a company must get capital by issuing shares and borrowing money from creditors.</w:t>
      </w:r>
    </w:p>
    <w:p w:rsidR="008B4E11" w:rsidRDefault="008B4E11" w:rsidP="004C2D7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-More assets = more earnings.</w:t>
      </w:r>
    </w:p>
    <w:p w:rsidR="008B4E11" w:rsidRDefault="008B4E11" w:rsidP="004C2D7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-Too many assets = More debt, more risk </w:t>
      </w:r>
    </w:p>
    <w:p w:rsidR="008B4E11" w:rsidRDefault="008B4E11" w:rsidP="004C2D7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-Indicates finance strategy of a company.</w:t>
      </w:r>
    </w:p>
    <w:p w:rsidR="008B4E11" w:rsidRDefault="008B4E11" w:rsidP="004C2D7F">
      <w:pPr>
        <w:rPr>
          <w:rFonts w:ascii="Times New Roman" w:hAnsi="Times New Roman" w:cs="Times New Roman"/>
          <w:sz w:val="24"/>
        </w:rPr>
      </w:pPr>
    </w:p>
    <w:p w:rsidR="008B4E11" w:rsidRDefault="008B4E11" w:rsidP="004C2D7F">
      <w:pPr>
        <w:rPr>
          <w:rFonts w:ascii="Times New Roman" w:hAnsi="Times New Roman" w:cs="Times New Roman"/>
          <w:sz w:val="24"/>
        </w:rPr>
      </w:pPr>
      <w:r w:rsidRPr="008B4E11">
        <w:rPr>
          <w:rFonts w:ascii="Times New Roman" w:hAnsi="Times New Roman" w:cs="Times New Roman"/>
          <w:b/>
          <w:sz w:val="24"/>
        </w:rPr>
        <w:t>Earnings Per Share Ratio</w:t>
      </w:r>
      <w:r>
        <w:rPr>
          <w:rFonts w:ascii="Times New Roman" w:hAnsi="Times New Roman" w:cs="Times New Roman"/>
          <w:sz w:val="24"/>
        </w:rPr>
        <w:t xml:space="preserve"> = [Net Earnings – Preferred Dividends]/ Average Number of Outstanding Common Shares.</w:t>
      </w:r>
    </w:p>
    <w:p w:rsidR="002F0614" w:rsidRDefault="008B4E11" w:rsidP="004C2D7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-Earnings per share is a better indicator than Net Earnings for creditors and shareholders.</w:t>
      </w:r>
    </w:p>
    <w:p w:rsidR="008B4E11" w:rsidRDefault="008B4E11" w:rsidP="004C2D7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-High EPS is obviously good.</w:t>
      </w:r>
    </w:p>
    <w:p w:rsidR="008B4E11" w:rsidRPr="00742C97" w:rsidRDefault="008B4E11" w:rsidP="004C2D7F">
      <w:pPr>
        <w:rPr>
          <w:rFonts w:ascii="Times New Roman" w:hAnsi="Times New Roman" w:cs="Times New Roman"/>
          <w:b/>
          <w:sz w:val="24"/>
        </w:rPr>
      </w:pPr>
    </w:p>
    <w:p w:rsidR="008B4E11" w:rsidRDefault="008B4E11" w:rsidP="004C2D7F">
      <w:pPr>
        <w:rPr>
          <w:rFonts w:ascii="Times New Roman" w:hAnsi="Times New Roman" w:cs="Times New Roman"/>
          <w:sz w:val="24"/>
        </w:rPr>
      </w:pPr>
      <w:r w:rsidRPr="00742C97">
        <w:rPr>
          <w:rFonts w:ascii="Times New Roman" w:hAnsi="Times New Roman" w:cs="Times New Roman"/>
          <w:b/>
          <w:sz w:val="24"/>
        </w:rPr>
        <w:t>Dividends Yield Ratio</w:t>
      </w:r>
      <w:r>
        <w:rPr>
          <w:rFonts w:ascii="Times New Roman" w:hAnsi="Times New Roman" w:cs="Times New Roman"/>
          <w:sz w:val="24"/>
        </w:rPr>
        <w:t xml:space="preserve"> = Dividends Per Share/Market Price Per Share</w:t>
      </w:r>
    </w:p>
    <w:p w:rsidR="008B4E11" w:rsidRDefault="008B4E11" w:rsidP="004C2D7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-Measures return in % for dividends.</w:t>
      </w:r>
    </w:p>
    <w:p w:rsidR="008B4E11" w:rsidRDefault="008B4E11" w:rsidP="004C2D7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-High ratio is attractive to investors.</w:t>
      </w:r>
    </w:p>
    <w:p w:rsidR="008B4E11" w:rsidRDefault="008B4E11" w:rsidP="004C2D7F">
      <w:pPr>
        <w:rPr>
          <w:rFonts w:ascii="Times New Roman" w:hAnsi="Times New Roman" w:cs="Times New Roman"/>
          <w:sz w:val="24"/>
        </w:rPr>
      </w:pPr>
    </w:p>
    <w:p w:rsidR="008B4E11" w:rsidRDefault="00742C97" w:rsidP="004C2D7F">
      <w:pPr>
        <w:rPr>
          <w:rFonts w:ascii="Times New Roman" w:hAnsi="Times New Roman" w:cs="Times New Roman"/>
          <w:sz w:val="24"/>
        </w:rPr>
      </w:pPr>
      <w:r w:rsidRPr="00EF1F97">
        <w:rPr>
          <w:rFonts w:ascii="Times New Roman" w:hAnsi="Times New Roman" w:cs="Times New Roman"/>
          <w:b/>
          <w:sz w:val="24"/>
        </w:rPr>
        <w:t>Return on Equity Ratio</w:t>
      </w:r>
      <w:r>
        <w:rPr>
          <w:rFonts w:ascii="Times New Roman" w:hAnsi="Times New Roman" w:cs="Times New Roman"/>
          <w:sz w:val="24"/>
        </w:rPr>
        <w:t xml:space="preserve"> = Net Earnings/Average Shareholder’s Equity</w:t>
      </w:r>
    </w:p>
    <w:p w:rsidR="00742C97" w:rsidRDefault="00742C97" w:rsidP="004C2D7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-Amount of net income returned as a percentage of SE.</w:t>
      </w:r>
    </w:p>
    <w:p w:rsidR="00742C97" w:rsidRDefault="00742C97" w:rsidP="004C2D7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-High percentage is good.</w:t>
      </w:r>
    </w:p>
    <w:p w:rsidR="00742C97" w:rsidRDefault="00742C97" w:rsidP="004C2D7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-More expenses decreases net earnings therefore lower percentage.</w:t>
      </w:r>
    </w:p>
    <w:p w:rsidR="00742C97" w:rsidRDefault="00742C97" w:rsidP="004C2D7F">
      <w:pPr>
        <w:rPr>
          <w:rFonts w:ascii="Times New Roman" w:hAnsi="Times New Roman" w:cs="Times New Roman"/>
          <w:sz w:val="24"/>
        </w:rPr>
      </w:pPr>
    </w:p>
    <w:p w:rsidR="00742C97" w:rsidRDefault="00742C97" w:rsidP="004C2D7F">
      <w:pPr>
        <w:rPr>
          <w:rFonts w:ascii="Times New Roman" w:hAnsi="Times New Roman" w:cs="Times New Roman"/>
          <w:sz w:val="24"/>
        </w:rPr>
      </w:pPr>
      <w:r w:rsidRPr="00EF1F97">
        <w:rPr>
          <w:rFonts w:ascii="Times New Roman" w:hAnsi="Times New Roman" w:cs="Times New Roman"/>
          <w:b/>
          <w:sz w:val="24"/>
        </w:rPr>
        <w:t>Return on Assets</w:t>
      </w:r>
      <w:r>
        <w:rPr>
          <w:rFonts w:ascii="Times New Roman" w:hAnsi="Times New Roman" w:cs="Times New Roman"/>
          <w:sz w:val="24"/>
        </w:rPr>
        <w:t xml:space="preserve"> = [Net Earnings + Interest Expense (Net of Tax)]/Average Total Assets</w:t>
      </w:r>
    </w:p>
    <w:p w:rsidR="00742C97" w:rsidRDefault="00742C97" w:rsidP="004C2D7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-Management’s ability to use assets effectively.</w:t>
      </w:r>
    </w:p>
    <w:p w:rsidR="00742C97" w:rsidRDefault="00742C97" w:rsidP="004C2D7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</w:t>
      </w:r>
      <w:r w:rsidR="00EF1F97">
        <w:rPr>
          <w:rFonts w:ascii="Times New Roman" w:hAnsi="Times New Roman" w:cs="Times New Roman"/>
          <w:sz w:val="24"/>
        </w:rPr>
        <w:t>High Percentage is good.</w:t>
      </w:r>
    </w:p>
    <w:p w:rsidR="00EF1F97" w:rsidRDefault="00EF1F97" w:rsidP="004C2D7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-Increasing percentage means that a company is using its assets effectively.</w:t>
      </w:r>
    </w:p>
    <w:p w:rsidR="00EF1F97" w:rsidRDefault="00EF1F97" w:rsidP="004C2D7F">
      <w:pPr>
        <w:rPr>
          <w:rFonts w:ascii="Times New Roman" w:hAnsi="Times New Roman" w:cs="Times New Roman"/>
          <w:sz w:val="24"/>
        </w:rPr>
      </w:pPr>
    </w:p>
    <w:p w:rsidR="00EF1F97" w:rsidRDefault="00EF1F97" w:rsidP="004C2D7F">
      <w:pPr>
        <w:rPr>
          <w:rFonts w:ascii="Times New Roman" w:hAnsi="Times New Roman" w:cs="Times New Roman"/>
          <w:sz w:val="24"/>
        </w:rPr>
      </w:pPr>
      <w:r w:rsidRPr="00EF1F97">
        <w:rPr>
          <w:rFonts w:ascii="Times New Roman" w:hAnsi="Times New Roman" w:cs="Times New Roman"/>
          <w:b/>
          <w:sz w:val="24"/>
        </w:rPr>
        <w:t>Net Profit Margin</w:t>
      </w:r>
      <w:r>
        <w:rPr>
          <w:rFonts w:ascii="Times New Roman" w:hAnsi="Times New Roman" w:cs="Times New Roman"/>
          <w:sz w:val="24"/>
        </w:rPr>
        <w:t xml:space="preserve"> = Net Earnings/Net Sales</w:t>
      </w:r>
    </w:p>
    <w:p w:rsidR="00EF1F97" w:rsidRDefault="00EF1F97" w:rsidP="004C2D7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-Percentage of sales dollars that represents net earnings. </w:t>
      </w:r>
    </w:p>
    <w:p w:rsidR="00EF1F97" w:rsidRDefault="00EF1F97" w:rsidP="004C2D7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-High Ratio is good.</w:t>
      </w:r>
    </w:p>
    <w:p w:rsidR="002F0614" w:rsidRDefault="00EF1F97" w:rsidP="004C2D7F">
      <w:pPr>
        <w:rPr>
          <w:rFonts w:ascii="Times New Roman" w:hAnsi="Times New Roman" w:cs="Times New Roman"/>
          <w:sz w:val="24"/>
        </w:rPr>
      </w:pPr>
      <w:r w:rsidRPr="00290F9B">
        <w:rPr>
          <w:rFonts w:ascii="Times New Roman" w:hAnsi="Times New Roman" w:cs="Times New Roman"/>
          <w:b/>
          <w:sz w:val="24"/>
        </w:rPr>
        <w:t>Cash Coverage Ratio</w:t>
      </w:r>
      <w:r>
        <w:rPr>
          <w:rFonts w:ascii="Times New Roman" w:hAnsi="Times New Roman" w:cs="Times New Roman"/>
          <w:sz w:val="24"/>
        </w:rPr>
        <w:t xml:space="preserve"> = Cash flow from operating (before tax and interest)/interest paid </w:t>
      </w:r>
    </w:p>
    <w:p w:rsidR="00EF1F97" w:rsidRDefault="00EF1F97" w:rsidP="004C2D7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-Compares the cash generated with the cash obligations of the period. </w:t>
      </w:r>
    </w:p>
    <w:p w:rsidR="00EF1F97" w:rsidRDefault="00EF1F97" w:rsidP="004C2D7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-Similar to the times interest earned ratio, measures a company’s ability to pay interest. </w:t>
      </w:r>
    </w:p>
    <w:p w:rsidR="00EF1F97" w:rsidRDefault="00EF1F97" w:rsidP="004C2D7F">
      <w:pPr>
        <w:rPr>
          <w:rFonts w:ascii="Times New Roman" w:hAnsi="Times New Roman" w:cs="Times New Roman"/>
          <w:sz w:val="24"/>
        </w:rPr>
      </w:pPr>
    </w:p>
    <w:p w:rsidR="00EF1F97" w:rsidRDefault="00EF1F97" w:rsidP="004C2D7F">
      <w:pPr>
        <w:rPr>
          <w:rFonts w:ascii="Times New Roman" w:hAnsi="Times New Roman" w:cs="Times New Roman"/>
          <w:sz w:val="24"/>
        </w:rPr>
      </w:pPr>
      <w:r w:rsidRPr="00290F9B">
        <w:rPr>
          <w:rFonts w:ascii="Times New Roman" w:hAnsi="Times New Roman" w:cs="Times New Roman"/>
          <w:b/>
          <w:sz w:val="24"/>
        </w:rPr>
        <w:t>Quality of Earnings</w:t>
      </w:r>
      <w:r>
        <w:rPr>
          <w:rFonts w:ascii="Times New Roman" w:hAnsi="Times New Roman" w:cs="Times New Roman"/>
          <w:sz w:val="24"/>
        </w:rPr>
        <w:t xml:space="preserve"> = Cash flows from operating activities/Net Earnings</w:t>
      </w:r>
    </w:p>
    <w:p w:rsidR="00EF1F97" w:rsidRDefault="00290F9B" w:rsidP="004C2D7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-A ratio higher than 1 indicates higher quality of earnings.</w:t>
      </w:r>
    </w:p>
    <w:p w:rsidR="00290F9B" w:rsidRDefault="00290F9B" w:rsidP="004C2D7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-Each dollar of net earnings is supported by 1 dollar of cash flow.</w:t>
      </w:r>
    </w:p>
    <w:p w:rsidR="00290F9B" w:rsidRDefault="00290F9B" w:rsidP="004C2D7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-A ratio below 1 indicates that accruals (non-cash components) are a big part of net earnings. </w:t>
      </w:r>
    </w:p>
    <w:p w:rsidR="00290F9B" w:rsidRDefault="00290F9B" w:rsidP="004C2D7F">
      <w:pPr>
        <w:rPr>
          <w:rFonts w:ascii="Times New Roman" w:hAnsi="Times New Roman" w:cs="Times New Roman"/>
          <w:sz w:val="24"/>
        </w:rPr>
      </w:pPr>
    </w:p>
    <w:p w:rsidR="00290F9B" w:rsidRDefault="00290F9B" w:rsidP="004C2D7F">
      <w:pPr>
        <w:rPr>
          <w:rFonts w:ascii="Times New Roman" w:hAnsi="Times New Roman" w:cs="Times New Roman"/>
          <w:sz w:val="24"/>
        </w:rPr>
      </w:pPr>
      <w:r w:rsidRPr="00290F9B">
        <w:rPr>
          <w:rFonts w:ascii="Times New Roman" w:hAnsi="Times New Roman" w:cs="Times New Roman"/>
          <w:b/>
          <w:sz w:val="24"/>
        </w:rPr>
        <w:t>Inventory Turnover Ratio</w:t>
      </w:r>
      <w:r>
        <w:rPr>
          <w:rFonts w:ascii="Times New Roman" w:hAnsi="Times New Roman" w:cs="Times New Roman"/>
          <w:sz w:val="24"/>
        </w:rPr>
        <w:t xml:space="preserve"> = Cost of Sales/Average Inventory</w:t>
      </w:r>
    </w:p>
    <w:p w:rsidR="00290F9B" w:rsidRDefault="00290F9B" w:rsidP="004C2D7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-Measure of liquidity</w:t>
      </w:r>
    </w:p>
    <w:p w:rsidR="00290F9B" w:rsidRDefault="00290F9B" w:rsidP="004C2D7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-Measure of operating efficiency</w:t>
      </w:r>
    </w:p>
    <w:p w:rsidR="00290F9B" w:rsidRDefault="00290F9B" w:rsidP="004C2D7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-High ratio is usually good.</w:t>
      </w:r>
    </w:p>
    <w:p w:rsidR="00290F9B" w:rsidRDefault="00290F9B" w:rsidP="00290F9B">
      <w:pPr>
        <w:rPr>
          <w:rFonts w:ascii="Times New Roman" w:hAnsi="Times New Roman" w:cs="Times New Roman"/>
          <w:sz w:val="24"/>
        </w:rPr>
      </w:pPr>
    </w:p>
    <w:p w:rsidR="00290F9B" w:rsidRDefault="00290F9B" w:rsidP="00290F9B">
      <w:pPr>
        <w:rPr>
          <w:rFonts w:ascii="Times New Roman" w:hAnsi="Times New Roman" w:cs="Times New Roman"/>
          <w:sz w:val="24"/>
        </w:rPr>
      </w:pPr>
      <w:r w:rsidRPr="002F0614">
        <w:rPr>
          <w:rFonts w:ascii="Times New Roman" w:hAnsi="Times New Roman" w:cs="Times New Roman"/>
          <w:b/>
          <w:sz w:val="24"/>
        </w:rPr>
        <w:t>Purchases =</w:t>
      </w:r>
      <w:r>
        <w:rPr>
          <w:rFonts w:ascii="Times New Roman" w:hAnsi="Times New Roman" w:cs="Times New Roman"/>
          <w:sz w:val="24"/>
        </w:rPr>
        <w:t xml:space="preserve"> Cost of sales + Ending Inventory – Beginning Inventory</w:t>
      </w:r>
    </w:p>
    <w:p w:rsidR="00290F9B" w:rsidRDefault="00290F9B" w:rsidP="00290F9B">
      <w:pPr>
        <w:rPr>
          <w:rFonts w:ascii="Times New Roman" w:hAnsi="Times New Roman" w:cs="Times New Roman"/>
          <w:sz w:val="24"/>
        </w:rPr>
      </w:pPr>
    </w:p>
    <w:p w:rsidR="00290F9B" w:rsidRDefault="00290F9B" w:rsidP="00290F9B">
      <w:pPr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290F9B" w:rsidRPr="004C2D7F" w:rsidRDefault="00290F9B" w:rsidP="004C2D7F">
      <w:pPr>
        <w:rPr>
          <w:rFonts w:ascii="Times New Roman" w:hAnsi="Times New Roman" w:cs="Times New Roman"/>
          <w:sz w:val="24"/>
        </w:rPr>
      </w:pPr>
    </w:p>
    <w:sectPr w:rsidR="00290F9B" w:rsidRPr="004C2D7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D7F"/>
    <w:rsid w:val="00290F9B"/>
    <w:rsid w:val="002F0614"/>
    <w:rsid w:val="004C131C"/>
    <w:rsid w:val="004C2D7F"/>
    <w:rsid w:val="00742C97"/>
    <w:rsid w:val="008B4E11"/>
    <w:rsid w:val="00EF1F97"/>
    <w:rsid w:val="00F06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6ADE31"/>
  <w15:chartTrackingRefBased/>
  <w15:docId w15:val="{EA67C21A-2C9F-440A-A7E0-43FF099C1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479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Patrack</dc:creator>
  <cp:keywords/>
  <dc:description/>
  <cp:lastModifiedBy>Patrack</cp:lastModifiedBy>
  <cp:revision>1</cp:revision>
  <dcterms:created xsi:type="dcterms:W3CDTF">2016-12-13T03:23:00Z</dcterms:created>
  <dcterms:modified xsi:type="dcterms:W3CDTF">2016-12-13T04:26:00Z</dcterms:modified>
</cp:coreProperties>
</file>