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5D15E4" w14:textId="77777777" w:rsidR="00E87B61" w:rsidRPr="007C49D4" w:rsidRDefault="00E87B61" w:rsidP="00E87B61">
      <w:pPr>
        <w:jc w:val="center"/>
        <w:rPr>
          <w:rFonts w:ascii="Calibri" w:hAnsi="Calibri"/>
          <w:b/>
          <w:sz w:val="28"/>
          <w:lang w:val="en-CA"/>
        </w:rPr>
      </w:pPr>
      <w:r w:rsidRPr="007C49D4">
        <w:rPr>
          <w:rFonts w:ascii="Calibri" w:hAnsi="Calibri"/>
          <w:b/>
          <w:sz w:val="28"/>
          <w:lang w:val="en-CA"/>
        </w:rPr>
        <w:t xml:space="preserve">Chapter 6: Population health promotion models and strategies </w:t>
      </w:r>
    </w:p>
    <w:p w14:paraId="1E1DA8E4" w14:textId="77777777" w:rsidR="00E87B61" w:rsidRPr="007C49D4" w:rsidRDefault="00E87B61" w:rsidP="00E87B61">
      <w:pPr>
        <w:jc w:val="center"/>
        <w:rPr>
          <w:rFonts w:ascii="Calibri" w:hAnsi="Calibri"/>
          <w:b/>
          <w:lang w:val="en-CA"/>
        </w:rPr>
      </w:pPr>
    </w:p>
    <w:p w14:paraId="72E4FD3B"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There have been three major approaches to health promotion: biomedical, behavioural and social-environmental. </w:t>
      </w:r>
    </w:p>
    <w:p w14:paraId="55D3A86F" w14:textId="77777777" w:rsidR="00E87B61" w:rsidRPr="007C49D4" w:rsidRDefault="00E87B61" w:rsidP="00E87B61">
      <w:pPr>
        <w:ind w:left="360"/>
        <w:rPr>
          <w:rFonts w:ascii="Calibri" w:hAnsi="Calibri"/>
          <w:lang w:val="en-CA"/>
        </w:rPr>
      </w:pPr>
      <w:r w:rsidRPr="007C49D4">
        <w:rPr>
          <w:rFonts w:ascii="Calibri" w:hAnsi="Calibri"/>
          <w:noProof/>
          <w:lang w:val="en-CA"/>
        </w:rPr>
        <w:drawing>
          <wp:anchor distT="0" distB="0" distL="114300" distR="114300" simplePos="0" relativeHeight="251659264" behindDoc="0" locked="0" layoutInCell="1" allowOverlap="1" wp14:anchorId="66263992" wp14:editId="637B91F8">
            <wp:simplePos x="0" y="0"/>
            <wp:positionH relativeFrom="column">
              <wp:posOffset>508000</wp:posOffset>
            </wp:positionH>
            <wp:positionV relativeFrom="paragraph">
              <wp:posOffset>57785</wp:posOffset>
            </wp:positionV>
            <wp:extent cx="5308600" cy="4991100"/>
            <wp:effectExtent l="0" t="0" r="0" b="12700"/>
            <wp:wrapTight wrapText="bothSides">
              <wp:wrapPolygon edited="0">
                <wp:start x="0" y="0"/>
                <wp:lineTo x="0" y="21545"/>
                <wp:lineTo x="21497" y="21545"/>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lum contrast="40000"/>
                      <a:extLst>
                        <a:ext uri="{28A0092B-C50C-407E-A947-70E740481C1C}">
                          <a14:useLocalDpi xmlns:a14="http://schemas.microsoft.com/office/drawing/2010/main" val="0"/>
                        </a:ext>
                      </a:extLst>
                    </a:blip>
                    <a:stretch>
                      <a:fillRect/>
                    </a:stretch>
                  </pic:blipFill>
                  <pic:spPr>
                    <a:xfrm>
                      <a:off x="0" y="0"/>
                      <a:ext cx="5308600" cy="4991100"/>
                    </a:xfrm>
                    <a:prstGeom prst="rect">
                      <a:avLst/>
                    </a:prstGeom>
                  </pic:spPr>
                </pic:pic>
              </a:graphicData>
            </a:graphic>
            <wp14:sizeRelH relativeFrom="page">
              <wp14:pctWidth>0</wp14:pctWidth>
            </wp14:sizeRelH>
            <wp14:sizeRelV relativeFrom="page">
              <wp14:pctHeight>0</wp14:pctHeight>
            </wp14:sizeRelV>
          </wp:anchor>
        </w:drawing>
      </w:r>
    </w:p>
    <w:p w14:paraId="33F188A9" w14:textId="77777777" w:rsidR="00E87B61" w:rsidRPr="007C49D4" w:rsidRDefault="00E87B61" w:rsidP="00E87B61">
      <w:pPr>
        <w:pStyle w:val="ListParagraph"/>
        <w:rPr>
          <w:rFonts w:ascii="Calibri" w:hAnsi="Calibri"/>
          <w:lang w:val="en-CA"/>
        </w:rPr>
      </w:pPr>
    </w:p>
    <w:p w14:paraId="5414892B" w14:textId="77777777" w:rsidR="00E87B61" w:rsidRPr="007C49D4" w:rsidRDefault="00E87B61" w:rsidP="00E87B61">
      <w:pPr>
        <w:rPr>
          <w:rFonts w:ascii="Calibri" w:hAnsi="Calibri"/>
          <w:u w:val="single"/>
          <w:lang w:val="en-CA"/>
        </w:rPr>
      </w:pPr>
      <w:r w:rsidRPr="007C49D4">
        <w:rPr>
          <w:rFonts w:ascii="Calibri" w:hAnsi="Calibri"/>
          <w:u w:val="single"/>
          <w:lang w:val="en-CA"/>
        </w:rPr>
        <w:t>The socio-economical approach to health promotion:</w:t>
      </w:r>
    </w:p>
    <w:p w14:paraId="32DF254B"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Within social movements that emerged in North America were concepts such as </w:t>
      </w:r>
      <w:r w:rsidRPr="007C49D4">
        <w:rPr>
          <w:rFonts w:ascii="Calibri" w:hAnsi="Calibri"/>
          <w:i/>
          <w:lang w:val="en-CA"/>
        </w:rPr>
        <w:t xml:space="preserve">social </w:t>
      </w:r>
      <w:r w:rsidRPr="007C49D4">
        <w:rPr>
          <w:rFonts w:ascii="Calibri" w:hAnsi="Calibri"/>
          <w:lang w:val="en-CA"/>
        </w:rPr>
        <w:t xml:space="preserve">justice (the belief that all persons are entitled equally to key ends such a health protection and minimum standards of income) and </w:t>
      </w:r>
      <w:r w:rsidRPr="007C49D4">
        <w:rPr>
          <w:rFonts w:ascii="Calibri" w:hAnsi="Calibri"/>
          <w:i/>
          <w:lang w:val="en-CA"/>
        </w:rPr>
        <w:t>common good</w:t>
      </w:r>
      <w:r w:rsidRPr="007C49D4">
        <w:rPr>
          <w:rFonts w:ascii="Calibri" w:hAnsi="Calibri"/>
          <w:lang w:val="en-CA"/>
        </w:rPr>
        <w:t xml:space="preserve"> (where the needs of many have priority over the needs of the individual) </w:t>
      </w:r>
    </w:p>
    <w:p w14:paraId="35A66C96"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Activists viewed </w:t>
      </w:r>
      <w:r w:rsidRPr="007C49D4">
        <w:rPr>
          <w:rFonts w:ascii="Calibri" w:hAnsi="Calibri"/>
          <w:i/>
          <w:lang w:val="en-CA"/>
        </w:rPr>
        <w:t>social change</w:t>
      </w:r>
      <w:r w:rsidRPr="007C49D4">
        <w:rPr>
          <w:rFonts w:ascii="Calibri" w:hAnsi="Calibri"/>
          <w:lang w:val="en-CA"/>
        </w:rPr>
        <w:t xml:space="preserve"> as the most important goal of health promotion and </w:t>
      </w:r>
      <w:r w:rsidRPr="007C49D4">
        <w:rPr>
          <w:rFonts w:ascii="Calibri" w:hAnsi="Calibri"/>
          <w:i/>
          <w:lang w:val="en-CA"/>
        </w:rPr>
        <w:t>social responsibility for health</w:t>
      </w:r>
      <w:r w:rsidRPr="007C49D4">
        <w:rPr>
          <w:rFonts w:ascii="Calibri" w:hAnsi="Calibri"/>
          <w:lang w:val="en-CA"/>
        </w:rPr>
        <w:t xml:space="preserve"> as paramount. </w:t>
      </w:r>
    </w:p>
    <w:p w14:paraId="4CA09520"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WHO released a document in 1984 that identified 5 principles of health promotion:</w:t>
      </w:r>
    </w:p>
    <w:p w14:paraId="4785D646"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Health promotion involves the population as a whole and the context of their everyday life, rather than focusing on people at risk for specific diseases</w:t>
      </w:r>
    </w:p>
    <w:p w14:paraId="747A199D"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 xml:space="preserve">HP is directed toward action on the determinants or causes of health </w:t>
      </w:r>
    </w:p>
    <w:p w14:paraId="0B35823E"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lastRenderedPageBreak/>
        <w:t>HP combines diverse, but complimentary methods or approaches</w:t>
      </w:r>
    </w:p>
    <w:p w14:paraId="1ED22EB6"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 xml:space="preserve">HP aims particularly at effective and concrete public participation </w:t>
      </w:r>
    </w:p>
    <w:p w14:paraId="0056B9B6"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Health professionals have an important role in nurturing and enabling HP</w:t>
      </w:r>
    </w:p>
    <w:p w14:paraId="1A1F3A6F" w14:textId="77777777" w:rsidR="00E87B61" w:rsidRPr="007C49D4" w:rsidRDefault="00E87B61" w:rsidP="00E87B61">
      <w:pPr>
        <w:rPr>
          <w:rFonts w:ascii="Calibri" w:hAnsi="Calibri"/>
          <w:lang w:val="en-CA"/>
        </w:rPr>
      </w:pPr>
    </w:p>
    <w:p w14:paraId="3B117A76" w14:textId="77777777" w:rsidR="00E87B61" w:rsidRPr="007C49D4" w:rsidRDefault="00E87B61" w:rsidP="00E87B61">
      <w:pPr>
        <w:rPr>
          <w:rFonts w:ascii="Calibri" w:hAnsi="Calibri"/>
          <w:lang w:val="en-CA"/>
        </w:rPr>
      </w:pPr>
      <w:r w:rsidRPr="007C49D4">
        <w:rPr>
          <w:rFonts w:ascii="Calibri" w:hAnsi="Calibri"/>
          <w:lang w:val="en-CA"/>
        </w:rPr>
        <w:t>The Ottawa Charter proposed 5 key strategies for health promotion:</w:t>
      </w:r>
    </w:p>
    <w:p w14:paraId="2893C350"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b/>
          <w:lang w:val="en-CA"/>
        </w:rPr>
        <w:t>Strengthening community action</w:t>
      </w:r>
      <w:r w:rsidRPr="007C49D4">
        <w:rPr>
          <w:rFonts w:ascii="Calibri" w:hAnsi="Calibri"/>
          <w:lang w:val="en-CA"/>
        </w:rPr>
        <w:t xml:space="preserve">: supporting the activities that encourage the community members to participate in issues that affect their health and health of others. Community development or empowerment is seen as both the means and the end of this process. Priority given to those who are at greatest risk for poor health. </w:t>
      </w:r>
    </w:p>
    <w:p w14:paraId="47B893D4"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 xml:space="preserve">PHNs work with a community to identify their assets and needs, determine priority issues, develop strategies, and take action. </w:t>
      </w:r>
    </w:p>
    <w:p w14:paraId="0F0BF599" w14:textId="77777777" w:rsidR="00E87B61" w:rsidRPr="007C49D4" w:rsidRDefault="00E87B61" w:rsidP="00E87B61">
      <w:pPr>
        <w:pStyle w:val="ListParagraph"/>
        <w:widowControl w:val="0"/>
        <w:numPr>
          <w:ilvl w:val="1"/>
          <w:numId w:val="1"/>
        </w:numPr>
        <w:autoSpaceDE w:val="0"/>
        <w:autoSpaceDN w:val="0"/>
        <w:adjustRightInd w:val="0"/>
        <w:spacing w:after="240" w:line="260" w:lineRule="atLeast"/>
        <w:rPr>
          <w:rFonts w:ascii="Calibri" w:hAnsi="Calibri" w:cs="Times"/>
          <w:sz w:val="22"/>
          <w:szCs w:val="22"/>
          <w:lang w:val="en-CA"/>
        </w:rPr>
      </w:pPr>
      <w:r w:rsidRPr="007C49D4">
        <w:rPr>
          <w:rFonts w:ascii="Calibri" w:hAnsi="Calibri" w:cs="Times"/>
          <w:sz w:val="22"/>
          <w:szCs w:val="22"/>
          <w:lang w:val="en-CA"/>
        </w:rPr>
        <w:t xml:space="preserve">Outcome: An active "Healthy Community" network is established. </w:t>
      </w:r>
    </w:p>
    <w:p w14:paraId="58D9B04B"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b/>
          <w:lang w:val="en-CA"/>
        </w:rPr>
        <w:t>Building health public policy</w:t>
      </w:r>
      <w:r w:rsidRPr="007C49D4">
        <w:rPr>
          <w:rFonts w:ascii="Calibri" w:hAnsi="Calibri"/>
          <w:lang w:val="en-CA"/>
        </w:rPr>
        <w:t>: advocate for health, income, env, or social policy that fosters greater equity, increases options and resources for health</w:t>
      </w:r>
    </w:p>
    <w:p w14:paraId="324D128D"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 xml:space="preserve">PHNs work with communities to advocate for smoke-free public buildings. </w:t>
      </w:r>
    </w:p>
    <w:p w14:paraId="51CD74E0" w14:textId="77777777" w:rsidR="00E87B61" w:rsidRPr="007C49D4" w:rsidRDefault="00E87B61" w:rsidP="00E87B61">
      <w:pPr>
        <w:pStyle w:val="ListParagraph"/>
        <w:widowControl w:val="0"/>
        <w:numPr>
          <w:ilvl w:val="1"/>
          <w:numId w:val="1"/>
        </w:numPr>
        <w:autoSpaceDE w:val="0"/>
        <w:autoSpaceDN w:val="0"/>
        <w:adjustRightInd w:val="0"/>
        <w:spacing w:after="240" w:line="260" w:lineRule="atLeast"/>
        <w:rPr>
          <w:rFonts w:ascii="Calibri" w:hAnsi="Calibri" w:cs="Times"/>
          <w:sz w:val="22"/>
          <w:szCs w:val="22"/>
          <w:lang w:val="en-CA"/>
        </w:rPr>
      </w:pPr>
      <w:r w:rsidRPr="007C49D4">
        <w:rPr>
          <w:rFonts w:ascii="Calibri" w:hAnsi="Calibri" w:cs="Times"/>
          <w:sz w:val="22"/>
          <w:szCs w:val="22"/>
          <w:lang w:val="en-CA"/>
        </w:rPr>
        <w:t xml:space="preserve">Outcome: Ninety percent of public buildings are smoke free. </w:t>
      </w:r>
    </w:p>
    <w:p w14:paraId="5209A46B"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b/>
          <w:lang w:val="en-CA"/>
        </w:rPr>
        <w:t>Creating supportive environments</w:t>
      </w:r>
      <w:r w:rsidRPr="007C49D4">
        <w:rPr>
          <w:rFonts w:ascii="Calibri" w:hAnsi="Calibri"/>
          <w:lang w:val="en-CA"/>
        </w:rPr>
        <w:t xml:space="preserve">: generating living, working and playing conditions that are safe, stimulating, satisfying, and enjoyable and by ensuring that the protection of the natural environment is addressed </w:t>
      </w:r>
    </w:p>
    <w:p w14:paraId="56F57E0D"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PHNs work with communities to develop strategies to promote safe environments for children</w:t>
      </w:r>
    </w:p>
    <w:p w14:paraId="22F1A91E"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lang w:val="en-CA"/>
        </w:rPr>
      </w:pPr>
      <w:r w:rsidRPr="007C49D4">
        <w:rPr>
          <w:rFonts w:ascii="Calibri" w:hAnsi="Calibri" w:cs="Times"/>
          <w:sz w:val="22"/>
          <w:szCs w:val="22"/>
          <w:lang w:val="en-CA"/>
        </w:rPr>
        <w:t>Outcome: The number of latch-key children under 12 is reduced by 10 percent.</w:t>
      </w:r>
      <w:r w:rsidRPr="007C49D4">
        <w:rPr>
          <w:rFonts w:ascii="Calibri" w:hAnsi="Calibri" w:cs="Times"/>
          <w:sz w:val="18"/>
          <w:szCs w:val="18"/>
          <w:lang w:val="en-CA"/>
        </w:rPr>
        <w:t xml:space="preserve"> </w:t>
      </w:r>
      <w:r w:rsidRPr="007C49D4">
        <w:rPr>
          <w:rFonts w:ascii="MS Mincho" w:eastAsia="MS Mincho" w:hAnsi="MS Mincho" w:cs="MS Mincho"/>
          <w:lang w:val="en-CA"/>
        </w:rPr>
        <w:t> </w:t>
      </w:r>
    </w:p>
    <w:p w14:paraId="2BF1A90F"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b/>
          <w:lang w:val="en-CA"/>
        </w:rPr>
        <w:t>Developing personal skills</w:t>
      </w:r>
      <w:r w:rsidRPr="007C49D4">
        <w:rPr>
          <w:rFonts w:ascii="Calibri" w:hAnsi="Calibri"/>
          <w:lang w:val="en-CA"/>
        </w:rPr>
        <w:t>: supporting personal and social development through the provision of information-education for health and enhancing life skills so that people can exercise more control over their health and environment and to make choices conducive to health</w:t>
      </w:r>
    </w:p>
    <w:p w14:paraId="70EF7106"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PHNs facilitate "Nobody's Perfect" parenting sessions for teen mothers and fathers.</w:t>
      </w:r>
      <w:r w:rsidRPr="007C49D4">
        <w:rPr>
          <w:rFonts w:ascii="MS Mincho" w:eastAsia="MS Mincho" w:hAnsi="MS Mincho" w:cs="MS Mincho"/>
          <w:sz w:val="22"/>
          <w:szCs w:val="22"/>
          <w:lang w:val="en-CA"/>
        </w:rPr>
        <w:t> </w:t>
      </w:r>
    </w:p>
    <w:p w14:paraId="2CCFE572"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lang w:val="en-CA"/>
        </w:rPr>
      </w:pPr>
      <w:r w:rsidRPr="007C49D4">
        <w:rPr>
          <w:rFonts w:ascii="Calibri" w:hAnsi="Calibri" w:cs="Times"/>
          <w:sz w:val="22"/>
          <w:szCs w:val="22"/>
          <w:lang w:val="en-CA"/>
        </w:rPr>
        <w:t xml:space="preserve">Outcome: All parents involved in the parenting program have identified an improved understanding of early childhood development. </w:t>
      </w:r>
    </w:p>
    <w:p w14:paraId="3EA22067"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b/>
          <w:lang w:val="en-CA"/>
        </w:rPr>
        <w:t>Reorienting health services</w:t>
      </w:r>
      <w:r w:rsidRPr="007C49D4">
        <w:rPr>
          <w:rFonts w:ascii="Calibri" w:hAnsi="Calibri"/>
          <w:lang w:val="en-CA"/>
        </w:rPr>
        <w:t xml:space="preserve">: moving beyond the health sector’s responsibility for providing clinical and curative services. </w:t>
      </w:r>
    </w:p>
    <w:p w14:paraId="6CC1EF06"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 xml:space="preserve">PHNs work with a community to reorient speech and language services from a facility to accessible community locations based on a partnership among health, education, and community members. </w:t>
      </w:r>
    </w:p>
    <w:p w14:paraId="66FBB0B0" w14:textId="77777777" w:rsidR="00E87B61" w:rsidRPr="007C49D4" w:rsidRDefault="00E87B61" w:rsidP="00E87B61">
      <w:pPr>
        <w:pStyle w:val="ListParagraph"/>
        <w:widowControl w:val="0"/>
        <w:numPr>
          <w:ilvl w:val="1"/>
          <w:numId w:val="1"/>
        </w:numPr>
        <w:autoSpaceDE w:val="0"/>
        <w:autoSpaceDN w:val="0"/>
        <w:adjustRightInd w:val="0"/>
        <w:spacing w:after="240" w:line="200" w:lineRule="atLeast"/>
        <w:rPr>
          <w:rFonts w:ascii="Calibri" w:hAnsi="Calibri" w:cs="Times"/>
          <w:sz w:val="22"/>
          <w:szCs w:val="22"/>
          <w:lang w:val="en-CA"/>
        </w:rPr>
      </w:pPr>
      <w:r w:rsidRPr="007C49D4">
        <w:rPr>
          <w:rFonts w:ascii="Calibri" w:hAnsi="Calibri" w:cs="Times"/>
          <w:sz w:val="22"/>
          <w:szCs w:val="22"/>
          <w:lang w:val="en-CA"/>
        </w:rPr>
        <w:t xml:space="preserve">Outcome: A 5 percent increase in early identification and intervention for preschool children with speech and language problems. </w:t>
      </w:r>
    </w:p>
    <w:p w14:paraId="60B64559"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The Ottawa Charter made a link between empowerment and promotion of health.  Empowerment refers to “an active, involved process of where people, groups, and communities move toward increased individual and community control, political efficacy, improved quality of community life, and social justice. </w:t>
      </w:r>
    </w:p>
    <w:p w14:paraId="4B8F595F"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Individual psychological empowerment involves self-efficacy and motivation to act, while stronger social networks, resource access/equity, transformed conditions, and community competence. </w:t>
      </w:r>
    </w:p>
    <w:p w14:paraId="55647CE2" w14:textId="77777777" w:rsidR="00E87B61" w:rsidRPr="007C49D4" w:rsidRDefault="00E87B61" w:rsidP="00E87B61">
      <w:pPr>
        <w:rPr>
          <w:rFonts w:ascii="Calibri" w:hAnsi="Calibri"/>
          <w:lang w:val="en-CA"/>
        </w:rPr>
      </w:pPr>
      <w:r w:rsidRPr="007C49D4">
        <w:rPr>
          <w:rFonts w:ascii="Calibri" w:hAnsi="Calibri"/>
          <w:lang w:val="en-CA"/>
        </w:rPr>
        <w:t xml:space="preserve">Population health promotion: </w:t>
      </w:r>
    </w:p>
    <w:p w14:paraId="0B17CF1C"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To bridge the gap between population health and HP, a population health promotion model was developed by health Canada. </w:t>
      </w:r>
    </w:p>
    <w:p w14:paraId="2B7112F4"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One of the limitations of this model is that the list of population health determinants appears to give equal weight to behavioural and socio-environmental determinants, yet there is evidence that social and economic conditions are the most influential determinants of health. </w:t>
      </w:r>
    </w:p>
    <w:p w14:paraId="2BF0F3CF" w14:textId="77777777" w:rsidR="00E87B61" w:rsidRPr="007C49D4" w:rsidRDefault="00E87B61" w:rsidP="00E87B61">
      <w:pPr>
        <w:rPr>
          <w:rFonts w:ascii="Calibri" w:hAnsi="Calibri"/>
          <w:lang w:val="en-CA"/>
        </w:rPr>
      </w:pPr>
      <w:r w:rsidRPr="007C49D4">
        <w:rPr>
          <w:rFonts w:ascii="Calibri" w:hAnsi="Calibri"/>
          <w:lang w:val="en-CA"/>
        </w:rPr>
        <w:t xml:space="preserve">The behavioural approach in nursing </w:t>
      </w:r>
    </w:p>
    <w:p w14:paraId="55C60585"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Nurses have adopted the lifestyle approach to HP b/c: </w:t>
      </w:r>
    </w:p>
    <w:p w14:paraId="28CE976F"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 xml:space="preserve">This is simply an extension of what they have been doing for years. E.g. Florence Nightingale focused on preventing illness through personal hygiene, </w:t>
      </w:r>
    </w:p>
    <w:p w14:paraId="1894482E" w14:textId="77777777" w:rsidR="00E87B61" w:rsidRPr="007C49D4" w:rsidRDefault="00E87B61" w:rsidP="00E87B61">
      <w:pPr>
        <w:pStyle w:val="ListParagraph"/>
        <w:numPr>
          <w:ilvl w:val="1"/>
          <w:numId w:val="1"/>
        </w:numPr>
        <w:rPr>
          <w:rFonts w:ascii="Calibri" w:hAnsi="Calibri"/>
          <w:lang w:val="en-CA"/>
        </w:rPr>
      </w:pPr>
      <w:r w:rsidRPr="007C49D4">
        <w:rPr>
          <w:rFonts w:ascii="Calibri" w:hAnsi="Calibri"/>
          <w:lang w:val="en-CA"/>
        </w:rPr>
        <w:t xml:space="preserve">Nursing education and practice has been strongly influenced by concepts and theories from the behavioural sciences where individual behaviour change is the outcome of interest. </w:t>
      </w:r>
    </w:p>
    <w:p w14:paraId="0BA1D1CC" w14:textId="77777777" w:rsidR="00E87B61" w:rsidRPr="007C49D4" w:rsidRDefault="00E87B61" w:rsidP="00E87B61">
      <w:pPr>
        <w:rPr>
          <w:rFonts w:ascii="Calibri" w:hAnsi="Calibri"/>
          <w:lang w:val="en-CA"/>
        </w:rPr>
      </w:pPr>
      <w:r w:rsidRPr="007C49D4">
        <w:rPr>
          <w:rFonts w:ascii="Calibri" w:hAnsi="Calibri"/>
          <w:lang w:val="en-CA"/>
        </w:rPr>
        <w:t>The socio-environmental approach in nursing</w:t>
      </w:r>
    </w:p>
    <w:p w14:paraId="59FA44B7"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CHNs needed to adopt a macroscopic approach in their practice aka upstream thinking as opposed to the traditional downstream or microscopic approach. The concept of thinking upstream encourages the CHNs to address root causes of health issues in individuals, families and communities. </w:t>
      </w:r>
    </w:p>
    <w:p w14:paraId="712B16DD" w14:textId="77777777" w:rsidR="00E87B61" w:rsidRPr="007C49D4" w:rsidRDefault="00E87B61" w:rsidP="00E87B61">
      <w:pPr>
        <w:rPr>
          <w:rFonts w:ascii="Calibri" w:hAnsi="Calibri"/>
          <w:lang w:val="en-CA"/>
        </w:rPr>
      </w:pPr>
      <w:r w:rsidRPr="007C49D4">
        <w:rPr>
          <w:rFonts w:ascii="Calibri" w:hAnsi="Calibri"/>
          <w:lang w:val="en-CA"/>
        </w:rPr>
        <w:t>Guidelines for health-promoting community health nursing practice</w:t>
      </w:r>
    </w:p>
    <w:p w14:paraId="1D191C31"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There can never be one universally accepted definition of HP</w:t>
      </w:r>
    </w:p>
    <w:p w14:paraId="675B39AC"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CHNs need to utilize a range of assessment tools and empowering strategies that start by identifying the strengths of individuals, families, and communities, and work with them to build their capacity for health</w:t>
      </w:r>
    </w:p>
    <w:p w14:paraId="31C06C54"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Thinking upstream: meet the immediate needs of individual clients or families but also address the broader socio-environmental determinants of health, think about possible strategies that can influence those determinants in a positive manner and  identify potential partners with whom they might collaborate for maximum effectiveness. </w:t>
      </w:r>
    </w:p>
    <w:p w14:paraId="3E089B1F"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Address the needs of socially disadvantaged individuals when planning health promotion initiatives </w:t>
      </w:r>
    </w:p>
    <w:p w14:paraId="6B33CE79"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CHNs to identify partners with whom they might collaborate-partners may be from other disciplines. </w:t>
      </w:r>
    </w:p>
    <w:p w14:paraId="3D84EC79" w14:textId="77777777" w:rsidR="00E87B61" w:rsidRPr="007C49D4" w:rsidRDefault="00E87B61" w:rsidP="00E87B61">
      <w:pPr>
        <w:pStyle w:val="ListParagraph"/>
        <w:numPr>
          <w:ilvl w:val="0"/>
          <w:numId w:val="1"/>
        </w:numPr>
        <w:rPr>
          <w:rFonts w:ascii="Calibri" w:hAnsi="Calibri"/>
          <w:lang w:val="en-CA"/>
        </w:rPr>
      </w:pPr>
      <w:r w:rsidRPr="007C49D4">
        <w:rPr>
          <w:rFonts w:ascii="Calibri" w:hAnsi="Calibri"/>
          <w:lang w:val="en-CA"/>
        </w:rPr>
        <w:t xml:space="preserve">Be patient </w:t>
      </w:r>
    </w:p>
    <w:p w14:paraId="2F70A2D1" w14:textId="77777777" w:rsidR="00E87B61" w:rsidRPr="007C49D4" w:rsidRDefault="00E87B61" w:rsidP="00E87B61">
      <w:pPr>
        <w:jc w:val="center"/>
        <w:rPr>
          <w:rFonts w:ascii="Calibri" w:hAnsi="Calibri"/>
          <w:b/>
          <w:sz w:val="28"/>
          <w:lang w:val="en-CA"/>
        </w:rPr>
      </w:pPr>
      <w:r w:rsidRPr="007C49D4">
        <w:rPr>
          <w:rFonts w:ascii="Calibri" w:hAnsi="Calibri"/>
          <w:b/>
          <w:sz w:val="28"/>
          <w:lang w:val="en-CA"/>
        </w:rPr>
        <w:t>Chapter 19: Older adult health</w:t>
      </w:r>
    </w:p>
    <w:p w14:paraId="0F2302FF" w14:textId="77777777" w:rsidR="00E87B61" w:rsidRPr="007C49D4" w:rsidRDefault="00E87B61" w:rsidP="00E87B61">
      <w:pPr>
        <w:rPr>
          <w:rFonts w:ascii="Calibri" w:hAnsi="Calibri"/>
          <w:b/>
          <w:u w:val="single"/>
          <w:lang w:val="en-CA"/>
        </w:rPr>
      </w:pPr>
    </w:p>
    <w:p w14:paraId="4D36A6A9"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Introduction</w:t>
      </w:r>
    </w:p>
    <w:p w14:paraId="44A479CF"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While many older adults in Canada desire to live as independently as possible in their own homes, coordinated resources must be available to maintain their needs. </w:t>
      </w:r>
    </w:p>
    <w:p w14:paraId="74E1E0EC"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Population trends</w:t>
      </w:r>
    </w:p>
    <w:p w14:paraId="187EBF10"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Age 65 is considered the standard marker for an older adult</w:t>
      </w:r>
    </w:p>
    <w:p w14:paraId="51749012"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Current Canadian and global trend: the world population is rapidly aging. </w:t>
      </w:r>
    </w:p>
    <w:p w14:paraId="7FC7D269"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Societal myths about aging: </w:t>
      </w:r>
    </w:p>
    <w:p w14:paraId="2FDFF81D"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Marginalization of older adults results in them having unmet health care needs</w:t>
      </w:r>
    </w:p>
    <w:p w14:paraId="3E3E2EA7"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Stereotyped as: dependent, frail, disabled, intellectually incapable, inactive </w:t>
      </w:r>
      <w:r w:rsidRPr="007C49D4">
        <w:rPr>
          <w:rFonts w:ascii="Calibri" w:hAnsi="Calibri"/>
          <w:color w:val="000000" w:themeColor="text1"/>
          <w:sz w:val="24"/>
          <w:szCs w:val="24"/>
          <w:lang w:val="en-CA"/>
        </w:rPr>
        <w:sym w:font="Wingdings" w:char="F0E0"/>
      </w:r>
      <w:r w:rsidRPr="007C49D4">
        <w:rPr>
          <w:rFonts w:ascii="Calibri" w:hAnsi="Calibri"/>
          <w:color w:val="000000" w:themeColor="text1"/>
          <w:sz w:val="24"/>
          <w:szCs w:val="24"/>
          <w:lang w:val="en-CA"/>
        </w:rPr>
        <w:t xml:space="preserve"> societal belief that they are an expensive drain on healthcare resources. </w:t>
      </w:r>
    </w:p>
    <w:p w14:paraId="72908665"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In fact, older adults are continuing to participate in the labour force past retirement age</w:t>
      </w:r>
    </w:p>
    <w:p w14:paraId="2D80C6B4"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The economic status of older adults is considered more stable than that of the previous generations. </w:t>
      </w:r>
    </w:p>
    <w:p w14:paraId="4053C487"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We need to stop thinking of aging as a pathology. </w:t>
      </w:r>
    </w:p>
    <w:p w14:paraId="68A7406A"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Philosophical underpinnings of aged care: </w:t>
      </w:r>
    </w:p>
    <w:p w14:paraId="735F0662"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Primary philosophical tenet for aged care embraces respect for older individuals experiencing a life transition or chronic illness</w:t>
      </w:r>
    </w:p>
    <w:p w14:paraId="1F84E2AD"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CHNs need to understand each unique individual’s life story within the context of the aging process. With that understand the CHN can help the individual in living life as fully as possible within the constraints of any chronic health condition, disability or loss. </w:t>
      </w:r>
    </w:p>
    <w:p w14:paraId="47F8D11A"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Another tenet is the maximization of remaining strengths whereby the physical and emotional abilities of the older adults is continually encouraged and incorporated into daily activities</w:t>
      </w:r>
    </w:p>
    <w:p w14:paraId="2F7AAC83"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Another tenet: partnership; older adults want to be involved in their care as active recipients. Nurses should empower the elderly and their families to navigate the system. </w:t>
      </w:r>
    </w:p>
    <w:p w14:paraId="1038DDCE"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Population health and older adults:</w:t>
      </w:r>
    </w:p>
    <w:p w14:paraId="70A1F4DC"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Population health approach is a lens through which CHNs consider the macro level health issues of communities and larger groups moving beyond the micro level of the individual persons. This approach focuses on how factors such as lifestyle and living conditions affect health. </w:t>
      </w:r>
    </w:p>
    <w:p w14:paraId="103B91A3"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Age friendly community programs</w:t>
      </w:r>
    </w:p>
    <w:p w14:paraId="584EDB7A"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Traditionally healthcare for older adults </w:t>
      </w:r>
      <w:r w:rsidRPr="007C49D4">
        <w:rPr>
          <w:rFonts w:ascii="Calibri" w:hAnsi="Calibri"/>
          <w:color w:val="000000" w:themeColor="text1"/>
          <w:sz w:val="24"/>
          <w:szCs w:val="24"/>
          <w:lang w:val="en-CA"/>
        </w:rPr>
        <w:sym w:font="Wingdings" w:char="F0E0"/>
      </w:r>
      <w:r w:rsidRPr="007C49D4">
        <w:rPr>
          <w:rFonts w:ascii="Calibri" w:hAnsi="Calibri"/>
          <w:color w:val="000000" w:themeColor="text1"/>
          <w:sz w:val="24"/>
          <w:szCs w:val="24"/>
          <w:lang w:val="en-CA"/>
        </w:rPr>
        <w:t xml:space="preserve"> biomedical lens </w:t>
      </w:r>
    </w:p>
    <w:p w14:paraId="6446B92D"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The past 2 decades: movement towards providing community based services to accommodate the unique needs of the older population. </w:t>
      </w:r>
    </w:p>
    <w:p w14:paraId="083AD5BB"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Based on the belief that older adults should be partners in planning their healthcare, and should be supported in their familiar community setting as long as possible. </w:t>
      </w:r>
    </w:p>
    <w:p w14:paraId="54262D5E"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WHO recommended the age-friendly communities which is based on communities adapting their services and environments to meet the needs of a wide range of older adults. </w:t>
      </w:r>
    </w:p>
    <w:p w14:paraId="57A73F19"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The age friendly community features include: Outdoor spaces and buildings, transportation, housing, respect and social inclusion, social participation, communication and information, civic participation and employment, community support and health services</w:t>
      </w:r>
    </w:p>
    <w:p w14:paraId="462C74A7"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Assessments and resources needed for aged-care support</w:t>
      </w:r>
    </w:p>
    <w:p w14:paraId="32840AF4"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CHN must be aware of a variety of screen and preventive tools including physical activity, fall prevention, incontinence, elder abuse and neglect among others. </w:t>
      </w:r>
    </w:p>
    <w:p w14:paraId="0EA4F5C8"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Mental health: older adults are at risk for mental health difficulties such as delirium, dementia, medication misuse, etc. the changes associated with aging such as physiological impact from chronic illness, diminishing social networks, financial stability and life transitions all contribute to mental illnesses. The number of older Canadians with mental health is predicted to increase as the population ages. </w:t>
      </w:r>
    </w:p>
    <w:p w14:paraId="6975A38A"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Medication misuse and polypharmacy: half a million older adults are taking multiple medications inaccurately. </w:t>
      </w:r>
    </w:p>
    <w:p w14:paraId="610FD393"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Food security and nutrition: important because malnutrition is associated with decrease body weight, muscle mass, autonomy and quality of life, and increased likelihood of early institutionalization, bone fracture, immunosuppression and mortality. CHN to engage in promotion of optimal nutrition</w:t>
      </w:r>
    </w:p>
    <w:p w14:paraId="3734A491"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Social isolation: older adults over the age of 75 are less likely to have connections with friends or neighbours. </w:t>
      </w:r>
    </w:p>
    <w:p w14:paraId="799A134F"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Sexual expression, sexuality and intimate relationships: older adults do not often share their experiences with sexuality due to social stigma. They prefer their HCP to bring up the subject of sexual health with them even if the older person seems reluctant to initiate the discussion. </w:t>
      </w:r>
    </w:p>
    <w:p w14:paraId="26E3A63A"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Elder abuse: considered to include single or repeated acts or the lack of appropriate action on the part of family, friends, neighbours, or professional caregivers where there is an expectation of trust. The abuse can be physical, psychological, financial or mental. </w:t>
      </w:r>
    </w:p>
    <w:p w14:paraId="066CC189"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End of life care: the focus is on achieving comfort and ensuring respect for a person nearing death due to a life threatening illness. End of life care promotes the maximization of quality of life for the person, his/her family, and loved ones. </w:t>
      </w:r>
    </w:p>
    <w:p w14:paraId="15495CAB"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p>
    <w:p w14:paraId="3A74D2EE"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p>
    <w:p w14:paraId="2ECCC0E4"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p>
    <w:p w14:paraId="0010A8CC"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Long term care for older adults</w:t>
      </w:r>
    </w:p>
    <w:p w14:paraId="1A2855E8"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Long term care services are those necessary over an extended period of time to maintain the health integrity of older adults. Services range from LTC are not publicly insured under the Canada Health Act. </w:t>
      </w:r>
    </w:p>
    <w:p w14:paraId="187456D0"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Home and community support services: a number of home and community support services are available to assist older adults to manage their own care while living at home. Includes professional service, personal care support, homemaking, community support services, private home care services.</w:t>
      </w:r>
    </w:p>
    <w:p w14:paraId="42332D2B"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Long term facility based care: provide a and 24 hours supervised care includes supportive housing and group homes, retirement homes, nursing homes, chronic care facilities and hospice. </w:t>
      </w:r>
    </w:p>
    <w:p w14:paraId="40589678" w14:textId="77777777" w:rsidR="00E87B61" w:rsidRPr="007C49D4" w:rsidRDefault="00E87B61" w:rsidP="00E87B61">
      <w:pPr>
        <w:pStyle w:val="ListBullet"/>
        <w:numPr>
          <w:ilvl w:val="0"/>
          <w:numId w:val="0"/>
        </w:numPr>
        <w:spacing w:line="240" w:lineRule="auto"/>
        <w:ind w:left="432" w:hanging="432"/>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Role of the community health nurse: </w:t>
      </w:r>
    </w:p>
    <w:p w14:paraId="219144AD"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CHNs play a vital role in providing continuity in assessment, promotion of optimal physical and mental functioning, and follow up for older adults who are striving to enhance their overall health while remaining at home </w:t>
      </w:r>
    </w:p>
    <w:p w14:paraId="5D045479" w14:textId="77777777" w:rsidR="00E87B61" w:rsidRPr="007C49D4" w:rsidRDefault="00E87B61" w:rsidP="00E87B61">
      <w:pPr>
        <w:pStyle w:val="ListBullet"/>
        <w:numPr>
          <w:ilvl w:val="0"/>
          <w:numId w:val="3"/>
        </w:numPr>
        <w:spacing w:line="240" w:lineRule="auto"/>
        <w:rPr>
          <w:rFonts w:ascii="Calibri" w:hAnsi="Calibri"/>
          <w:color w:val="000000" w:themeColor="text1"/>
          <w:sz w:val="24"/>
          <w:szCs w:val="24"/>
          <w:lang w:val="en-CA"/>
        </w:rPr>
      </w:pPr>
      <w:r w:rsidRPr="007C49D4">
        <w:rPr>
          <w:rFonts w:ascii="Calibri" w:hAnsi="Calibri"/>
          <w:color w:val="000000" w:themeColor="text1"/>
          <w:sz w:val="24"/>
          <w:szCs w:val="24"/>
          <w:lang w:val="en-CA"/>
        </w:rPr>
        <w:t xml:space="preserve">Respite care: temporary residential or day care for clients in order to provide relief for the caregivers. </w:t>
      </w:r>
    </w:p>
    <w:p w14:paraId="0A298592" w14:textId="77777777" w:rsidR="00E87B61" w:rsidRPr="007C49D4" w:rsidRDefault="00E87B61" w:rsidP="00E87B61">
      <w:pPr>
        <w:jc w:val="center"/>
        <w:rPr>
          <w:rFonts w:ascii="Calibri" w:hAnsi="Calibri"/>
          <w:b/>
          <w:sz w:val="28"/>
          <w:lang w:val="en-CA"/>
        </w:rPr>
      </w:pPr>
      <w:r w:rsidRPr="007C49D4">
        <w:rPr>
          <w:rFonts w:ascii="Calibri" w:hAnsi="Calibri"/>
          <w:b/>
          <w:sz w:val="28"/>
          <w:lang w:val="en-CA"/>
        </w:rPr>
        <w:t>Ottawa charter for Health Promotion</w:t>
      </w:r>
    </w:p>
    <w:p w14:paraId="75F5DCD2" w14:textId="77777777" w:rsidR="00E87B61" w:rsidRPr="007C49D4" w:rsidRDefault="00E87B61" w:rsidP="00E87B61">
      <w:pPr>
        <w:rPr>
          <w:rFonts w:ascii="Calibri" w:hAnsi="Calibri"/>
          <w:u w:val="single"/>
          <w:lang w:val="en-CA"/>
        </w:rPr>
      </w:pPr>
      <w:r w:rsidRPr="007C49D4">
        <w:rPr>
          <w:rFonts w:ascii="Calibri" w:hAnsi="Calibri"/>
          <w:u w:val="single"/>
          <w:lang w:val="en-CA"/>
        </w:rPr>
        <w:t>Health promotion:</w:t>
      </w:r>
    </w:p>
    <w:p w14:paraId="742559A0"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 xml:space="preserve">Goal was health for All by the year 2000. </w:t>
      </w:r>
    </w:p>
    <w:p w14:paraId="57EC3A59"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health promotion is not just the responsibility of the health sector, but goes beyond healthy life-styles to well-being.</w:t>
      </w:r>
    </w:p>
    <w:p w14:paraId="1C873F7A"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Prerequisites for health: The fundamental conditions and resources for health are peace, shelter, education, food, income, a stable eco-system, sustainable resources, social justice and equity. Improvement in health requires a secure foundation in these basic prerequisites.</w:t>
      </w:r>
    </w:p>
    <w:p w14:paraId="0B9AE851"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b/>
          <w:lang w:val="en-CA"/>
        </w:rPr>
        <w:t>Advocate</w:t>
      </w:r>
      <w:r w:rsidRPr="007C49D4">
        <w:rPr>
          <w:rFonts w:ascii="Calibri" w:hAnsi="Calibri" w:cs="Arial"/>
          <w:lang w:val="en-CA"/>
        </w:rPr>
        <w:t>: Political, economic, social cultural, environmental, behavioural and biological factors can all favour health or be harmful to it. Health promotion through advocacy for health.</w:t>
      </w:r>
    </w:p>
    <w:p w14:paraId="50CF195B"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b/>
          <w:lang w:val="en-CA"/>
        </w:rPr>
        <w:t>Enable</w:t>
      </w:r>
      <w:r w:rsidRPr="007C49D4">
        <w:rPr>
          <w:rFonts w:ascii="Calibri" w:hAnsi="Calibri" w:cs="Arial"/>
          <w:lang w:val="en-CA"/>
        </w:rPr>
        <w:t>: People cannot achieve their fullest health potential unless they are able to take control of those things which determine their health. This must apply equally to women and men.</w:t>
      </w:r>
    </w:p>
    <w:p w14:paraId="340C9F29"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b/>
          <w:lang w:val="en-CA"/>
        </w:rPr>
        <w:t>Mediate</w:t>
      </w:r>
      <w:r w:rsidRPr="007C49D4">
        <w:rPr>
          <w:rFonts w:ascii="Calibri" w:hAnsi="Calibri" w:cs="Arial"/>
          <w:lang w:val="en-CA"/>
        </w:rPr>
        <w:t>: health promotion demands coordinated action by all concerned: by governments, by health and other social and economic sectors, by non-governmental and voluntary organizations, by local authorities, by industry and by the media.</w:t>
      </w:r>
    </w:p>
    <w:p w14:paraId="6342BF56" w14:textId="77777777" w:rsidR="00E87B61" w:rsidRPr="007C49D4" w:rsidRDefault="00E87B61" w:rsidP="00E87B61">
      <w:pPr>
        <w:autoSpaceDE w:val="0"/>
        <w:autoSpaceDN w:val="0"/>
        <w:adjustRightInd w:val="0"/>
        <w:rPr>
          <w:rFonts w:ascii="Calibri" w:hAnsi="Calibri" w:cs="Arial"/>
          <w:u w:val="single"/>
          <w:lang w:val="en-CA"/>
        </w:rPr>
      </w:pPr>
      <w:r w:rsidRPr="007C49D4">
        <w:rPr>
          <w:rFonts w:ascii="Calibri" w:hAnsi="Calibri" w:cs="Arial"/>
          <w:u w:val="single"/>
          <w:lang w:val="en-CA"/>
        </w:rPr>
        <w:t xml:space="preserve">Health promotion action means: </w:t>
      </w:r>
    </w:p>
    <w:p w14:paraId="12B31F1C"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 xml:space="preserve">Build health public policy: </w:t>
      </w:r>
    </w:p>
    <w:p w14:paraId="7CBD38FB" w14:textId="77777777" w:rsidR="00E87B61" w:rsidRPr="007C49D4" w:rsidRDefault="00E87B61" w:rsidP="00E87B61">
      <w:pPr>
        <w:pStyle w:val="ListParagraph"/>
        <w:widowControl w:val="0"/>
        <w:numPr>
          <w:ilvl w:val="1"/>
          <w:numId w:val="4"/>
        </w:numPr>
        <w:autoSpaceDE w:val="0"/>
        <w:autoSpaceDN w:val="0"/>
        <w:adjustRightInd w:val="0"/>
        <w:spacing w:after="240" w:line="280" w:lineRule="atLeast"/>
        <w:rPr>
          <w:rFonts w:ascii="Calibri" w:hAnsi="Calibri" w:cs="Times"/>
          <w:lang w:val="en-CA"/>
        </w:rPr>
      </w:pPr>
      <w:r w:rsidRPr="007C49D4">
        <w:rPr>
          <w:rFonts w:ascii="Calibri" w:hAnsi="Calibri" w:cs="Arial"/>
          <w:lang w:val="en-CA"/>
        </w:rPr>
        <w:t xml:space="preserve">Health promotion goes beyond health care. It puts health on the agenda of policy makers in all sectors and at all levels, directing them to be aware of the health consequences of their decisions and to accept their responsibilities for health. </w:t>
      </w:r>
    </w:p>
    <w:p w14:paraId="023FDDCA"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Health promotion goes beyond health care:</w:t>
      </w:r>
    </w:p>
    <w:p w14:paraId="672C315F" w14:textId="77777777" w:rsidR="00E87B61" w:rsidRPr="007C49D4" w:rsidRDefault="00E87B61" w:rsidP="00E87B61">
      <w:pPr>
        <w:pStyle w:val="ListParagraph"/>
        <w:numPr>
          <w:ilvl w:val="1"/>
          <w:numId w:val="4"/>
        </w:numPr>
        <w:autoSpaceDE w:val="0"/>
        <w:autoSpaceDN w:val="0"/>
        <w:adjustRightInd w:val="0"/>
        <w:rPr>
          <w:rFonts w:ascii="Calibri" w:hAnsi="Calibri" w:cs="Arial"/>
          <w:b/>
          <w:lang w:val="en-CA"/>
        </w:rPr>
      </w:pPr>
      <w:r w:rsidRPr="007C49D4">
        <w:rPr>
          <w:rFonts w:ascii="Calibri" w:hAnsi="Calibri" w:cs="Arial"/>
          <w:lang w:val="en-CA"/>
        </w:rPr>
        <w:t xml:space="preserve">The conservation of natural resources throughout the world should be emphasized as a global responsibility. </w:t>
      </w:r>
    </w:p>
    <w:p w14:paraId="256F030D" w14:textId="77777777" w:rsidR="00E87B61" w:rsidRPr="007C49D4" w:rsidRDefault="00E87B61" w:rsidP="00E87B61">
      <w:pPr>
        <w:pStyle w:val="ListParagraph"/>
        <w:numPr>
          <w:ilvl w:val="1"/>
          <w:numId w:val="4"/>
        </w:numPr>
        <w:autoSpaceDE w:val="0"/>
        <w:autoSpaceDN w:val="0"/>
        <w:adjustRightInd w:val="0"/>
        <w:rPr>
          <w:rFonts w:ascii="Calibri" w:hAnsi="Calibri" w:cs="Arial"/>
          <w:b/>
          <w:lang w:val="en-CA"/>
        </w:rPr>
      </w:pPr>
      <w:r w:rsidRPr="007C49D4">
        <w:rPr>
          <w:rFonts w:ascii="Calibri" w:hAnsi="Calibri" w:cs="Arial"/>
          <w:lang w:val="en-CA"/>
        </w:rPr>
        <w:t xml:space="preserve">The way society organizes work should help create a healthy society. Health promotion generates living and working conditions that are safe, stimulating, satisfying and enjoyable. </w:t>
      </w:r>
    </w:p>
    <w:p w14:paraId="2ED4C5AB"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Create supportive environments:</w:t>
      </w:r>
    </w:p>
    <w:p w14:paraId="33AFF096" w14:textId="77777777" w:rsidR="00E87B61" w:rsidRPr="007C49D4" w:rsidRDefault="00E87B61" w:rsidP="00E87B61">
      <w:pPr>
        <w:pStyle w:val="ListParagraph"/>
        <w:widowControl w:val="0"/>
        <w:numPr>
          <w:ilvl w:val="1"/>
          <w:numId w:val="4"/>
        </w:numPr>
        <w:autoSpaceDE w:val="0"/>
        <w:autoSpaceDN w:val="0"/>
        <w:adjustRightInd w:val="0"/>
        <w:spacing w:after="240" w:line="280" w:lineRule="atLeast"/>
        <w:rPr>
          <w:rFonts w:ascii="Calibri" w:hAnsi="Calibri" w:cs="Times"/>
          <w:lang w:val="en-CA"/>
        </w:rPr>
      </w:pPr>
      <w:r w:rsidRPr="007C49D4">
        <w:rPr>
          <w:rFonts w:ascii="Calibri" w:hAnsi="Calibri" w:cs="Arial"/>
          <w:lang w:val="en-CA"/>
        </w:rPr>
        <w:t xml:space="preserve">Health promotion (HP) works through concrete and effective community action in setting priorities, making decisions, planning strategies and implementing them to achieve better health. At the heart of this process is the empowerment of communities, their ownership and control of their own endeavours and destinies. </w:t>
      </w:r>
    </w:p>
    <w:p w14:paraId="7FAD7E8F"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Strengthen community action</w:t>
      </w:r>
    </w:p>
    <w:p w14:paraId="3DDD2C82" w14:textId="77777777" w:rsidR="00E87B61" w:rsidRPr="007C49D4" w:rsidRDefault="00E87B61" w:rsidP="00E87B61">
      <w:pPr>
        <w:pStyle w:val="ListParagraph"/>
        <w:widowControl w:val="0"/>
        <w:numPr>
          <w:ilvl w:val="1"/>
          <w:numId w:val="4"/>
        </w:numPr>
        <w:autoSpaceDE w:val="0"/>
        <w:autoSpaceDN w:val="0"/>
        <w:adjustRightInd w:val="0"/>
        <w:spacing w:after="240" w:line="280" w:lineRule="atLeast"/>
        <w:rPr>
          <w:rFonts w:ascii="Calibri" w:hAnsi="Calibri" w:cs="Times"/>
          <w:lang w:val="en-CA"/>
        </w:rPr>
      </w:pPr>
      <w:r w:rsidRPr="007C49D4">
        <w:rPr>
          <w:rFonts w:ascii="Calibri" w:hAnsi="Calibri" w:cs="Arial"/>
          <w:lang w:val="en-CA"/>
        </w:rPr>
        <w:t xml:space="preserve">HP supports personal and social development through providing information, education for health and enhancing life skills. </w:t>
      </w:r>
    </w:p>
    <w:p w14:paraId="69015B1B"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Develop personal skills</w:t>
      </w:r>
    </w:p>
    <w:p w14:paraId="7410F984" w14:textId="77777777" w:rsidR="00E87B61" w:rsidRPr="007C49D4" w:rsidRDefault="00E87B61" w:rsidP="00E87B61">
      <w:pPr>
        <w:pStyle w:val="ListParagraph"/>
        <w:widowControl w:val="0"/>
        <w:numPr>
          <w:ilvl w:val="1"/>
          <w:numId w:val="4"/>
        </w:numPr>
        <w:autoSpaceDE w:val="0"/>
        <w:autoSpaceDN w:val="0"/>
        <w:adjustRightInd w:val="0"/>
        <w:spacing w:after="240" w:line="280" w:lineRule="atLeast"/>
        <w:rPr>
          <w:rFonts w:ascii="Calibri" w:hAnsi="Calibri" w:cs="Times"/>
          <w:lang w:val="en-CA"/>
        </w:rPr>
      </w:pPr>
      <w:r w:rsidRPr="007C49D4">
        <w:rPr>
          <w:rFonts w:ascii="Calibri" w:hAnsi="Calibri" w:cs="Arial"/>
          <w:lang w:val="en-CA"/>
        </w:rPr>
        <w:t xml:space="preserve">The role of the health sector must move increasingly in a health promotion direction, beyond its responsibility for providing clinical and curative services. </w:t>
      </w:r>
    </w:p>
    <w:p w14:paraId="4A412D92" w14:textId="77777777" w:rsidR="00E87B61" w:rsidRPr="007C49D4" w:rsidRDefault="00E87B61" w:rsidP="00E87B61">
      <w:pPr>
        <w:pStyle w:val="ListParagraph"/>
        <w:numPr>
          <w:ilvl w:val="0"/>
          <w:numId w:val="4"/>
        </w:numPr>
        <w:autoSpaceDE w:val="0"/>
        <w:autoSpaceDN w:val="0"/>
        <w:adjustRightInd w:val="0"/>
        <w:rPr>
          <w:rFonts w:ascii="Calibri" w:hAnsi="Calibri" w:cs="Arial"/>
          <w:b/>
          <w:lang w:val="en-CA"/>
        </w:rPr>
      </w:pPr>
      <w:r w:rsidRPr="007C49D4">
        <w:rPr>
          <w:rFonts w:ascii="Calibri" w:hAnsi="Calibri" w:cs="Arial"/>
          <w:b/>
          <w:lang w:val="en-CA"/>
        </w:rPr>
        <w:t>Reorient health services:</w:t>
      </w:r>
    </w:p>
    <w:p w14:paraId="417E142E" w14:textId="77777777" w:rsidR="00E87B61" w:rsidRPr="007C49D4" w:rsidRDefault="00E87B61" w:rsidP="00E87B61">
      <w:pPr>
        <w:pStyle w:val="ListParagraph"/>
        <w:widowControl w:val="0"/>
        <w:numPr>
          <w:ilvl w:val="1"/>
          <w:numId w:val="4"/>
        </w:numPr>
        <w:autoSpaceDE w:val="0"/>
        <w:autoSpaceDN w:val="0"/>
        <w:adjustRightInd w:val="0"/>
        <w:spacing w:after="240" w:line="280" w:lineRule="atLeast"/>
        <w:rPr>
          <w:rFonts w:ascii="Calibri" w:hAnsi="Calibri" w:cs="Arial"/>
          <w:lang w:val="en-CA"/>
        </w:rPr>
      </w:pPr>
      <w:r w:rsidRPr="007C49D4">
        <w:rPr>
          <w:rFonts w:ascii="Calibri" w:hAnsi="Calibri" w:cs="Arial"/>
          <w:lang w:val="en-CA"/>
        </w:rPr>
        <w:t xml:space="preserve">Health services need to embrace an expanded mandate which is sensitive and respects cultural needs. Support the needs of individual and communities for a healthier life, and open channels between the health sector and broader social, political, economic and physical environmental components. </w:t>
      </w:r>
    </w:p>
    <w:p w14:paraId="1CD8EFE5" w14:textId="77777777" w:rsidR="00E87B61" w:rsidRPr="007C49D4" w:rsidRDefault="00E87B61" w:rsidP="00E87B61">
      <w:pPr>
        <w:autoSpaceDE w:val="0"/>
        <w:autoSpaceDN w:val="0"/>
        <w:adjustRightInd w:val="0"/>
        <w:rPr>
          <w:rFonts w:ascii="Calibri" w:hAnsi="Calibri" w:cs="Arial"/>
          <w:u w:val="single"/>
          <w:lang w:val="en-CA"/>
        </w:rPr>
      </w:pPr>
      <w:r w:rsidRPr="007C49D4">
        <w:rPr>
          <w:rFonts w:ascii="Calibri" w:hAnsi="Calibri" w:cs="Arial"/>
          <w:u w:val="single"/>
          <w:lang w:val="en-CA"/>
        </w:rPr>
        <w:t xml:space="preserve">Moving into the future: </w:t>
      </w:r>
    </w:p>
    <w:p w14:paraId="4977ED19"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Health is created and lived by people within the settings of their everyday life; where they learn, work, play and love.</w:t>
      </w:r>
    </w:p>
    <w:p w14:paraId="18CFA7CF" w14:textId="77777777" w:rsidR="00E87B61" w:rsidRPr="007C49D4" w:rsidRDefault="00E87B61" w:rsidP="00E87B61">
      <w:pPr>
        <w:autoSpaceDE w:val="0"/>
        <w:autoSpaceDN w:val="0"/>
        <w:adjustRightInd w:val="0"/>
        <w:rPr>
          <w:rFonts w:ascii="Calibri" w:hAnsi="Calibri" w:cs="Arial"/>
          <w:lang w:val="en-CA"/>
        </w:rPr>
      </w:pPr>
      <w:r w:rsidRPr="007C49D4">
        <w:rPr>
          <w:rFonts w:ascii="Calibri" w:hAnsi="Calibri" w:cs="Arial"/>
          <w:lang w:val="en-CA"/>
        </w:rPr>
        <w:t xml:space="preserve">Commitment to health promotion: the participants in the conference have pledged - </w:t>
      </w:r>
    </w:p>
    <w:p w14:paraId="71656DDD"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 xml:space="preserve">to reorient health services and their resources towards the promotion of health; and to share power with other sectors, other disciplines and most importantly with people themselves; </w:t>
      </w:r>
    </w:p>
    <w:p w14:paraId="5B34A3EE"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 xml:space="preserve">to recognize health and its maintenance as a major social investment and challenge; and to address the overall ecological issue of our ways of living. </w:t>
      </w:r>
    </w:p>
    <w:p w14:paraId="0D81C9FD"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 xml:space="preserve">to move into the arena of healthy public policy, and to advocate a clear political commitment to health and equity in all sectors; </w:t>
      </w:r>
    </w:p>
    <w:p w14:paraId="472EB14C"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to counteract the pressures towards harmful products, resource depletion, unhealthy living conditions, and environments, and bad nutrition; and to focus attention on public health issues such as pollution, occupational hazards, housing and settlements;</w:t>
      </w:r>
      <w:r w:rsidRPr="007C49D4">
        <w:rPr>
          <w:rFonts w:ascii="MS Mincho" w:eastAsia="MS Mincho" w:hAnsi="MS Mincho" w:cs="MS Mincho"/>
          <w:lang w:val="en-CA"/>
        </w:rPr>
        <w:t> </w:t>
      </w:r>
      <w:r w:rsidRPr="007C49D4">
        <w:rPr>
          <w:rFonts w:ascii="Calibri" w:hAnsi="Calibri" w:cs="Arial"/>
          <w:lang w:val="en-CA"/>
        </w:rPr>
        <w:t>to respond to the health gap within and between societies, and to tackle the inequities in health produced by the rules and practices of these societies</w:t>
      </w:r>
    </w:p>
    <w:p w14:paraId="655487E6"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Times"/>
          <w:lang w:val="en-CA"/>
        </w:rPr>
        <w:t xml:space="preserve"> </w:t>
      </w:r>
      <w:r w:rsidRPr="007C49D4">
        <w:rPr>
          <w:rFonts w:ascii="Calibri" w:hAnsi="Calibri" w:cs="Arial"/>
          <w:lang w:val="en-CA"/>
        </w:rPr>
        <w:t>to acknowledge people as the main health resource; to support and enable the</w:t>
      </w:r>
    </w:p>
    <w:p w14:paraId="76EE73D8" w14:textId="77777777" w:rsidR="00E87B61" w:rsidRPr="007C49D4" w:rsidRDefault="00E87B61" w:rsidP="00E87B61">
      <w:pPr>
        <w:pStyle w:val="ListParagraph"/>
        <w:numPr>
          <w:ilvl w:val="0"/>
          <w:numId w:val="4"/>
        </w:numPr>
        <w:autoSpaceDE w:val="0"/>
        <w:autoSpaceDN w:val="0"/>
        <w:adjustRightInd w:val="0"/>
        <w:rPr>
          <w:rFonts w:ascii="Calibri" w:hAnsi="Calibri" w:cs="Arial"/>
          <w:lang w:val="en-CA"/>
        </w:rPr>
      </w:pPr>
      <w:r w:rsidRPr="007C49D4">
        <w:rPr>
          <w:rFonts w:ascii="Calibri" w:hAnsi="Calibri" w:cs="Arial"/>
          <w:lang w:val="en-CA"/>
        </w:rPr>
        <w:t>to keep themselves, their families and friends healthy through financial and other means, and to accept the community as the essential voice in matters of its health, living conditions and well-being</w:t>
      </w:r>
    </w:p>
    <w:p w14:paraId="34DF17E3" w14:textId="77777777" w:rsidR="00E87B61" w:rsidRPr="007C49D4" w:rsidRDefault="00E87B61" w:rsidP="00E87B61">
      <w:pPr>
        <w:autoSpaceDE w:val="0"/>
        <w:autoSpaceDN w:val="0"/>
        <w:adjustRightInd w:val="0"/>
        <w:rPr>
          <w:rFonts w:ascii="Calibri" w:hAnsi="Calibri" w:cs="Arial"/>
          <w:lang w:val="en-CA"/>
        </w:rPr>
      </w:pPr>
    </w:p>
    <w:p w14:paraId="6DA42106" w14:textId="77777777" w:rsidR="00E87B61" w:rsidRPr="007C49D4" w:rsidRDefault="00E87B61" w:rsidP="00E87B61">
      <w:pPr>
        <w:autoSpaceDE w:val="0"/>
        <w:autoSpaceDN w:val="0"/>
        <w:adjustRightInd w:val="0"/>
        <w:ind w:left="360"/>
        <w:rPr>
          <w:rFonts w:ascii="Calibri" w:hAnsi="Calibri" w:cs="Arial"/>
          <w:lang w:val="en-CA"/>
        </w:rPr>
      </w:pPr>
    </w:p>
    <w:p w14:paraId="4C93E0E9" w14:textId="77777777" w:rsidR="00E87B61" w:rsidRPr="007C49D4" w:rsidRDefault="00E87B61" w:rsidP="00E87B61">
      <w:pPr>
        <w:rPr>
          <w:rFonts w:ascii="Calibri" w:hAnsi="Calibri"/>
          <w:b/>
          <w:sz w:val="28"/>
          <w:lang w:val="en-CA"/>
        </w:rPr>
      </w:pPr>
      <w:r w:rsidRPr="007C49D4">
        <w:rPr>
          <w:rFonts w:ascii="Calibri" w:hAnsi="Calibri"/>
          <w:b/>
          <w:sz w:val="28"/>
          <w:lang w:val="en-CA"/>
        </w:rPr>
        <w:t xml:space="preserve">Health promotion through an equity lens: Approaches, problems and solutions </w:t>
      </w:r>
      <w:r w:rsidRPr="007C49D4">
        <w:rPr>
          <w:rFonts w:ascii="Calibri" w:hAnsi="Calibri"/>
          <w:b/>
          <w:sz w:val="28"/>
          <w:lang w:val="en-CA"/>
        </w:rPr>
        <w:t>article</w:t>
      </w:r>
    </w:p>
    <w:p w14:paraId="60281CB0" w14:textId="77777777" w:rsidR="00E87B61" w:rsidRPr="007C49D4" w:rsidRDefault="00E87B61" w:rsidP="00E87B61">
      <w:pPr>
        <w:pStyle w:val="ListParagraph"/>
        <w:rPr>
          <w:rFonts w:ascii="Calibri" w:hAnsi="Calibri"/>
          <w:lang w:val="en-CA"/>
        </w:rPr>
      </w:pPr>
    </w:p>
    <w:p w14:paraId="7DE1882A" w14:textId="77777777" w:rsidR="00E87B61" w:rsidRPr="007C49D4" w:rsidRDefault="00E87B61" w:rsidP="00E87B61">
      <w:pPr>
        <w:rPr>
          <w:rFonts w:ascii="Calibri" w:hAnsi="Calibri"/>
          <w:u w:val="single"/>
          <w:lang w:val="en-CA"/>
        </w:rPr>
      </w:pPr>
      <w:r w:rsidRPr="007C49D4">
        <w:rPr>
          <w:rFonts w:ascii="Calibri" w:hAnsi="Calibri"/>
          <w:u w:val="single"/>
          <w:lang w:val="en-CA"/>
        </w:rPr>
        <w:t>Introduction:</w:t>
      </w:r>
    </w:p>
    <w:p w14:paraId="5031B99B" w14:textId="77777777" w:rsidR="00E87B61" w:rsidRPr="007C49D4" w:rsidRDefault="00E87B61" w:rsidP="00E87B61">
      <w:pPr>
        <w:rPr>
          <w:rFonts w:ascii="Calibri" w:hAnsi="Calibri"/>
          <w:u w:val="single"/>
          <w:lang w:val="en-CA"/>
        </w:rPr>
      </w:pPr>
    </w:p>
    <w:p w14:paraId="1EAA3D03"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Health equity gap is growing in all societies</w:t>
      </w:r>
    </w:p>
    <w:p w14:paraId="03F35D6E"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Our continued reliance on traditional, curative based health care is being questioned</w:t>
      </w:r>
    </w:p>
    <w:p w14:paraId="2A54076D"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Health promotion is defined by WHO as the process of enabling people to increase control over and to improve their health</w:t>
      </w:r>
    </w:p>
    <w:p w14:paraId="74AD987E"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Health promotion programs aim to enable people to increase control over their social determinants of health</w:t>
      </w:r>
    </w:p>
    <w:p w14:paraId="42C006F2"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WHO: inequalities in health occurs as a consequence of differences in opportunities. </w:t>
      </w:r>
    </w:p>
    <w:p w14:paraId="5BD73E6A"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Health promotion programs tend to focus on individual-level behaviours. </w:t>
      </w:r>
    </w:p>
    <w:p w14:paraId="6B8253CE"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Because the wealthy in society have more resources at their disposal, they are better able to follow the advice and/or therapies offered in health promotion programs. </w:t>
      </w:r>
    </w:p>
    <w:p w14:paraId="01D5E3E0"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The poor tend to wield little political influence, which puts them at risk for becoming further distanced from the policy makers who are in the best position to help narrow the health gap</w:t>
      </w:r>
    </w:p>
    <w:p w14:paraId="0593BA5B" w14:textId="77777777" w:rsidR="00E87B61" w:rsidRPr="007C49D4" w:rsidRDefault="00E87B61" w:rsidP="00E87B61">
      <w:pPr>
        <w:rPr>
          <w:rFonts w:ascii="Calibri" w:hAnsi="Calibri"/>
          <w:u w:val="single"/>
          <w:lang w:val="en-CA"/>
        </w:rPr>
      </w:pPr>
      <w:r w:rsidRPr="007C49D4">
        <w:rPr>
          <w:rFonts w:ascii="Calibri" w:hAnsi="Calibri"/>
          <w:u w:val="single"/>
          <w:lang w:val="en-CA"/>
        </w:rPr>
        <w:t xml:space="preserve">Approaches to health promotion: </w:t>
      </w:r>
    </w:p>
    <w:p w14:paraId="0F60EE76" w14:textId="77777777" w:rsidR="00E87B61" w:rsidRPr="007C49D4" w:rsidRDefault="00E87B61" w:rsidP="00E87B61">
      <w:pPr>
        <w:rPr>
          <w:rFonts w:ascii="Calibri" w:hAnsi="Calibri"/>
          <w:u w:val="single"/>
          <w:lang w:val="en-CA"/>
        </w:rPr>
      </w:pPr>
    </w:p>
    <w:p w14:paraId="14A8CE39" w14:textId="77777777" w:rsidR="00E87B61" w:rsidRPr="007C49D4" w:rsidRDefault="00E87B61" w:rsidP="00E87B61">
      <w:pPr>
        <w:rPr>
          <w:rFonts w:ascii="Calibri" w:hAnsi="Calibri"/>
          <w:lang w:val="en-CA"/>
        </w:rPr>
      </w:pPr>
      <w:r w:rsidRPr="007C49D4">
        <w:rPr>
          <w:rFonts w:ascii="Calibri" w:hAnsi="Calibri"/>
          <w:lang w:val="en-CA"/>
        </w:rPr>
        <w:t>Agentic vs structural approaches to health promotion</w:t>
      </w:r>
    </w:p>
    <w:p w14:paraId="2AFC0F20"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Health promotion approaches: 2 categories-  agentic and structural </w:t>
      </w:r>
    </w:p>
    <w:p w14:paraId="22DD197A"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Agentic programs are targeted at individuals, and generally require voluntary compliance e.g. screening program</w:t>
      </w:r>
    </w:p>
    <w:p w14:paraId="17272D2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Structural approaches: seek changes to the broader social context e.g. wide spread smoking bans. Target the environment that people exist in. choices are attributable to the social conditions we live and work in. </w:t>
      </w:r>
    </w:p>
    <w:p w14:paraId="54FC32D5"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Health promotions programs are meant to target the whole population; 2 concerns. 1</w:t>
      </w:r>
      <w:r w:rsidRPr="007C49D4">
        <w:rPr>
          <w:rFonts w:ascii="Calibri" w:hAnsi="Calibri"/>
          <w:vertAlign w:val="superscript"/>
          <w:lang w:val="en-CA"/>
        </w:rPr>
        <w:t>st</w:t>
      </w:r>
      <w:r w:rsidRPr="007C49D4">
        <w:rPr>
          <w:rFonts w:ascii="Calibri" w:hAnsi="Calibri"/>
          <w:lang w:val="en-CA"/>
        </w:rPr>
        <w:t xml:space="preserve"> – they will not be taken up by the individuals most at risk and will therefore widen the inequity gap. 2</w:t>
      </w:r>
      <w:r w:rsidRPr="007C49D4">
        <w:rPr>
          <w:rFonts w:ascii="Calibri" w:hAnsi="Calibri"/>
          <w:vertAlign w:val="superscript"/>
          <w:lang w:val="en-CA"/>
        </w:rPr>
        <w:t>nd</w:t>
      </w:r>
      <w:r w:rsidRPr="007C49D4">
        <w:rPr>
          <w:rFonts w:ascii="Calibri" w:hAnsi="Calibri"/>
          <w:lang w:val="en-CA"/>
        </w:rPr>
        <w:t xml:space="preserve"> – might actually lead to “flattening up” of inequities i.e. if they are taken up uniformly across the population, they could improve the health of the overall population but without necessarily reducing the gap. </w:t>
      </w:r>
    </w:p>
    <w:p w14:paraId="6A36E8A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Need to implement programs that take into account how social and other structural factors shape lifestyle choices</w:t>
      </w:r>
    </w:p>
    <w:p w14:paraId="5788844B" w14:textId="77777777" w:rsidR="00E87B61" w:rsidRPr="007C49D4" w:rsidRDefault="00E87B61" w:rsidP="00E87B61">
      <w:pPr>
        <w:rPr>
          <w:rFonts w:ascii="Calibri" w:hAnsi="Calibri"/>
          <w:lang w:val="en-CA"/>
        </w:rPr>
      </w:pPr>
      <w:r w:rsidRPr="007C49D4">
        <w:rPr>
          <w:rFonts w:ascii="Calibri" w:hAnsi="Calibri"/>
          <w:lang w:val="en-CA"/>
        </w:rPr>
        <w:t xml:space="preserve">Possible solution: structural approach </w:t>
      </w:r>
    </w:p>
    <w:p w14:paraId="2B48167A"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To reduce health disparities, a structural approach is most appropriate as it targets the upstream drivers of health. For example, the agentic approach to smoking cessation ha not had enough of an impact on disadvantaged population</w:t>
      </w:r>
    </w:p>
    <w:p w14:paraId="07930903" w14:textId="77777777" w:rsidR="00E87B61" w:rsidRPr="007C49D4" w:rsidRDefault="00E87B61" w:rsidP="00E87B61">
      <w:pPr>
        <w:rPr>
          <w:rFonts w:ascii="Calibri" w:hAnsi="Calibri"/>
          <w:lang w:val="en-CA"/>
        </w:rPr>
      </w:pPr>
      <w:r w:rsidRPr="007C49D4">
        <w:rPr>
          <w:rFonts w:ascii="Calibri" w:hAnsi="Calibri"/>
          <w:lang w:val="en-CA"/>
        </w:rPr>
        <w:t>Structural change and equity-targeted programs</w:t>
      </w:r>
    </w:p>
    <w:p w14:paraId="2ECD5E88"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Evidence shows that even when traditional barriers to access are reduced people from disadvantaged backgrounds do not take up promotionally designed universal agentic health promotion programs readily. </w:t>
      </w:r>
    </w:p>
    <w:p w14:paraId="17B041DA"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Agentic health promotion programs also further reinforce a belief that a person’s health status is entirely under the control of that individual, and without complimentary structural program. </w:t>
      </w:r>
    </w:p>
    <w:p w14:paraId="5FDB15BF"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Evidence show that inequalities in risk factors for disease can grow when programs only seek individual level behavioural change. </w:t>
      </w:r>
    </w:p>
    <w:p w14:paraId="72DE1A26"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To ensure that all groups are reached: apply structural universal health programs in tandem with targeted agentic programs. </w:t>
      </w:r>
    </w:p>
    <w:p w14:paraId="4D9E14DF"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Even nation wide structural intervention would still potentially require the targeting of specific groups of reduce inequalities. </w:t>
      </w:r>
    </w:p>
    <w:p w14:paraId="44938C9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By concurrently dealing with the structure and environment that enables the perpetuation of disadvantage, we can also make steps to eradicate the situation that is causing the health inequalities to exist in the first place. </w:t>
      </w:r>
    </w:p>
    <w:p w14:paraId="6B859E66" w14:textId="77777777" w:rsidR="00E87B61" w:rsidRPr="007C49D4" w:rsidRDefault="00E87B61" w:rsidP="00E87B61">
      <w:pPr>
        <w:rPr>
          <w:rFonts w:ascii="Calibri" w:hAnsi="Calibri"/>
          <w:lang w:val="en-CA"/>
        </w:rPr>
      </w:pPr>
      <w:r w:rsidRPr="007C49D4">
        <w:rPr>
          <w:rFonts w:ascii="Calibri" w:hAnsi="Calibri"/>
          <w:lang w:val="en-CA"/>
        </w:rPr>
        <w:t xml:space="preserve">Improving population health vs the health cap, can we do both? </w:t>
      </w:r>
    </w:p>
    <w:p w14:paraId="001AA093"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Initiatives that have the greatest impact on improving overall population health might actually further widen the disparities between different subgroups as the disadvantaged are likely to experience the least improvement </w:t>
      </w:r>
    </w:p>
    <w:p w14:paraId="188EE213"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Even though the relative inequalities might remain after a universal health promotion intervention, we might be able to use such programs to reduce the absolute mortality and morbidity gap that exists between the rich and the poor. </w:t>
      </w:r>
    </w:p>
    <w:p w14:paraId="3C83AEFF" w14:textId="77777777" w:rsidR="00E87B61" w:rsidRPr="007C49D4" w:rsidRDefault="00E87B61" w:rsidP="00E87B61">
      <w:pPr>
        <w:rPr>
          <w:rFonts w:ascii="Calibri" w:hAnsi="Calibri"/>
          <w:u w:val="single"/>
          <w:lang w:val="en-CA"/>
        </w:rPr>
      </w:pPr>
    </w:p>
    <w:p w14:paraId="22DD4868" w14:textId="77777777" w:rsidR="00E87B61" w:rsidRPr="007C49D4" w:rsidRDefault="00E87B61" w:rsidP="00E87B61">
      <w:pPr>
        <w:rPr>
          <w:rFonts w:ascii="Calibri" w:hAnsi="Calibri"/>
          <w:u w:val="single"/>
          <w:lang w:val="en-CA"/>
        </w:rPr>
      </w:pPr>
      <w:r w:rsidRPr="007C49D4">
        <w:rPr>
          <w:rFonts w:ascii="Calibri" w:hAnsi="Calibri"/>
          <w:u w:val="single"/>
          <w:lang w:val="en-CA"/>
        </w:rPr>
        <w:t xml:space="preserve">The problems of heath promotion and equity </w:t>
      </w:r>
    </w:p>
    <w:p w14:paraId="1E2F8CAF" w14:textId="77777777" w:rsidR="00E87B61" w:rsidRPr="007C49D4" w:rsidRDefault="00E87B61" w:rsidP="00E87B61">
      <w:pPr>
        <w:rPr>
          <w:rFonts w:ascii="Calibri" w:hAnsi="Calibri"/>
          <w:lang w:val="en-CA"/>
        </w:rPr>
      </w:pPr>
    </w:p>
    <w:p w14:paraId="2134D351" w14:textId="77777777" w:rsidR="00E87B61" w:rsidRPr="007C49D4" w:rsidRDefault="00E87B61" w:rsidP="00E87B61">
      <w:pPr>
        <w:rPr>
          <w:rFonts w:ascii="Calibri" w:hAnsi="Calibri"/>
          <w:lang w:val="en-CA"/>
        </w:rPr>
      </w:pPr>
      <w:r w:rsidRPr="007C49D4">
        <w:rPr>
          <w:rFonts w:ascii="Calibri" w:hAnsi="Calibri"/>
          <w:lang w:val="en-CA"/>
        </w:rPr>
        <w:t>Health promotion and the biomedical framework</w:t>
      </w:r>
    </w:p>
    <w:p w14:paraId="029B97AE"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Many countries – population still viewed within the biomedical approach and this can lead to reliance on medical results and epidemiological indicators without taking into account values, equity and social change. </w:t>
      </w:r>
    </w:p>
    <w:p w14:paraId="2616AC1B"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What improves the health of the whole population doesn’t necessarily improve the health of vulnerable or disadvantaged. </w:t>
      </w:r>
    </w:p>
    <w:p w14:paraId="4ED53CA3" w14:textId="77777777" w:rsidR="00E87B61" w:rsidRPr="007C49D4" w:rsidRDefault="00E87B61" w:rsidP="00E87B61">
      <w:pPr>
        <w:rPr>
          <w:rFonts w:ascii="Calibri" w:hAnsi="Calibri"/>
          <w:lang w:val="en-CA"/>
        </w:rPr>
      </w:pPr>
      <w:r w:rsidRPr="007C49D4">
        <w:rPr>
          <w:rFonts w:ascii="Calibri" w:hAnsi="Calibri"/>
          <w:lang w:val="en-CA"/>
        </w:rPr>
        <w:t>Cost effectiveness of health promotion programs</w:t>
      </w:r>
    </w:p>
    <w:p w14:paraId="658405DD"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Health promotion programs tend to focus on preventing disease, while clinical medicine focuses on managing, treating, and curing disease. </w:t>
      </w:r>
    </w:p>
    <w:p w14:paraId="14E1E886"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Structural interventions are difficult to measure; they don’t simply target one behaviours but rather the broader environment. </w:t>
      </w:r>
    </w:p>
    <w:p w14:paraId="39A20C1C"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The cost effectiveness of structural approaches could be overshadowed by agentic approaches that may show quicker results. </w:t>
      </w:r>
      <w:r w:rsidRPr="007C49D4">
        <w:rPr>
          <w:rFonts w:ascii="Calibri" w:hAnsi="Calibri"/>
          <w:lang w:val="en-CA"/>
        </w:rPr>
        <w:sym w:font="Wingdings" w:char="F0E0"/>
      </w:r>
      <w:r w:rsidRPr="007C49D4">
        <w:rPr>
          <w:rFonts w:ascii="Calibri" w:hAnsi="Calibri"/>
          <w:lang w:val="en-CA"/>
        </w:rPr>
        <w:t xml:space="preserve"> there’s a need for suitable metrics and tools to account for the long-term and lasting benefit of structural changes. </w:t>
      </w:r>
    </w:p>
    <w:p w14:paraId="18B76730" w14:textId="77777777" w:rsidR="00E87B61" w:rsidRPr="007C49D4" w:rsidRDefault="00E87B61" w:rsidP="00E87B61">
      <w:pPr>
        <w:rPr>
          <w:rFonts w:ascii="Calibri" w:hAnsi="Calibri"/>
          <w:lang w:val="en-CA"/>
        </w:rPr>
      </w:pPr>
      <w:r w:rsidRPr="007C49D4">
        <w:rPr>
          <w:rFonts w:ascii="Calibri" w:hAnsi="Calibri"/>
          <w:lang w:val="en-CA"/>
        </w:rPr>
        <w:t>The problem of evidence in health promotion</w:t>
      </w:r>
    </w:p>
    <w:p w14:paraId="4EFE6E2F"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Health promotion differs from research done on health outcomes in that it usually seeks to modify behaviour before it becomes problematic, and therefore it can be difficult to demonstrate the cause and effect relationship. </w:t>
      </w:r>
    </w:p>
    <w:p w14:paraId="11D5E16F"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A strict adherence to the traditional hierarchy of study design for equity-based health promotion programs leads to knowing </w:t>
      </w:r>
    </w:p>
    <w:p w14:paraId="5536296D"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Neglects the slow moving process of institutional evolution and resultant incremental changes in population health. </w:t>
      </w:r>
    </w:p>
    <w:p w14:paraId="19E02D17"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Slow moving processes are necessary to change the societal structures that allow inequalities to exist. </w:t>
      </w:r>
    </w:p>
    <w:p w14:paraId="482E93D0"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A shift in thinking about we measure and evaluate effects of health promotion campaigns is necessary</w:t>
      </w:r>
    </w:p>
    <w:p w14:paraId="3DE95ED7" w14:textId="77777777" w:rsidR="00E87B61" w:rsidRPr="007C49D4" w:rsidRDefault="00E87B61" w:rsidP="00E87B61">
      <w:pPr>
        <w:rPr>
          <w:rFonts w:ascii="Calibri" w:hAnsi="Calibri"/>
          <w:lang w:val="en-CA"/>
        </w:rPr>
      </w:pPr>
    </w:p>
    <w:p w14:paraId="3CE83480" w14:textId="77777777" w:rsidR="00E87B61" w:rsidRPr="007C49D4" w:rsidRDefault="00E87B61" w:rsidP="00E87B61">
      <w:pPr>
        <w:rPr>
          <w:rFonts w:ascii="Calibri" w:hAnsi="Calibri"/>
          <w:lang w:val="en-CA"/>
        </w:rPr>
      </w:pPr>
      <w:r w:rsidRPr="007C49D4">
        <w:rPr>
          <w:rFonts w:ascii="Calibri" w:hAnsi="Calibri"/>
          <w:lang w:val="en-CA"/>
        </w:rPr>
        <w:t>Ideology and health promotion</w:t>
      </w:r>
    </w:p>
    <w:p w14:paraId="3332D68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Hesitant to enact policies of programs that might be seen to impinge on individual freedom. </w:t>
      </w:r>
    </w:p>
    <w:p w14:paraId="405D1CE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In order to eradicate disparities, we need to target their root social and structural causes </w:t>
      </w:r>
    </w:p>
    <w:p w14:paraId="4F2AFA00"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Structural changes to reduce the impact of other behaviours and risk factors might not be able to win general support and therefore there might be more political reluctance to implement changes. </w:t>
      </w:r>
    </w:p>
    <w:p w14:paraId="3EC5A64B"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Individuals of higher socioeconomic status placed blame for health inequalities on lifestyle choices and behaviours, rather than acknowledging that there are actual societal differences between the groups; victim blaming</w:t>
      </w:r>
    </w:p>
    <w:p w14:paraId="3F89725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Individual choice does have a strong effect on health outcomes relation to non infectious diseases that people need supportive environments in order too make healthy choices. </w:t>
      </w:r>
    </w:p>
    <w:p w14:paraId="16F497C7"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Effective programs would require action from a variety of political sectors not just the health sector. </w:t>
      </w:r>
    </w:p>
    <w:p w14:paraId="406F5FCC" w14:textId="77777777" w:rsidR="00E87B61" w:rsidRPr="007C49D4" w:rsidRDefault="00E87B61" w:rsidP="00E87B61">
      <w:pPr>
        <w:rPr>
          <w:rFonts w:ascii="Calibri" w:hAnsi="Calibri"/>
          <w:lang w:val="en-CA"/>
        </w:rPr>
      </w:pPr>
      <w:r w:rsidRPr="007C49D4">
        <w:rPr>
          <w:rFonts w:ascii="Calibri" w:hAnsi="Calibri"/>
          <w:lang w:val="en-CA"/>
        </w:rPr>
        <w:t xml:space="preserve">Conclusion: </w:t>
      </w:r>
    </w:p>
    <w:p w14:paraId="0BBAD8EC"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Consensus: programs need to target the fundamental causes of disadvantage and be participator in nature </w:t>
      </w:r>
    </w:p>
    <w:p w14:paraId="1A2097F9"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Important to change the norms associated with behaviours in order to benefit population health </w:t>
      </w:r>
    </w:p>
    <w:p w14:paraId="6F72F4CF"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 xml:space="preserve">Health promotion programs need to targeted to disadvantaged populations </w:t>
      </w:r>
    </w:p>
    <w:p w14:paraId="2826A2BC" w14:textId="77777777" w:rsidR="00E87B61" w:rsidRPr="007C49D4" w:rsidRDefault="00E87B61" w:rsidP="00E87B61">
      <w:pPr>
        <w:pStyle w:val="ListParagraph"/>
        <w:numPr>
          <w:ilvl w:val="0"/>
          <w:numId w:val="5"/>
        </w:numPr>
        <w:rPr>
          <w:rFonts w:ascii="Calibri" w:hAnsi="Calibri"/>
          <w:lang w:val="en-CA"/>
        </w:rPr>
      </w:pPr>
      <w:r w:rsidRPr="007C49D4">
        <w:rPr>
          <w:rFonts w:ascii="Calibri" w:hAnsi="Calibri"/>
          <w:lang w:val="en-CA"/>
        </w:rPr>
        <w:t>When programs rely solely on individual initiative there is a danger that they are disproportionately taken up by the more affluent or connected in society</w:t>
      </w:r>
    </w:p>
    <w:p w14:paraId="6D3DD1BF" w14:textId="77777777" w:rsidR="00E87B61" w:rsidRPr="007C49D4" w:rsidRDefault="00E87B61" w:rsidP="00E87B61">
      <w:pPr>
        <w:ind w:left="360"/>
        <w:rPr>
          <w:rFonts w:ascii="Calibri" w:hAnsi="Calibri"/>
          <w:lang w:val="en-CA"/>
        </w:rPr>
      </w:pPr>
    </w:p>
    <w:p w14:paraId="77A48937" w14:textId="77777777" w:rsidR="00E87B61" w:rsidRPr="007C49D4" w:rsidRDefault="00E87B61" w:rsidP="00E87B61">
      <w:pPr>
        <w:rPr>
          <w:rFonts w:ascii="Calibri" w:hAnsi="Calibri"/>
          <w:b/>
          <w:sz w:val="28"/>
          <w:lang w:val="en-CA"/>
        </w:rPr>
      </w:pPr>
      <w:r w:rsidRPr="007C49D4">
        <w:rPr>
          <w:rFonts w:ascii="Calibri" w:hAnsi="Calibri"/>
          <w:b/>
          <w:sz w:val="28"/>
          <w:lang w:val="en-CA"/>
        </w:rPr>
        <w:t>Upstream thinking and health promotion planning for older adults at risk of social isolation article</w:t>
      </w:r>
    </w:p>
    <w:p w14:paraId="7E30F47E" w14:textId="77777777" w:rsidR="00E87B61" w:rsidRPr="007C49D4" w:rsidRDefault="00E87B61" w:rsidP="00E87B61">
      <w:pPr>
        <w:rPr>
          <w:rFonts w:ascii="Calibri" w:hAnsi="Calibri"/>
          <w:u w:val="single"/>
          <w:lang w:val="en-CA"/>
        </w:rPr>
      </w:pPr>
    </w:p>
    <w:p w14:paraId="37208D2B" w14:textId="77777777" w:rsidR="00E87B61" w:rsidRPr="007C49D4" w:rsidRDefault="00E87B61" w:rsidP="00E87B61">
      <w:pPr>
        <w:rPr>
          <w:rFonts w:ascii="Calibri" w:hAnsi="Calibri"/>
          <w:lang w:val="en-CA"/>
        </w:rPr>
      </w:pPr>
      <w:r w:rsidRPr="007C49D4">
        <w:rPr>
          <w:rFonts w:ascii="Calibri" w:hAnsi="Calibri"/>
          <w:lang w:val="en-CA"/>
        </w:rPr>
        <w:t>Background:</w:t>
      </w:r>
    </w:p>
    <w:p w14:paraId="76D48D26" w14:textId="77777777" w:rsidR="00E87B61" w:rsidRPr="007C49D4" w:rsidRDefault="00E87B61" w:rsidP="00E87B61">
      <w:pPr>
        <w:rPr>
          <w:rFonts w:ascii="Calibri" w:hAnsi="Calibri"/>
          <w:u w:val="single"/>
          <w:lang w:val="en-CA"/>
        </w:rPr>
      </w:pPr>
    </w:p>
    <w:p w14:paraId="5337E589"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Social isolation has been associated with clinical depression, undernutrition, acute and chronic illnesses and unmet health care needs as well as premature death </w:t>
      </w:r>
    </w:p>
    <w:p w14:paraId="226DA6FE"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Social isolation was recognized as a common health risk in the late 1970s</w:t>
      </w:r>
    </w:p>
    <w:p w14:paraId="63AC192A"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Factors causing older adults to be susceptible to isolation include: losing a significant other, living alone, low income, having one or more chronic illnesses, experiencing transportation and mobility limitations, reduced strength and discomfort</w:t>
      </w:r>
    </w:p>
    <w:p w14:paraId="5C4E579E"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Canada’s Population Health Promotion Model (PHPM) is a commonly used framework in Canada for conceptualizing, planning and addressing health promotion needs for entire populations or select population subgroups. </w:t>
      </w:r>
    </w:p>
    <w:p w14:paraId="44842FCD"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The PHPM is 3 dimensional: </w:t>
      </w:r>
    </w:p>
    <w:p w14:paraId="1E2A986D" w14:textId="77777777" w:rsidR="00E87B61" w:rsidRPr="007C49D4" w:rsidRDefault="00E87B61" w:rsidP="00E87B61">
      <w:pPr>
        <w:pStyle w:val="ListParagraph"/>
        <w:numPr>
          <w:ilvl w:val="1"/>
          <w:numId w:val="6"/>
        </w:numPr>
        <w:rPr>
          <w:rFonts w:ascii="Calibri" w:hAnsi="Calibri"/>
          <w:lang w:val="en-CA"/>
        </w:rPr>
      </w:pPr>
      <w:r w:rsidRPr="007C49D4">
        <w:rPr>
          <w:rFonts w:ascii="Calibri" w:hAnsi="Calibri"/>
          <w:lang w:val="en-CA"/>
        </w:rPr>
        <w:t xml:space="preserve">Ottawa Charter’s five health promotion strategies (building healthy public policy, creating supportive environments for health, strengthening community action, developing personal skills and reorienting health services) </w:t>
      </w:r>
    </w:p>
    <w:p w14:paraId="632655FA" w14:textId="77777777" w:rsidR="00E87B61" w:rsidRPr="007C49D4" w:rsidRDefault="00E87B61" w:rsidP="00E87B61">
      <w:pPr>
        <w:pStyle w:val="ListParagraph"/>
        <w:numPr>
          <w:ilvl w:val="1"/>
          <w:numId w:val="6"/>
        </w:numPr>
        <w:rPr>
          <w:rFonts w:ascii="Calibri" w:hAnsi="Calibri"/>
          <w:lang w:val="en-CA"/>
        </w:rPr>
      </w:pPr>
      <w:r w:rsidRPr="007C49D4">
        <w:rPr>
          <w:rFonts w:ascii="Calibri" w:hAnsi="Calibri"/>
          <w:lang w:val="en-CA"/>
        </w:rPr>
        <w:t>Five levels of intervention: society, sector/system, community, family, individual)</w:t>
      </w:r>
    </w:p>
    <w:p w14:paraId="50BD437E" w14:textId="77777777" w:rsidR="00E87B61" w:rsidRPr="007C49D4" w:rsidRDefault="00E87B61" w:rsidP="00E87B61">
      <w:pPr>
        <w:pStyle w:val="ListParagraph"/>
        <w:numPr>
          <w:ilvl w:val="1"/>
          <w:numId w:val="6"/>
        </w:numPr>
        <w:rPr>
          <w:rFonts w:ascii="Calibri" w:hAnsi="Calibri"/>
          <w:lang w:val="en-CA"/>
        </w:rPr>
      </w:pPr>
      <w:r w:rsidRPr="007C49D4">
        <w:rPr>
          <w:rFonts w:ascii="Calibri" w:hAnsi="Calibri"/>
          <w:lang w:val="en-CA"/>
        </w:rPr>
        <w:t xml:space="preserve">The 12 determinants of health: </w:t>
      </w:r>
    </w:p>
    <w:p w14:paraId="07D3134A"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income and social status</w:t>
      </w:r>
      <w:r w:rsidRPr="007C49D4">
        <w:rPr>
          <w:rFonts w:ascii="Calibri" w:hAnsi="Calibri"/>
          <w:lang w:val="en-CA"/>
        </w:rPr>
        <w:tab/>
      </w:r>
    </w:p>
    <w:p w14:paraId="4797C18B"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social supports networks</w:t>
      </w:r>
    </w:p>
    <w:p w14:paraId="23E8CC29"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education and literacy</w:t>
      </w:r>
    </w:p>
    <w:p w14:paraId="34ED127E"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employment/working conditions</w:t>
      </w:r>
    </w:p>
    <w:p w14:paraId="05EB3E33"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social environments</w:t>
      </w:r>
    </w:p>
    <w:p w14:paraId="2CBDD683"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physical environments</w:t>
      </w:r>
    </w:p>
    <w:p w14:paraId="09DB2AF9"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personal health practices and coping skills</w:t>
      </w:r>
    </w:p>
    <w:p w14:paraId="380C3B98"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healthy child development</w:t>
      </w:r>
    </w:p>
    <w:p w14:paraId="48570558"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biology and genetic endowment</w:t>
      </w:r>
    </w:p>
    <w:p w14:paraId="4D74D39D"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gender</w:t>
      </w:r>
    </w:p>
    <w:p w14:paraId="15E7154A"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culture</w:t>
      </w:r>
    </w:p>
    <w:p w14:paraId="5D2876E5" w14:textId="77777777" w:rsidR="00E87B61" w:rsidRPr="007C49D4" w:rsidRDefault="00E87B61" w:rsidP="00E87B61">
      <w:pPr>
        <w:pStyle w:val="ListParagraph"/>
        <w:numPr>
          <w:ilvl w:val="2"/>
          <w:numId w:val="6"/>
        </w:numPr>
        <w:rPr>
          <w:rFonts w:ascii="Calibri" w:hAnsi="Calibri"/>
          <w:lang w:val="en-CA"/>
        </w:rPr>
      </w:pPr>
      <w:r w:rsidRPr="007C49D4">
        <w:rPr>
          <w:rFonts w:ascii="Calibri" w:hAnsi="Calibri"/>
          <w:lang w:val="en-CA"/>
        </w:rPr>
        <w:t>the health care system</w:t>
      </w:r>
    </w:p>
    <w:p w14:paraId="7466262D" w14:textId="77777777" w:rsidR="00E87B61" w:rsidRPr="007C49D4" w:rsidRDefault="00E87B61" w:rsidP="00E87B61">
      <w:pPr>
        <w:rPr>
          <w:rFonts w:ascii="Calibri" w:hAnsi="Calibri"/>
          <w:lang w:val="en-CA"/>
        </w:rPr>
      </w:pPr>
      <w:r w:rsidRPr="007C49D4">
        <w:rPr>
          <w:rFonts w:ascii="Calibri" w:hAnsi="Calibri"/>
          <w:lang w:val="en-CA"/>
        </w:rPr>
        <w:t xml:space="preserve">Identifying the specific health determinants to enhance the prevention of social isolation: </w:t>
      </w:r>
    </w:p>
    <w:p w14:paraId="0DD37746"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There are two common forms of social isolation among older adults: isolation occurs by choosing not to connect with others but more often it is an outcome of circumstances that decreases the person’s ability or opportunities to interact with others</w:t>
      </w:r>
    </w:p>
    <w:p w14:paraId="049373B4"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Low life satisfaction: low self perception of health, inadequate financial resources, feelings of loneliness. Older persons who perceive themselves in poor health are inclined to accept illness as a natural or inevitable aspect of aging. Also people who hold the view that they will become ill as they age are not likely to carry out measures to maintain health and old age. Health promotion targeted at people who are retiring is important. </w:t>
      </w:r>
      <w:r w:rsidRPr="007C49D4">
        <w:rPr>
          <w:rFonts w:ascii="Calibri" w:hAnsi="Calibri"/>
          <w:lang w:val="en-CA"/>
        </w:rPr>
        <w:sym w:font="Wingdings" w:char="F0E0"/>
      </w:r>
      <w:r w:rsidRPr="007C49D4">
        <w:rPr>
          <w:rFonts w:ascii="Calibri" w:hAnsi="Calibri"/>
          <w:lang w:val="en-CA"/>
        </w:rPr>
        <w:t xml:space="preserve"> health determinant “personal health practices and coping skills” significant to social isolation </w:t>
      </w:r>
    </w:p>
    <w:p w14:paraId="27CA6781"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Inadequate finances correlates with the older person’s inability to socialize </w:t>
      </w:r>
      <w:r w:rsidRPr="007C49D4">
        <w:rPr>
          <w:rFonts w:ascii="Calibri" w:hAnsi="Calibri"/>
          <w:lang w:val="en-CA"/>
        </w:rPr>
        <w:sym w:font="Wingdings" w:char="F0E0"/>
      </w:r>
      <w:r w:rsidRPr="007C49D4">
        <w:rPr>
          <w:rFonts w:ascii="Calibri" w:hAnsi="Calibri"/>
          <w:lang w:val="en-CA"/>
        </w:rPr>
        <w:t xml:space="preserve"> “income and social status”</w:t>
      </w:r>
    </w:p>
    <w:p w14:paraId="1AF192A9"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Infrequent participation in social activities, perceived isolation and poor social support were associated with lower physical and mental health among older adults </w:t>
      </w:r>
      <w:r w:rsidRPr="007C49D4">
        <w:rPr>
          <w:rFonts w:ascii="Calibri" w:hAnsi="Calibri"/>
          <w:lang w:val="en-CA"/>
        </w:rPr>
        <w:sym w:font="Wingdings" w:char="F0E0"/>
      </w:r>
      <w:r w:rsidRPr="007C49D4">
        <w:rPr>
          <w:rFonts w:ascii="Calibri" w:hAnsi="Calibri"/>
          <w:lang w:val="en-CA"/>
        </w:rPr>
        <w:t xml:space="preserve"> “social support network”</w:t>
      </w:r>
    </w:p>
    <w:p w14:paraId="40942C38" w14:textId="77777777" w:rsidR="00E87B61" w:rsidRPr="007C49D4" w:rsidRDefault="00E87B61" w:rsidP="00E87B61">
      <w:pPr>
        <w:ind w:left="360"/>
        <w:rPr>
          <w:rFonts w:ascii="Calibri" w:hAnsi="Calibri"/>
          <w:lang w:val="en-CA"/>
        </w:rPr>
      </w:pPr>
    </w:p>
    <w:p w14:paraId="0F713D7C" w14:textId="77777777" w:rsidR="00E87B61" w:rsidRPr="007C49D4" w:rsidRDefault="00E87B61" w:rsidP="00E87B61">
      <w:pPr>
        <w:rPr>
          <w:rFonts w:ascii="Calibri" w:hAnsi="Calibri"/>
          <w:lang w:val="en-CA"/>
        </w:rPr>
      </w:pPr>
      <w:r w:rsidRPr="007C49D4">
        <w:rPr>
          <w:rFonts w:ascii="Calibri" w:hAnsi="Calibri"/>
          <w:lang w:val="en-CA"/>
        </w:rPr>
        <w:t>Creating policy and direct action:</w:t>
      </w:r>
    </w:p>
    <w:p w14:paraId="0650690F"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Nurses able to detect at risk patients</w:t>
      </w:r>
    </w:p>
    <w:p w14:paraId="55DB21F7"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Nurses could start by creating systems designed to routinely identify older clients who lack friends or family, or require financial assistance, with social service or other organizations</w:t>
      </w:r>
    </w:p>
    <w:p w14:paraId="52B2DF70"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Meals-on-Wheels: effective at meeting nutritional needs and with the added benefit of socialization between drivers and recipients. </w:t>
      </w:r>
    </w:p>
    <w:p w14:paraId="3332BC4E"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Wheels-to-Meal: similar program where the older person is transported to where they can socialize with others when eating</w:t>
      </w:r>
    </w:p>
    <w:p w14:paraId="3C6ED666"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Age friendly and affordable transportation for elderly… free public transportation for elderly? </w:t>
      </w:r>
    </w:p>
    <w:p w14:paraId="0323EDA3" w14:textId="77777777" w:rsidR="00E87B61" w:rsidRPr="007C49D4" w:rsidRDefault="00E87B61" w:rsidP="00E87B61">
      <w:pPr>
        <w:rPr>
          <w:rFonts w:ascii="Calibri" w:hAnsi="Calibri"/>
          <w:lang w:val="en-CA"/>
        </w:rPr>
      </w:pPr>
      <w:r w:rsidRPr="007C49D4">
        <w:rPr>
          <w:rFonts w:ascii="Calibri" w:hAnsi="Calibri"/>
          <w:lang w:val="en-CA"/>
        </w:rPr>
        <w:t xml:space="preserve">Action strategies: </w:t>
      </w:r>
    </w:p>
    <w:p w14:paraId="14602CE1"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Identify all older adults who are reluctant to to engage in social activities, health promotion and illness preventative measures could be a mission for all nurses</w:t>
      </w:r>
    </w:p>
    <w:p w14:paraId="48A68317"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Linking older person with social programs, home visits, telephone calls, and internet interaction programs</w:t>
      </w:r>
      <w:bookmarkStart w:id="0" w:name="_GoBack"/>
      <w:bookmarkEnd w:id="0"/>
    </w:p>
    <w:p w14:paraId="36FFE18C"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Encourage the development of community based programs to assist older adults to maintain or improve their self care capacity </w:t>
      </w:r>
    </w:p>
    <w:p w14:paraId="117C89AF"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Befriending, like I don’t know why they can’t just say make friends. </w:t>
      </w:r>
    </w:p>
    <w:p w14:paraId="71BABF89"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Business to provide a space weekly for older adults to come and socialize</w:t>
      </w:r>
    </w:p>
    <w:p w14:paraId="2452D71E" w14:textId="77777777" w:rsidR="00E87B61" w:rsidRPr="007C49D4" w:rsidRDefault="00E87B61" w:rsidP="00E87B61">
      <w:pPr>
        <w:pStyle w:val="ListParagraph"/>
        <w:numPr>
          <w:ilvl w:val="0"/>
          <w:numId w:val="6"/>
        </w:numPr>
        <w:rPr>
          <w:rFonts w:ascii="Calibri" w:hAnsi="Calibri"/>
          <w:lang w:val="en-CA"/>
        </w:rPr>
      </w:pPr>
      <w:r w:rsidRPr="007C49D4">
        <w:rPr>
          <w:rFonts w:ascii="Calibri" w:hAnsi="Calibri"/>
          <w:lang w:val="en-CA"/>
        </w:rPr>
        <w:t xml:space="preserve">Ultimately, it is important to target ageism. </w:t>
      </w:r>
    </w:p>
    <w:p w14:paraId="1913668E" w14:textId="77777777" w:rsidR="00E87B61" w:rsidRPr="007C49D4" w:rsidRDefault="00E87B61" w:rsidP="00E87B61">
      <w:pPr>
        <w:rPr>
          <w:rFonts w:ascii="Calibri" w:hAnsi="Calibri"/>
          <w:lang w:val="en-CA"/>
        </w:rPr>
      </w:pPr>
    </w:p>
    <w:p w14:paraId="18520219" w14:textId="77777777" w:rsidR="00E87B61" w:rsidRPr="007C49D4" w:rsidRDefault="00E87B61" w:rsidP="00E87B61">
      <w:pPr>
        <w:jc w:val="center"/>
        <w:rPr>
          <w:rFonts w:ascii="Calibri" w:hAnsi="Calibri"/>
          <w:b/>
          <w:sz w:val="28"/>
          <w:lang w:val="en-CA"/>
        </w:rPr>
      </w:pPr>
      <w:r w:rsidRPr="007C49D4">
        <w:rPr>
          <w:rFonts w:ascii="Calibri" w:hAnsi="Calibri"/>
          <w:b/>
          <w:sz w:val="28"/>
          <w:lang w:val="en-CA"/>
        </w:rPr>
        <w:t>Social Determinants of Health: Pg 1-12</w:t>
      </w:r>
    </w:p>
    <w:p w14:paraId="1D272884" w14:textId="77777777" w:rsidR="00E87B61" w:rsidRPr="007C49D4" w:rsidRDefault="00E87B61" w:rsidP="00E87B61">
      <w:pPr>
        <w:pStyle w:val="ListParagraph"/>
        <w:numPr>
          <w:ilvl w:val="0"/>
          <w:numId w:val="9"/>
        </w:numPr>
        <w:rPr>
          <w:rFonts w:ascii="Calibri" w:hAnsi="Calibri"/>
          <w:lang w:val="en-CA"/>
        </w:rPr>
      </w:pPr>
      <w:r w:rsidRPr="007C49D4">
        <w:rPr>
          <w:rFonts w:ascii="Calibri" w:hAnsi="Calibri"/>
          <w:lang w:val="en-CA"/>
        </w:rPr>
        <w:t xml:space="preserve">Introduction: </w:t>
      </w:r>
    </w:p>
    <w:p w14:paraId="024A029C" w14:textId="77777777" w:rsidR="00E87B61" w:rsidRPr="007C49D4" w:rsidRDefault="00E87B61" w:rsidP="00E87B61">
      <w:pPr>
        <w:pStyle w:val="ListParagraph"/>
        <w:widowControl w:val="0"/>
        <w:numPr>
          <w:ilvl w:val="0"/>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Canada is so wealthy that it manages to mask the reality of poverty, social exclusion and discrimination, the erosion of employment quality, its adverse mental health outcomes, and youth suicides </w:t>
      </w:r>
    </w:p>
    <w:p w14:paraId="6C52C60E" w14:textId="77777777" w:rsidR="00E87B61" w:rsidRPr="007C49D4" w:rsidRDefault="00E87B61" w:rsidP="00E87B61">
      <w:pPr>
        <w:pStyle w:val="ListParagraph"/>
        <w:widowControl w:val="0"/>
        <w:numPr>
          <w:ilvl w:val="0"/>
          <w:numId w:val="7"/>
        </w:numPr>
        <w:autoSpaceDE w:val="0"/>
        <w:autoSpaceDN w:val="0"/>
        <w:adjustRightInd w:val="0"/>
        <w:spacing w:after="240" w:line="360" w:lineRule="atLeast"/>
        <w:rPr>
          <w:rFonts w:ascii="Calibri" w:hAnsi="Calibri" w:cs="Times"/>
          <w:lang w:val="en-CA"/>
        </w:rPr>
      </w:pPr>
      <w:r w:rsidRPr="007C49D4">
        <w:rPr>
          <w:rFonts w:ascii="Calibri" w:hAnsi="Calibri"/>
          <w:lang w:val="en-CA"/>
        </w:rPr>
        <w:t xml:space="preserve">What good </w:t>
      </w:r>
      <w:r w:rsidRPr="007C49D4">
        <w:rPr>
          <w:rFonts w:ascii="Calibri" w:hAnsi="Calibri" w:cs="Times"/>
          <w:lang w:val="en-CA"/>
        </w:rPr>
        <w:t xml:space="preserve">does it do to treat people’s illnesses, to then send them back to the conditions that made them sick? </w:t>
      </w:r>
    </w:p>
    <w:p w14:paraId="3E84E772" w14:textId="77777777" w:rsidR="00E87B61" w:rsidRPr="007C49D4" w:rsidRDefault="00E87B61" w:rsidP="00E87B61">
      <w:pPr>
        <w:pStyle w:val="ListParagraph"/>
        <w:widowControl w:val="0"/>
        <w:numPr>
          <w:ilvl w:val="0"/>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living conditions are imposed upon us by the quality of the communities, housing situations, our work settings, health and social service agencies, and educational institutions with which we interact.</w:t>
      </w:r>
    </w:p>
    <w:p w14:paraId="0BAFE199" w14:textId="77777777" w:rsidR="00E87B61" w:rsidRPr="007C49D4" w:rsidRDefault="00E87B61" w:rsidP="00E87B61">
      <w:pPr>
        <w:pStyle w:val="ListParagraph"/>
        <w:widowControl w:val="0"/>
        <w:numPr>
          <w:ilvl w:val="0"/>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the quality of these health-shaping living conditions is strongly determined by decisions that governments make in a range of different public policy domains. Governments at the municipal, provincial/territorial, and federal levels create policies, laws, and regulations that influence how much income Canadians receive through employment, family benefits, or social assistance, the quality and availability of affordable housing, the kinds of health and social services and recreational opportunities we can access, and even what happens when Canadians lose their jobs during economic downturns</w:t>
      </w:r>
    </w:p>
    <w:p w14:paraId="756E749C" w14:textId="77777777" w:rsidR="00E87B61" w:rsidRPr="007C49D4" w:rsidRDefault="00E87B61" w:rsidP="00E87B61">
      <w:pPr>
        <w:pStyle w:val="ListParagraph"/>
        <w:widowControl w:val="0"/>
        <w:numPr>
          <w:ilvl w:val="0"/>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14 social determinants of health: </w:t>
      </w:r>
    </w:p>
    <w:p w14:paraId="297C7032"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sectPr w:rsidR="00E87B61" w:rsidRPr="007C49D4" w:rsidSect="00012D6C">
          <w:pgSz w:w="12240" w:h="15840"/>
          <w:pgMar w:top="1440" w:right="1440" w:bottom="1440" w:left="1440" w:header="708" w:footer="708" w:gutter="0"/>
          <w:cols w:space="708"/>
          <w:docGrid w:linePitch="360"/>
        </w:sectPr>
      </w:pPr>
    </w:p>
    <w:p w14:paraId="25E8FAD1"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Aboriginal status</w:t>
      </w:r>
    </w:p>
    <w:p w14:paraId="75EAF6CB"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disability</w:t>
      </w:r>
      <w:r w:rsidRPr="007C49D4">
        <w:rPr>
          <w:rFonts w:ascii="MS Mincho" w:eastAsia="MS Mincho" w:hAnsi="MS Mincho" w:cs="MS Mincho"/>
          <w:lang w:val="en-CA"/>
        </w:rPr>
        <w:t> </w:t>
      </w:r>
    </w:p>
    <w:p w14:paraId="520AC5E7"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early life</w:t>
      </w:r>
      <w:r w:rsidRPr="007C49D4">
        <w:rPr>
          <w:rFonts w:ascii="MS Mincho" w:eastAsia="MS Mincho" w:hAnsi="MS Mincho" w:cs="MS Mincho"/>
          <w:lang w:val="en-CA"/>
        </w:rPr>
        <w:t> </w:t>
      </w:r>
    </w:p>
    <w:p w14:paraId="02570803"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education</w:t>
      </w:r>
      <w:r w:rsidRPr="007C49D4">
        <w:rPr>
          <w:rFonts w:ascii="MS Mincho" w:eastAsia="MS Mincho" w:hAnsi="MS Mincho" w:cs="MS Mincho"/>
          <w:lang w:val="en-CA"/>
        </w:rPr>
        <w:t> </w:t>
      </w:r>
    </w:p>
    <w:p w14:paraId="5FDB0D71"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employment and working conditions </w:t>
      </w:r>
    </w:p>
    <w:p w14:paraId="719F844A"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food insecurity </w:t>
      </w:r>
    </w:p>
    <w:p w14:paraId="0FA2EC5E"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health services </w:t>
      </w:r>
    </w:p>
    <w:p w14:paraId="785291C2"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gender</w:t>
      </w:r>
      <w:r w:rsidRPr="007C49D4">
        <w:rPr>
          <w:rFonts w:ascii="MS Mincho" w:eastAsia="MS Mincho" w:hAnsi="MS Mincho" w:cs="MS Mincho"/>
          <w:lang w:val="en-CA"/>
        </w:rPr>
        <w:t> </w:t>
      </w:r>
    </w:p>
    <w:p w14:paraId="12AEC7D9"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housing</w:t>
      </w:r>
      <w:r w:rsidRPr="007C49D4">
        <w:rPr>
          <w:rFonts w:ascii="MS Mincho" w:eastAsia="MS Mincho" w:hAnsi="MS Mincho" w:cs="MS Mincho"/>
          <w:lang w:val="en-CA"/>
        </w:rPr>
        <w:t> </w:t>
      </w:r>
    </w:p>
    <w:p w14:paraId="563599C9"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income and income distribution </w:t>
      </w:r>
    </w:p>
    <w:p w14:paraId="61599892"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race</w:t>
      </w:r>
      <w:r w:rsidRPr="007C49D4">
        <w:rPr>
          <w:rFonts w:ascii="MS Mincho" w:eastAsia="MS Mincho" w:hAnsi="MS Mincho" w:cs="MS Mincho"/>
          <w:lang w:val="en-CA"/>
        </w:rPr>
        <w:t> </w:t>
      </w:r>
    </w:p>
    <w:p w14:paraId="453F101A"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social exclusion</w:t>
      </w:r>
      <w:r w:rsidRPr="007C49D4">
        <w:rPr>
          <w:rFonts w:ascii="MS Mincho" w:eastAsia="MS Mincho" w:hAnsi="MS Mincho" w:cs="MS Mincho"/>
          <w:lang w:val="en-CA"/>
        </w:rPr>
        <w:t> </w:t>
      </w:r>
    </w:p>
    <w:p w14:paraId="1F5980FA"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social safety net</w:t>
      </w:r>
      <w:r w:rsidRPr="007C49D4">
        <w:rPr>
          <w:rFonts w:ascii="MS Mincho" w:eastAsia="MS Mincho" w:hAnsi="MS Mincho" w:cs="MS Mincho"/>
          <w:lang w:val="en-CA"/>
        </w:rPr>
        <w:t> </w:t>
      </w:r>
    </w:p>
    <w:p w14:paraId="47B5ADE4" w14:textId="77777777" w:rsidR="00E87B61" w:rsidRPr="007C49D4" w:rsidRDefault="00E87B61" w:rsidP="00E87B61">
      <w:pPr>
        <w:pStyle w:val="ListParagraph"/>
        <w:widowControl w:val="0"/>
        <w:numPr>
          <w:ilvl w:val="1"/>
          <w:numId w:val="7"/>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unemployment and job security </w:t>
      </w:r>
    </w:p>
    <w:p w14:paraId="1FDCF113" w14:textId="77777777" w:rsidR="00E87B61" w:rsidRPr="007C49D4" w:rsidRDefault="00E87B61" w:rsidP="00E87B61">
      <w:pPr>
        <w:widowControl w:val="0"/>
        <w:autoSpaceDE w:val="0"/>
        <w:autoSpaceDN w:val="0"/>
        <w:adjustRightInd w:val="0"/>
        <w:spacing w:after="240" w:line="360" w:lineRule="atLeast"/>
        <w:rPr>
          <w:rFonts w:ascii="Calibri" w:hAnsi="Calibri" w:cs="Times"/>
          <w:lang w:val="en-CA"/>
        </w:rPr>
        <w:sectPr w:rsidR="00E87B61" w:rsidRPr="007C49D4" w:rsidSect="0007576A">
          <w:type w:val="continuous"/>
          <w:pgSz w:w="12240" w:h="15840"/>
          <w:pgMar w:top="1440" w:right="1440" w:bottom="1440" w:left="1440" w:header="708" w:footer="708" w:gutter="0"/>
          <w:cols w:num="2" w:space="708"/>
          <w:docGrid w:linePitch="360"/>
        </w:sectPr>
      </w:pPr>
    </w:p>
    <w:p w14:paraId="7A19394B" w14:textId="77777777" w:rsidR="00E87B61" w:rsidRPr="007C49D4" w:rsidRDefault="00E87B61" w:rsidP="00E87B61">
      <w:pPr>
        <w:widowControl w:val="0"/>
        <w:autoSpaceDE w:val="0"/>
        <w:autoSpaceDN w:val="0"/>
        <w:adjustRightInd w:val="0"/>
        <w:spacing w:after="240" w:line="360" w:lineRule="atLeast"/>
        <w:rPr>
          <w:rFonts w:ascii="Calibri" w:hAnsi="Calibri" w:cs="Times"/>
          <w:lang w:val="en-CA"/>
        </w:rPr>
      </w:pPr>
      <w:r w:rsidRPr="007C49D4">
        <w:rPr>
          <w:rFonts w:ascii="Calibri" w:hAnsi="Calibri" w:cs="Times"/>
          <w:lang w:val="en-CA"/>
        </w:rPr>
        <w:t>2. Stress, bodies and illnesses</w:t>
      </w:r>
    </w:p>
    <w:p w14:paraId="34B7F8D1"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people experience high levels of physiological and psychological stress d/t coping with conditions of low income, poor quality housing, food insecurity, inadequate working conditions, insecure employment.</w:t>
      </w:r>
    </w:p>
    <w:p w14:paraId="10D14C76"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Chronic stress can lead to prolonged biological reactions that strain the physical body. </w:t>
      </w:r>
    </w:p>
    <w:p w14:paraId="486EF8DF"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stressful and poor living conditions can cause continuing feelings of shame, insecurity and worthlessness. </w:t>
      </w:r>
    </w:p>
    <w:p w14:paraId="644E7114"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uncertainty about the future raises anxiety and hopelessness that increases the level of exhaustion and makes everyday coping even more difficult. </w:t>
      </w:r>
    </w:p>
    <w:p w14:paraId="305505F3"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unhealthy coping behaviours, such as the excessive use of alcohol, smoking, and overeating carbohydrates. – bringing momentary relief </w:t>
      </w:r>
    </w:p>
    <w:p w14:paraId="48D21484"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Stressful living conditions make it extremely hard to take up physical leisure activity or practice healthy eating habits </w:t>
      </w:r>
    </w:p>
    <w:p w14:paraId="3E69F29B"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Drugs – illegal, prescribed- only relieves symptoms of stress</w:t>
      </w:r>
    </w:p>
    <w:p w14:paraId="018CF84F" w14:textId="77777777" w:rsidR="00E87B61" w:rsidRPr="007C49D4" w:rsidRDefault="00E87B61" w:rsidP="00E87B61">
      <w:pPr>
        <w:pStyle w:val="ListParagraph"/>
        <w:widowControl w:val="0"/>
        <w:numPr>
          <w:ilvl w:val="0"/>
          <w:numId w:val="8"/>
        </w:numPr>
        <w:autoSpaceDE w:val="0"/>
        <w:autoSpaceDN w:val="0"/>
        <w:adjustRightInd w:val="0"/>
        <w:spacing w:after="240" w:line="360" w:lineRule="atLeast"/>
        <w:rPr>
          <w:rFonts w:ascii="Calibri" w:hAnsi="Calibri" w:cs="Times"/>
          <w:lang w:val="en-CA"/>
        </w:rPr>
      </w:pPr>
      <w:r w:rsidRPr="007C49D4">
        <w:rPr>
          <w:rFonts w:ascii="Calibri" w:hAnsi="Calibri" w:cs="Times"/>
          <w:lang w:val="en-CA"/>
        </w:rPr>
        <w:t xml:space="preserve">Policy implications: the focus must be on the source of problems rather than dealing with symptoms. Thus, an elective way to reduce stress and improve health is by improving the living conditions people experience. </w:t>
      </w:r>
    </w:p>
    <w:p w14:paraId="181E9391" w14:textId="77777777" w:rsidR="00E87B61" w:rsidRPr="007C49D4" w:rsidRDefault="00E87B61" w:rsidP="00E87B61">
      <w:pPr>
        <w:pStyle w:val="ListParagraph"/>
        <w:widowControl w:val="0"/>
        <w:autoSpaceDE w:val="0"/>
        <w:autoSpaceDN w:val="0"/>
        <w:adjustRightInd w:val="0"/>
        <w:spacing w:after="240" w:line="360" w:lineRule="atLeast"/>
        <w:rPr>
          <w:rFonts w:ascii="Calibri" w:hAnsi="Calibri" w:cs="Times"/>
          <w:lang w:val="en-CA"/>
        </w:rPr>
      </w:pPr>
    </w:p>
    <w:p w14:paraId="680FE33D" w14:textId="77777777" w:rsidR="00E87B61" w:rsidRPr="007C49D4" w:rsidRDefault="00E87B61" w:rsidP="00E87B61">
      <w:pPr>
        <w:rPr>
          <w:rFonts w:ascii="Calibri" w:hAnsi="Calibri"/>
          <w:lang w:val="en-CA"/>
        </w:rPr>
      </w:pPr>
    </w:p>
    <w:p w14:paraId="448D7E07" w14:textId="77777777" w:rsidR="00E87B61" w:rsidRPr="007C49D4" w:rsidRDefault="00E87B61" w:rsidP="00E87B61">
      <w:pPr>
        <w:rPr>
          <w:rFonts w:ascii="Calibri" w:hAnsi="Calibri"/>
          <w:lang w:val="en-CA"/>
        </w:rPr>
      </w:pPr>
    </w:p>
    <w:p w14:paraId="0328B30E" w14:textId="77777777" w:rsidR="00E87B61" w:rsidRPr="007C49D4" w:rsidRDefault="00E87B61" w:rsidP="00E87B61">
      <w:pPr>
        <w:rPr>
          <w:rFonts w:ascii="Calibri" w:hAnsi="Calibri"/>
          <w:lang w:val="en-CA"/>
        </w:rPr>
      </w:pPr>
    </w:p>
    <w:p w14:paraId="4B69D1C3" w14:textId="77777777" w:rsidR="00E87B61" w:rsidRPr="007C49D4" w:rsidRDefault="00E87B61" w:rsidP="00E87B61">
      <w:pPr>
        <w:rPr>
          <w:rFonts w:ascii="Calibri" w:hAnsi="Calibri"/>
          <w:lang w:val="en-CA"/>
        </w:rPr>
      </w:pPr>
    </w:p>
    <w:p w14:paraId="35A11017" w14:textId="77777777" w:rsidR="00E87B61" w:rsidRPr="007C49D4" w:rsidRDefault="00E87B61" w:rsidP="00E87B61">
      <w:pPr>
        <w:ind w:left="360"/>
        <w:rPr>
          <w:rFonts w:ascii="Calibri" w:hAnsi="Calibri"/>
          <w:lang w:val="en-CA"/>
        </w:rPr>
      </w:pPr>
    </w:p>
    <w:p w14:paraId="7EF3228F" w14:textId="77777777" w:rsidR="00E87B61" w:rsidRPr="007C49D4" w:rsidRDefault="00E87B61" w:rsidP="00E87B61">
      <w:pPr>
        <w:pStyle w:val="ListParagraph"/>
        <w:rPr>
          <w:rFonts w:ascii="Calibri" w:hAnsi="Calibri"/>
          <w:lang w:val="en-CA"/>
        </w:rPr>
      </w:pPr>
    </w:p>
    <w:p w14:paraId="5081D0D8" w14:textId="77777777" w:rsidR="00E87B61" w:rsidRPr="007C49D4" w:rsidRDefault="00E87B61" w:rsidP="00E87B61">
      <w:pPr>
        <w:rPr>
          <w:rFonts w:ascii="Calibri" w:hAnsi="Calibri"/>
          <w:lang w:val="en-CA"/>
        </w:rPr>
      </w:pPr>
    </w:p>
    <w:p w14:paraId="1F35C2EA" w14:textId="77777777" w:rsidR="00E87B61" w:rsidRPr="007C49D4" w:rsidRDefault="00E87B61" w:rsidP="00E87B61">
      <w:pPr>
        <w:rPr>
          <w:rFonts w:ascii="Calibri" w:hAnsi="Calibri"/>
          <w:lang w:val="en-CA"/>
        </w:rPr>
      </w:pPr>
    </w:p>
    <w:p w14:paraId="6C8359AE" w14:textId="77777777" w:rsidR="00E87B61" w:rsidRPr="007C49D4" w:rsidRDefault="00E87B61" w:rsidP="00E87B61">
      <w:pPr>
        <w:rPr>
          <w:rFonts w:ascii="Calibri" w:hAnsi="Calibri"/>
          <w:lang w:val="en-CA"/>
        </w:rPr>
      </w:pPr>
    </w:p>
    <w:p w14:paraId="06145DC7" w14:textId="77777777" w:rsidR="006A0237" w:rsidRPr="007C49D4" w:rsidRDefault="006A0237">
      <w:pPr>
        <w:rPr>
          <w:rFonts w:ascii="Calibri" w:hAnsi="Calibri"/>
          <w:lang w:val="en-CA"/>
        </w:rPr>
      </w:pPr>
    </w:p>
    <w:sectPr w:rsidR="006A0237" w:rsidRPr="007C49D4" w:rsidSect="00012D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B7D8F"/>
    <w:multiLevelType w:val="hybridMultilevel"/>
    <w:tmpl w:val="D5F6C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7F6F42"/>
    <w:multiLevelType w:val="hybridMultilevel"/>
    <w:tmpl w:val="D29E8BAC"/>
    <w:lvl w:ilvl="0" w:tplc="B4584A6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C1673C"/>
    <w:multiLevelType w:val="hybridMultilevel"/>
    <w:tmpl w:val="11BE0E94"/>
    <w:lvl w:ilvl="0" w:tplc="82F42C4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F11897"/>
    <w:multiLevelType w:val="hybridMultilevel"/>
    <w:tmpl w:val="A7F27EAE"/>
    <w:lvl w:ilvl="0" w:tplc="A014AD6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666692"/>
    <w:multiLevelType w:val="hybridMultilevel"/>
    <w:tmpl w:val="F2729C72"/>
    <w:lvl w:ilvl="0" w:tplc="13CCB694">
      <w:start w:val="5"/>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657427"/>
    <w:multiLevelType w:val="hybridMultilevel"/>
    <w:tmpl w:val="81BC9EA6"/>
    <w:lvl w:ilvl="0" w:tplc="82F42C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FD1B2C"/>
    <w:multiLevelType w:val="hybridMultilevel"/>
    <w:tmpl w:val="7B00100C"/>
    <w:lvl w:ilvl="0" w:tplc="D84A24C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672D6E"/>
    <w:multiLevelType w:val="hybridMultilevel"/>
    <w:tmpl w:val="4BF42060"/>
    <w:lvl w:ilvl="0" w:tplc="4D647A7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7"/>
  </w:num>
  <w:num w:numId="6">
    <w:abstractNumId w:val="8"/>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B61"/>
    <w:rsid w:val="00012D6C"/>
    <w:rsid w:val="006A0237"/>
    <w:rsid w:val="007C49D4"/>
    <w:rsid w:val="00E87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05DB5C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7B61"/>
    <w:pPr>
      <w:ind w:left="720"/>
      <w:contextualSpacing/>
    </w:pPr>
  </w:style>
  <w:style w:type="paragraph" w:styleId="ListBullet">
    <w:name w:val="List Bullet"/>
    <w:basedOn w:val="Normal"/>
    <w:uiPriority w:val="9"/>
    <w:qFormat/>
    <w:rsid w:val="00E87B61"/>
    <w:pPr>
      <w:numPr>
        <w:numId w:val="2"/>
      </w:numPr>
      <w:spacing w:after="120" w:line="259" w:lineRule="auto"/>
    </w:pPr>
    <w:rPr>
      <w:color w:val="595959" w:themeColor="text1" w:themeTint="A6"/>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4359</Words>
  <Characters>24852</Characters>
  <Application>Microsoft Macintosh Word</Application>
  <DocSecurity>0</DocSecurity>
  <Lines>207</Lines>
  <Paragraphs>58</Paragraphs>
  <ScaleCrop>false</ScaleCrop>
  <LinksUpToDate>false</LinksUpToDate>
  <CharactersWithSpaces>29153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2016-02-06T20:09:00Z</dcterms:created>
  <dcterms:modified xsi:type="dcterms:W3CDTF">2016-02-06T20:16:00Z</dcterms:modified>
</cp:coreProperties>
</file>