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033" w:rsidRPr="006A44FA" w:rsidRDefault="002200A3" w:rsidP="00FF0CCE">
      <w:pPr>
        <w:jc w:val="center"/>
        <w:rPr>
          <w:sz w:val="24"/>
          <w:lang w:val="fr-CA"/>
        </w:rPr>
      </w:pPr>
      <w:r>
        <w:rPr>
          <w:sz w:val="24"/>
          <w:lang w:val="fr-CA"/>
        </w:rPr>
        <w:t xml:space="preserve">Analyse de l’impact des facteurs abiotiques sur la </w:t>
      </w:r>
      <w:r w:rsidR="001D01A3" w:rsidRPr="006A44FA">
        <w:rPr>
          <w:sz w:val="24"/>
          <w:lang w:val="fr-CA"/>
        </w:rPr>
        <w:t>diversité</w:t>
      </w:r>
      <w:r w:rsidR="00020A02" w:rsidRPr="006A44FA">
        <w:rPr>
          <w:sz w:val="24"/>
          <w:lang w:val="fr-CA"/>
        </w:rPr>
        <w:t xml:space="preserve"> biotique </w:t>
      </w:r>
      <w:r>
        <w:rPr>
          <w:sz w:val="24"/>
          <w:lang w:val="fr-CA"/>
        </w:rPr>
        <w:t xml:space="preserve">chez le </w:t>
      </w:r>
      <w:r w:rsidR="001D01A3" w:rsidRPr="006A44FA">
        <w:rPr>
          <w:sz w:val="24"/>
          <w:lang w:val="fr-CA"/>
        </w:rPr>
        <w:t>ruisseau Old Chelsea.</w:t>
      </w:r>
    </w:p>
    <w:p w:rsidR="00FF0CCE" w:rsidRPr="006A44FA" w:rsidRDefault="00FF0CCE" w:rsidP="00FF0CCE">
      <w:pPr>
        <w:jc w:val="center"/>
        <w:rPr>
          <w:sz w:val="24"/>
          <w:lang w:val="fr-CA"/>
        </w:rPr>
      </w:pPr>
    </w:p>
    <w:p w:rsidR="00FF0CCE" w:rsidRPr="006A44FA" w:rsidRDefault="00FF0CCE" w:rsidP="00FF0CCE">
      <w:pPr>
        <w:jc w:val="center"/>
        <w:rPr>
          <w:sz w:val="24"/>
          <w:lang w:val="fr-CA"/>
        </w:rPr>
      </w:pPr>
    </w:p>
    <w:p w:rsidR="00FF0CCE" w:rsidRPr="006A44FA" w:rsidRDefault="00FF0CCE" w:rsidP="00FF0CCE">
      <w:pPr>
        <w:jc w:val="center"/>
        <w:rPr>
          <w:sz w:val="24"/>
          <w:lang w:val="fr-CA"/>
        </w:rPr>
      </w:pPr>
    </w:p>
    <w:p w:rsidR="00FF0CCE" w:rsidRPr="006A44FA" w:rsidRDefault="00FF0CCE" w:rsidP="00FF0CCE">
      <w:pPr>
        <w:jc w:val="center"/>
        <w:rPr>
          <w:sz w:val="24"/>
          <w:lang w:val="fr-CA"/>
        </w:rPr>
      </w:pPr>
    </w:p>
    <w:p w:rsidR="00FF0CCE" w:rsidRPr="006A44FA" w:rsidRDefault="00FF0CCE" w:rsidP="00FF0CCE">
      <w:pPr>
        <w:jc w:val="center"/>
        <w:rPr>
          <w:sz w:val="24"/>
          <w:lang w:val="fr-CA"/>
        </w:rPr>
      </w:pPr>
    </w:p>
    <w:p w:rsidR="001D01A3" w:rsidRPr="006A44FA" w:rsidRDefault="00FF0CCE" w:rsidP="00FF0CCE">
      <w:pPr>
        <w:jc w:val="center"/>
        <w:rPr>
          <w:sz w:val="24"/>
          <w:lang w:val="fr-CA"/>
        </w:rPr>
      </w:pPr>
      <w:r w:rsidRPr="006A44FA">
        <w:rPr>
          <w:sz w:val="24"/>
          <w:lang w:val="fr-CA"/>
        </w:rPr>
        <w:t>BIO2529 Section A1</w:t>
      </w:r>
    </w:p>
    <w:p w:rsidR="00FF0CCE" w:rsidRPr="006A44FA" w:rsidRDefault="00FF0CCE" w:rsidP="00FF0CCE">
      <w:pPr>
        <w:jc w:val="center"/>
        <w:rPr>
          <w:sz w:val="24"/>
          <w:lang w:val="fr-CA"/>
        </w:rPr>
      </w:pPr>
    </w:p>
    <w:p w:rsidR="00FF0CCE" w:rsidRPr="006A44FA" w:rsidRDefault="00FF0CCE" w:rsidP="00FF0CCE">
      <w:pPr>
        <w:jc w:val="center"/>
        <w:rPr>
          <w:sz w:val="24"/>
          <w:lang w:val="fr-CA"/>
        </w:rPr>
      </w:pPr>
    </w:p>
    <w:p w:rsidR="00FF0CCE" w:rsidRPr="006A44FA" w:rsidRDefault="00FF0CCE" w:rsidP="00FF0CCE">
      <w:pPr>
        <w:jc w:val="center"/>
        <w:rPr>
          <w:sz w:val="24"/>
          <w:lang w:val="fr-CA"/>
        </w:rPr>
      </w:pPr>
    </w:p>
    <w:p w:rsidR="00FF0CCE" w:rsidRPr="006A44FA" w:rsidRDefault="00FF0CCE" w:rsidP="00FF0CCE">
      <w:pPr>
        <w:jc w:val="center"/>
        <w:rPr>
          <w:sz w:val="24"/>
          <w:lang w:val="fr-CA"/>
        </w:rPr>
      </w:pPr>
      <w:r w:rsidRPr="006A44FA">
        <w:rPr>
          <w:sz w:val="24"/>
          <w:lang w:val="fr-CA"/>
        </w:rPr>
        <w:t>Démonstrateur :</w:t>
      </w:r>
    </w:p>
    <w:p w:rsidR="00FF0CCE" w:rsidRPr="006A44FA" w:rsidRDefault="00FF0CCE" w:rsidP="00FF0CCE">
      <w:pPr>
        <w:jc w:val="center"/>
        <w:rPr>
          <w:sz w:val="24"/>
          <w:lang w:val="fr-CA"/>
        </w:rPr>
      </w:pPr>
      <w:r w:rsidRPr="006A44FA">
        <w:rPr>
          <w:sz w:val="24"/>
          <w:lang w:val="fr-CA"/>
        </w:rPr>
        <w:t>Dr. Peter Heinermann</w:t>
      </w:r>
    </w:p>
    <w:p w:rsidR="00FF0CCE" w:rsidRPr="006A44FA" w:rsidRDefault="00FF0CCE" w:rsidP="00FF0CCE">
      <w:pPr>
        <w:jc w:val="center"/>
        <w:rPr>
          <w:sz w:val="24"/>
          <w:lang w:val="fr-CA"/>
        </w:rPr>
      </w:pPr>
    </w:p>
    <w:p w:rsidR="00FF0CCE" w:rsidRPr="006A44FA" w:rsidRDefault="00FF0CCE" w:rsidP="00FF0CCE">
      <w:pPr>
        <w:jc w:val="center"/>
        <w:rPr>
          <w:sz w:val="24"/>
          <w:lang w:val="fr-CA"/>
        </w:rPr>
      </w:pPr>
    </w:p>
    <w:p w:rsidR="00FF0CCE" w:rsidRPr="006A44FA" w:rsidRDefault="00FF0CCE" w:rsidP="00FF0CCE">
      <w:pPr>
        <w:jc w:val="center"/>
        <w:rPr>
          <w:sz w:val="24"/>
          <w:lang w:val="fr-CA"/>
        </w:rPr>
      </w:pPr>
    </w:p>
    <w:p w:rsidR="00FF0CCE" w:rsidRPr="006A44FA" w:rsidRDefault="00FF0CCE" w:rsidP="002200A3">
      <w:pPr>
        <w:rPr>
          <w:sz w:val="24"/>
          <w:lang w:val="fr-CA"/>
        </w:rPr>
      </w:pPr>
    </w:p>
    <w:p w:rsidR="00FF0CCE" w:rsidRPr="006A44FA" w:rsidRDefault="00FF0CCE" w:rsidP="00FF0CCE">
      <w:pPr>
        <w:jc w:val="center"/>
        <w:rPr>
          <w:sz w:val="24"/>
          <w:lang w:val="fr-CA"/>
        </w:rPr>
      </w:pPr>
    </w:p>
    <w:p w:rsidR="00FF0CCE" w:rsidRPr="006A44FA" w:rsidRDefault="00FF0CCE" w:rsidP="00FF0CCE">
      <w:pPr>
        <w:jc w:val="center"/>
        <w:rPr>
          <w:sz w:val="24"/>
          <w:lang w:val="fr-CA"/>
        </w:rPr>
      </w:pPr>
    </w:p>
    <w:p w:rsidR="004447DC" w:rsidRDefault="004447DC" w:rsidP="00FF0CCE">
      <w:pPr>
        <w:jc w:val="center"/>
        <w:rPr>
          <w:sz w:val="24"/>
          <w:lang w:val="fr-CA"/>
        </w:rPr>
      </w:pPr>
    </w:p>
    <w:p w:rsidR="004447DC" w:rsidRDefault="004447DC" w:rsidP="00FF0CCE">
      <w:pPr>
        <w:jc w:val="center"/>
        <w:rPr>
          <w:sz w:val="24"/>
          <w:lang w:val="fr-CA"/>
        </w:rPr>
      </w:pPr>
    </w:p>
    <w:p w:rsidR="00FF0CCE" w:rsidRPr="006A44FA" w:rsidRDefault="00B2124C" w:rsidP="00FF0CCE">
      <w:pPr>
        <w:jc w:val="center"/>
        <w:rPr>
          <w:sz w:val="24"/>
          <w:lang w:val="fr-CA"/>
        </w:rPr>
      </w:pPr>
      <w:r>
        <w:rPr>
          <w:sz w:val="24"/>
          <w:lang w:val="fr-CA"/>
        </w:rPr>
        <w:t>4 octobre</w:t>
      </w:r>
      <w:r w:rsidR="00FF0CCE" w:rsidRPr="006A44FA">
        <w:rPr>
          <w:sz w:val="24"/>
          <w:lang w:val="fr-CA"/>
        </w:rPr>
        <w:t>, 2016</w:t>
      </w:r>
    </w:p>
    <w:p w:rsidR="00FF0CCE" w:rsidRPr="006A44FA" w:rsidRDefault="00FF0CCE" w:rsidP="00FF0CCE">
      <w:pPr>
        <w:jc w:val="center"/>
        <w:rPr>
          <w:sz w:val="24"/>
          <w:lang w:val="fr-CA"/>
        </w:rPr>
      </w:pPr>
      <w:r w:rsidRPr="006A44FA">
        <w:rPr>
          <w:sz w:val="24"/>
          <w:lang w:val="fr-CA"/>
        </w:rPr>
        <w:t>Département de Biologie</w:t>
      </w:r>
    </w:p>
    <w:p w:rsidR="00FF0CCE" w:rsidRPr="006A44FA" w:rsidRDefault="00FF0CCE" w:rsidP="00FF0CCE">
      <w:pPr>
        <w:jc w:val="center"/>
        <w:rPr>
          <w:sz w:val="24"/>
          <w:lang w:val="fr-CA"/>
        </w:rPr>
      </w:pPr>
      <w:r w:rsidRPr="006A44FA">
        <w:rPr>
          <w:sz w:val="24"/>
          <w:lang w:val="fr-CA"/>
        </w:rPr>
        <w:t>Université d’Ottawa</w:t>
      </w:r>
    </w:p>
    <w:p w:rsidR="00ED5D13" w:rsidRDefault="00ED5D13">
      <w:pPr>
        <w:rPr>
          <w:sz w:val="24"/>
          <w:lang w:val="fr-CA"/>
        </w:rPr>
      </w:pPr>
      <w:r>
        <w:rPr>
          <w:sz w:val="24"/>
          <w:lang w:val="fr-CA"/>
        </w:rPr>
        <w:lastRenderedPageBreak/>
        <w:t>Hypothèse :</w:t>
      </w:r>
      <w:r w:rsidR="002200A3">
        <w:rPr>
          <w:sz w:val="24"/>
          <w:lang w:val="fr-CA"/>
        </w:rPr>
        <w:t xml:space="preserve"> La biodiversité, tel que les macroinvertébrés benthiques sont affectes par les facteurs abiotique, tel que les caractéristiques physique du ruisseau Old Chelsea.</w:t>
      </w:r>
    </w:p>
    <w:p w:rsidR="001C394C" w:rsidRPr="0054411B" w:rsidRDefault="00EE53BE">
      <w:pPr>
        <w:rPr>
          <w:sz w:val="24"/>
          <w:lang w:val="fr-CA"/>
        </w:rPr>
      </w:pPr>
      <w:r>
        <w:rPr>
          <w:sz w:val="24"/>
          <w:lang w:val="fr-CA"/>
        </w:rPr>
        <w:t>Résultats</w:t>
      </w:r>
      <w:r w:rsidR="00D60CE9">
        <w:rPr>
          <w:sz w:val="24"/>
          <w:lang w:val="fr-CA"/>
        </w:rPr>
        <w:t> :</w:t>
      </w:r>
    </w:p>
    <w:p w:rsidR="00EE53BE" w:rsidRDefault="0054411B" w:rsidP="00A66F9D">
      <w:pPr>
        <w:ind w:left="-1276"/>
        <w:rPr>
          <w:sz w:val="24"/>
          <w:lang w:val="fr-CA"/>
        </w:rPr>
      </w:pPr>
      <w:r w:rsidRPr="0054411B">
        <w:rPr>
          <w:noProof/>
          <w:sz w:val="24"/>
          <w:lang w:eastAsia="en-CA"/>
        </w:rPr>
        <w:drawing>
          <wp:inline distT="0" distB="0" distL="0" distR="0">
            <wp:extent cx="7506731" cy="4963886"/>
            <wp:effectExtent l="19050" t="0" r="18019" b="8164"/>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A66F9D" w:rsidRDefault="00A66F9D" w:rsidP="00A66F9D">
      <w:pPr>
        <w:ind w:left="1440" w:hanging="1440"/>
        <w:rPr>
          <w:sz w:val="24"/>
          <w:lang w:val="fr-CA"/>
        </w:rPr>
      </w:pPr>
    </w:p>
    <w:p w:rsidR="00A66F9D" w:rsidRDefault="00A66F9D" w:rsidP="00A66F9D">
      <w:pPr>
        <w:ind w:left="1440" w:hanging="1440"/>
        <w:rPr>
          <w:sz w:val="24"/>
          <w:lang w:val="fr-CA"/>
        </w:rPr>
      </w:pPr>
      <w:r>
        <w:rPr>
          <w:sz w:val="24"/>
          <w:lang w:val="fr-CA"/>
        </w:rPr>
        <w:t>Figure 1.</w:t>
      </w:r>
      <w:r>
        <w:rPr>
          <w:sz w:val="24"/>
          <w:lang w:val="fr-CA"/>
        </w:rPr>
        <w:tab/>
        <w:t xml:space="preserve">Moyenne et l’Erreur type du premier facteur abiotique, la conductivité, par rapport à </w:t>
      </w:r>
      <w:r w:rsidR="00E20ECF">
        <w:rPr>
          <w:sz w:val="24"/>
          <w:lang w:val="fr-CA"/>
        </w:rPr>
        <w:t>l’étendue</w:t>
      </w:r>
      <w:r>
        <w:rPr>
          <w:sz w:val="24"/>
          <w:lang w:val="fr-CA"/>
        </w:rPr>
        <w:t xml:space="preserve"> 6, 9 et 4 aux deux sites. Les moyennes du Site 1 sont représentées par la couleur bleu pour chaque étendue et les moyennes du Site 2 sont représentées par la couleur rouge pour chaque étendue. L’Erreur type est représentée par une ligne noir sur chaque bande.</w:t>
      </w:r>
    </w:p>
    <w:p w:rsidR="007325A0" w:rsidRDefault="007325A0">
      <w:pPr>
        <w:rPr>
          <w:sz w:val="24"/>
          <w:lang w:val="fr-CA"/>
        </w:rPr>
      </w:pPr>
      <w:r>
        <w:rPr>
          <w:sz w:val="24"/>
          <w:lang w:val="fr-CA"/>
        </w:rPr>
        <w:br w:type="page"/>
      </w:r>
    </w:p>
    <w:p w:rsidR="00E62FE3" w:rsidRDefault="00946A94" w:rsidP="00E62FE3">
      <w:pPr>
        <w:ind w:left="-1134"/>
        <w:rPr>
          <w:lang w:val="fr-CA"/>
        </w:rPr>
      </w:pPr>
      <w:r w:rsidRPr="00946A94">
        <w:rPr>
          <w:noProof/>
          <w:sz w:val="24"/>
          <w:lang w:eastAsia="en-CA"/>
        </w:rPr>
        <w:lastRenderedPageBreak/>
        <w:drawing>
          <wp:inline distT="0" distB="0" distL="0" distR="0">
            <wp:extent cx="7495936" cy="4629472"/>
            <wp:effectExtent l="19050" t="0" r="9764"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E62FE3" w:rsidRDefault="00E62FE3" w:rsidP="00E62FE3">
      <w:pPr>
        <w:ind w:left="1440" w:hanging="1440"/>
        <w:rPr>
          <w:lang w:val="fr-CA"/>
        </w:rPr>
      </w:pPr>
    </w:p>
    <w:p w:rsidR="006A7ACC" w:rsidRDefault="00E62FE3" w:rsidP="006A7ACC">
      <w:pPr>
        <w:ind w:left="1440" w:hanging="1440"/>
        <w:rPr>
          <w:sz w:val="24"/>
          <w:lang w:val="fr-CA"/>
        </w:rPr>
      </w:pPr>
      <w:r>
        <w:rPr>
          <w:sz w:val="24"/>
          <w:lang w:val="fr-CA"/>
        </w:rPr>
        <w:t>Figure 2.</w:t>
      </w:r>
      <w:r>
        <w:rPr>
          <w:sz w:val="24"/>
          <w:lang w:val="fr-CA"/>
        </w:rPr>
        <w:tab/>
      </w:r>
      <w:r w:rsidR="006A7ACC">
        <w:rPr>
          <w:sz w:val="24"/>
          <w:lang w:val="fr-CA"/>
        </w:rPr>
        <w:t>Moyenne et l’Erreur type du deuxième  facteur abiotique, l’oxygène dissous, par rapport à l’étendue 6, 9 et 4 aux deux sites. Les moyennes du Site 1 sont représentées par la couleur bleu pour chaque étendue et les moyennes du Site 2 sont représentées par la couleur rouge pour chaque étendue. L’Erreur type est représentée par une ligne noir sur chaque bande.</w:t>
      </w:r>
    </w:p>
    <w:p w:rsidR="007325A0" w:rsidRPr="00E62FE3" w:rsidRDefault="007325A0">
      <w:pPr>
        <w:rPr>
          <w:lang w:val="fr-CA"/>
        </w:rPr>
      </w:pPr>
    </w:p>
    <w:p w:rsidR="006A7ACC" w:rsidRDefault="006A7ACC" w:rsidP="006A7ACC">
      <w:pPr>
        <w:rPr>
          <w:lang w:val="fr-CA"/>
        </w:rPr>
      </w:pPr>
    </w:p>
    <w:p w:rsidR="006A7ACC" w:rsidRDefault="006A7ACC" w:rsidP="006A7ACC">
      <w:pPr>
        <w:rPr>
          <w:lang w:val="fr-CA"/>
        </w:rPr>
      </w:pPr>
    </w:p>
    <w:p w:rsidR="006A7ACC" w:rsidRDefault="006A7ACC" w:rsidP="006A7ACC">
      <w:pPr>
        <w:rPr>
          <w:lang w:val="fr-CA"/>
        </w:rPr>
      </w:pPr>
    </w:p>
    <w:p w:rsidR="006A7ACC" w:rsidRDefault="006A7ACC" w:rsidP="006A7ACC">
      <w:pPr>
        <w:rPr>
          <w:lang w:val="fr-CA"/>
        </w:rPr>
      </w:pPr>
    </w:p>
    <w:p w:rsidR="008B28C3" w:rsidRPr="006A7ACC" w:rsidRDefault="001C5BCC" w:rsidP="006A7ACC">
      <w:pPr>
        <w:ind w:left="1440" w:hanging="1440"/>
        <w:rPr>
          <w:lang w:val="fr-CA"/>
        </w:rPr>
      </w:pPr>
      <w:r>
        <w:rPr>
          <w:sz w:val="24"/>
          <w:lang w:val="fr-CA"/>
        </w:rPr>
        <w:lastRenderedPageBreak/>
        <w:t>Tableau 1.</w:t>
      </w:r>
      <w:r>
        <w:rPr>
          <w:sz w:val="24"/>
          <w:lang w:val="fr-CA"/>
        </w:rPr>
        <w:tab/>
      </w:r>
      <w:r w:rsidR="007325A0">
        <w:rPr>
          <w:sz w:val="24"/>
          <w:lang w:val="fr-CA"/>
        </w:rPr>
        <w:t>Vérification de l’hypothèse nulle entre les étendues de chaque facteur abiotique du Site 2.</w:t>
      </w:r>
    </w:p>
    <w:tbl>
      <w:tblPr>
        <w:tblStyle w:val="TableGrid"/>
        <w:tblpPr w:leftFromText="180" w:rightFromText="180" w:vertAnchor="page" w:horzAnchor="margin" w:tblpXSpec="center" w:tblpY="3050"/>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85"/>
        <w:gridCol w:w="1885"/>
        <w:gridCol w:w="1885"/>
        <w:gridCol w:w="1885"/>
        <w:gridCol w:w="1885"/>
        <w:gridCol w:w="1885"/>
      </w:tblGrid>
      <w:tr w:rsidR="006A7ACC" w:rsidTr="006A7ACC">
        <w:trPr>
          <w:trHeight w:val="771"/>
        </w:trPr>
        <w:tc>
          <w:tcPr>
            <w:tcW w:w="1885" w:type="dxa"/>
          </w:tcPr>
          <w:p w:rsidR="006A7ACC" w:rsidRDefault="003E75AA" w:rsidP="006A7ACC">
            <w:pPr>
              <w:jc w:val="center"/>
              <w:rPr>
                <w:sz w:val="24"/>
                <w:lang w:val="fr-CA"/>
              </w:rPr>
            </w:pPr>
            <w:r>
              <w:rPr>
                <w:sz w:val="24"/>
                <w:lang w:val="fr-CA"/>
              </w:rPr>
              <w:t>Facteur a</w:t>
            </w:r>
            <w:r w:rsidR="006A7ACC">
              <w:rPr>
                <w:sz w:val="24"/>
                <w:lang w:val="fr-CA"/>
              </w:rPr>
              <w:t>biotique</w:t>
            </w:r>
          </w:p>
        </w:tc>
        <w:tc>
          <w:tcPr>
            <w:tcW w:w="1885" w:type="dxa"/>
          </w:tcPr>
          <w:p w:rsidR="006A7ACC" w:rsidRDefault="006A7ACC" w:rsidP="006A7ACC">
            <w:pPr>
              <w:jc w:val="center"/>
              <w:rPr>
                <w:sz w:val="24"/>
                <w:lang w:val="fr-CA"/>
              </w:rPr>
            </w:pPr>
            <w:r>
              <w:rPr>
                <w:sz w:val="24"/>
                <w:lang w:val="fr-CA"/>
              </w:rPr>
              <w:t>Comparaison des étendues</w:t>
            </w:r>
          </w:p>
        </w:tc>
        <w:tc>
          <w:tcPr>
            <w:tcW w:w="1885" w:type="dxa"/>
          </w:tcPr>
          <w:p w:rsidR="006A7ACC" w:rsidRDefault="006A7ACC" w:rsidP="006A7ACC">
            <w:pPr>
              <w:jc w:val="center"/>
              <w:rPr>
                <w:sz w:val="24"/>
                <w:lang w:val="fr-CA"/>
              </w:rPr>
            </w:pPr>
            <w:r>
              <w:rPr>
                <w:sz w:val="24"/>
                <w:lang w:val="fr-CA"/>
              </w:rPr>
              <w:t>Moyenne</w:t>
            </w:r>
          </w:p>
        </w:tc>
        <w:tc>
          <w:tcPr>
            <w:tcW w:w="1885" w:type="dxa"/>
          </w:tcPr>
          <w:p w:rsidR="006A7ACC" w:rsidRDefault="006A7ACC" w:rsidP="006A7ACC">
            <w:pPr>
              <w:jc w:val="center"/>
              <w:rPr>
                <w:sz w:val="24"/>
                <w:lang w:val="fr-CA"/>
              </w:rPr>
            </w:pPr>
            <w:r>
              <w:rPr>
                <w:sz w:val="24"/>
                <w:lang w:val="fr-CA"/>
              </w:rPr>
              <w:t>Écart</w:t>
            </w:r>
            <w:r w:rsidR="003E75AA">
              <w:rPr>
                <w:sz w:val="24"/>
                <w:lang w:val="fr-CA"/>
              </w:rPr>
              <w:t xml:space="preserve"> t</w:t>
            </w:r>
            <w:r>
              <w:rPr>
                <w:sz w:val="24"/>
                <w:lang w:val="fr-CA"/>
              </w:rPr>
              <w:t>ype</w:t>
            </w:r>
          </w:p>
        </w:tc>
        <w:tc>
          <w:tcPr>
            <w:tcW w:w="1885" w:type="dxa"/>
          </w:tcPr>
          <w:p w:rsidR="006A7ACC" w:rsidRDefault="006A7ACC" w:rsidP="006A7ACC">
            <w:pPr>
              <w:jc w:val="center"/>
              <w:rPr>
                <w:sz w:val="24"/>
                <w:lang w:val="fr-CA"/>
              </w:rPr>
            </w:pPr>
            <w:r>
              <w:rPr>
                <w:sz w:val="24"/>
                <w:lang w:val="fr-CA"/>
              </w:rPr>
              <w:t>t Stat</w:t>
            </w:r>
          </w:p>
        </w:tc>
        <w:tc>
          <w:tcPr>
            <w:tcW w:w="1885" w:type="dxa"/>
          </w:tcPr>
          <w:p w:rsidR="006A7ACC" w:rsidRDefault="006A7ACC" w:rsidP="006A7ACC">
            <w:pPr>
              <w:jc w:val="center"/>
              <w:rPr>
                <w:sz w:val="24"/>
                <w:lang w:val="fr-CA"/>
              </w:rPr>
            </w:pPr>
            <w:r>
              <w:rPr>
                <w:sz w:val="24"/>
                <w:lang w:val="fr-CA"/>
              </w:rPr>
              <w:t>Hypothèse</w:t>
            </w:r>
            <w:r w:rsidR="003E75AA">
              <w:rPr>
                <w:sz w:val="24"/>
                <w:lang w:val="fr-CA"/>
              </w:rPr>
              <w:t xml:space="preserve"> n</w:t>
            </w:r>
            <w:r>
              <w:rPr>
                <w:sz w:val="24"/>
                <w:lang w:val="fr-CA"/>
              </w:rPr>
              <w:t>ulle</w:t>
            </w:r>
          </w:p>
        </w:tc>
      </w:tr>
      <w:tr w:rsidR="006A7ACC" w:rsidTr="006A7ACC">
        <w:trPr>
          <w:trHeight w:val="771"/>
        </w:trPr>
        <w:tc>
          <w:tcPr>
            <w:tcW w:w="1885" w:type="dxa"/>
          </w:tcPr>
          <w:p w:rsidR="006A7ACC" w:rsidRDefault="006A7ACC" w:rsidP="006A7ACC">
            <w:pPr>
              <w:jc w:val="center"/>
              <w:rPr>
                <w:sz w:val="24"/>
                <w:lang w:val="fr-CA"/>
              </w:rPr>
            </w:pPr>
            <w:r>
              <w:rPr>
                <w:sz w:val="24"/>
                <w:lang w:val="fr-CA"/>
              </w:rPr>
              <w:t>Conductivité</w:t>
            </w:r>
          </w:p>
        </w:tc>
        <w:tc>
          <w:tcPr>
            <w:tcW w:w="1885" w:type="dxa"/>
          </w:tcPr>
          <w:p w:rsidR="006A7ACC" w:rsidRDefault="006A7ACC" w:rsidP="006A7ACC">
            <w:pPr>
              <w:jc w:val="center"/>
              <w:rPr>
                <w:sz w:val="24"/>
                <w:lang w:val="fr-CA"/>
              </w:rPr>
            </w:pPr>
            <w:r>
              <w:rPr>
                <w:sz w:val="24"/>
                <w:lang w:val="fr-CA"/>
              </w:rPr>
              <w:t>6, 9</w:t>
            </w:r>
          </w:p>
        </w:tc>
        <w:tc>
          <w:tcPr>
            <w:tcW w:w="1885" w:type="dxa"/>
          </w:tcPr>
          <w:p w:rsidR="006A7ACC" w:rsidRDefault="006A7ACC" w:rsidP="006A7ACC">
            <w:pPr>
              <w:jc w:val="center"/>
              <w:rPr>
                <w:sz w:val="24"/>
                <w:lang w:val="fr-CA"/>
              </w:rPr>
            </w:pPr>
            <w:r>
              <w:rPr>
                <w:sz w:val="24"/>
                <w:lang w:val="fr-CA"/>
              </w:rPr>
              <w:t>406, 410</w:t>
            </w:r>
          </w:p>
        </w:tc>
        <w:tc>
          <w:tcPr>
            <w:tcW w:w="1885" w:type="dxa"/>
          </w:tcPr>
          <w:p w:rsidR="006A7ACC" w:rsidRDefault="006A7ACC" w:rsidP="006A7ACC">
            <w:pPr>
              <w:jc w:val="center"/>
              <w:rPr>
                <w:sz w:val="24"/>
                <w:lang w:val="fr-CA"/>
              </w:rPr>
            </w:pPr>
            <w:r>
              <w:rPr>
                <w:sz w:val="24"/>
                <w:lang w:val="fr-CA"/>
              </w:rPr>
              <w:t>0.57735, 2.081666</w:t>
            </w:r>
          </w:p>
        </w:tc>
        <w:tc>
          <w:tcPr>
            <w:tcW w:w="1885" w:type="dxa"/>
          </w:tcPr>
          <w:p w:rsidR="006A7ACC" w:rsidRDefault="006A7ACC" w:rsidP="006A7ACC">
            <w:pPr>
              <w:jc w:val="center"/>
              <w:rPr>
                <w:sz w:val="24"/>
                <w:lang w:val="fr-CA"/>
              </w:rPr>
            </w:pPr>
            <w:r>
              <w:rPr>
                <w:sz w:val="24"/>
                <w:lang w:val="fr-CA"/>
              </w:rPr>
              <w:t>-1.85164</w:t>
            </w:r>
          </w:p>
        </w:tc>
        <w:tc>
          <w:tcPr>
            <w:tcW w:w="1885" w:type="dxa"/>
          </w:tcPr>
          <w:p w:rsidR="006A7ACC" w:rsidRDefault="006A7ACC" w:rsidP="006A7ACC">
            <w:pPr>
              <w:jc w:val="center"/>
              <w:rPr>
                <w:sz w:val="24"/>
                <w:lang w:val="fr-CA"/>
              </w:rPr>
            </w:pPr>
            <w:r>
              <w:rPr>
                <w:sz w:val="24"/>
                <w:lang w:val="fr-CA"/>
              </w:rPr>
              <w:t>Acceptée</w:t>
            </w:r>
          </w:p>
        </w:tc>
      </w:tr>
      <w:tr w:rsidR="006A7ACC" w:rsidTr="006A7ACC">
        <w:trPr>
          <w:trHeight w:val="771"/>
        </w:trPr>
        <w:tc>
          <w:tcPr>
            <w:tcW w:w="1885" w:type="dxa"/>
          </w:tcPr>
          <w:p w:rsidR="006A7ACC" w:rsidRDefault="006A7ACC" w:rsidP="006A7ACC">
            <w:pPr>
              <w:jc w:val="center"/>
              <w:rPr>
                <w:sz w:val="24"/>
                <w:lang w:val="fr-CA"/>
              </w:rPr>
            </w:pPr>
          </w:p>
        </w:tc>
        <w:tc>
          <w:tcPr>
            <w:tcW w:w="1885" w:type="dxa"/>
          </w:tcPr>
          <w:p w:rsidR="006A7ACC" w:rsidRDefault="006A7ACC" w:rsidP="006A7ACC">
            <w:pPr>
              <w:jc w:val="center"/>
              <w:rPr>
                <w:sz w:val="24"/>
                <w:lang w:val="fr-CA"/>
              </w:rPr>
            </w:pPr>
            <w:r>
              <w:rPr>
                <w:sz w:val="24"/>
                <w:lang w:val="fr-CA"/>
              </w:rPr>
              <w:t>6, 4</w:t>
            </w:r>
          </w:p>
        </w:tc>
        <w:tc>
          <w:tcPr>
            <w:tcW w:w="1885" w:type="dxa"/>
          </w:tcPr>
          <w:p w:rsidR="006A7ACC" w:rsidRDefault="006A7ACC" w:rsidP="006A7ACC">
            <w:pPr>
              <w:jc w:val="center"/>
              <w:rPr>
                <w:sz w:val="24"/>
                <w:lang w:val="fr-CA"/>
              </w:rPr>
            </w:pPr>
            <w:r>
              <w:rPr>
                <w:sz w:val="24"/>
                <w:lang w:val="fr-CA"/>
              </w:rPr>
              <w:t>406, 407.3333</w:t>
            </w:r>
          </w:p>
        </w:tc>
        <w:tc>
          <w:tcPr>
            <w:tcW w:w="1885" w:type="dxa"/>
          </w:tcPr>
          <w:p w:rsidR="006A7ACC" w:rsidRDefault="006A7ACC" w:rsidP="006A7ACC">
            <w:pPr>
              <w:jc w:val="center"/>
              <w:rPr>
                <w:sz w:val="24"/>
                <w:lang w:val="fr-CA"/>
              </w:rPr>
            </w:pPr>
            <w:r>
              <w:rPr>
                <w:sz w:val="24"/>
                <w:lang w:val="fr-CA"/>
              </w:rPr>
              <w:t>0.57735, 2.185813</w:t>
            </w:r>
          </w:p>
        </w:tc>
        <w:tc>
          <w:tcPr>
            <w:tcW w:w="1885" w:type="dxa"/>
          </w:tcPr>
          <w:p w:rsidR="006A7ACC" w:rsidRDefault="006A7ACC" w:rsidP="006A7ACC">
            <w:pPr>
              <w:jc w:val="center"/>
              <w:rPr>
                <w:sz w:val="24"/>
                <w:lang w:val="fr-CA"/>
              </w:rPr>
            </w:pPr>
            <w:r>
              <w:rPr>
                <w:sz w:val="24"/>
                <w:lang w:val="fr-CA"/>
              </w:rPr>
              <w:t>-0.58977</w:t>
            </w:r>
          </w:p>
        </w:tc>
        <w:tc>
          <w:tcPr>
            <w:tcW w:w="1885" w:type="dxa"/>
          </w:tcPr>
          <w:p w:rsidR="006A7ACC" w:rsidRDefault="006A7ACC" w:rsidP="006A7ACC">
            <w:pPr>
              <w:jc w:val="center"/>
              <w:rPr>
                <w:sz w:val="24"/>
                <w:lang w:val="fr-CA"/>
              </w:rPr>
            </w:pPr>
            <w:r>
              <w:rPr>
                <w:sz w:val="24"/>
                <w:lang w:val="fr-CA"/>
              </w:rPr>
              <w:t>Acceptée</w:t>
            </w:r>
          </w:p>
        </w:tc>
      </w:tr>
      <w:tr w:rsidR="006A7ACC" w:rsidTr="006A7ACC">
        <w:trPr>
          <w:trHeight w:val="771"/>
        </w:trPr>
        <w:tc>
          <w:tcPr>
            <w:tcW w:w="1885" w:type="dxa"/>
          </w:tcPr>
          <w:p w:rsidR="006A7ACC" w:rsidRDefault="006A7ACC" w:rsidP="006A7ACC">
            <w:pPr>
              <w:jc w:val="center"/>
              <w:rPr>
                <w:sz w:val="24"/>
                <w:lang w:val="fr-CA"/>
              </w:rPr>
            </w:pPr>
          </w:p>
        </w:tc>
        <w:tc>
          <w:tcPr>
            <w:tcW w:w="1885" w:type="dxa"/>
          </w:tcPr>
          <w:p w:rsidR="006A7ACC" w:rsidRDefault="006A7ACC" w:rsidP="006A7ACC">
            <w:pPr>
              <w:jc w:val="center"/>
              <w:rPr>
                <w:sz w:val="24"/>
                <w:lang w:val="fr-CA"/>
              </w:rPr>
            </w:pPr>
            <w:r>
              <w:rPr>
                <w:sz w:val="24"/>
                <w:lang w:val="fr-CA"/>
              </w:rPr>
              <w:t>9, 4</w:t>
            </w:r>
          </w:p>
        </w:tc>
        <w:tc>
          <w:tcPr>
            <w:tcW w:w="1885" w:type="dxa"/>
          </w:tcPr>
          <w:p w:rsidR="006A7ACC" w:rsidRDefault="006A7ACC" w:rsidP="006A7ACC">
            <w:pPr>
              <w:jc w:val="center"/>
              <w:rPr>
                <w:sz w:val="24"/>
                <w:lang w:val="fr-CA"/>
              </w:rPr>
            </w:pPr>
            <w:r>
              <w:rPr>
                <w:sz w:val="24"/>
                <w:lang w:val="fr-CA"/>
              </w:rPr>
              <w:t>410, 407.3333</w:t>
            </w:r>
          </w:p>
        </w:tc>
        <w:tc>
          <w:tcPr>
            <w:tcW w:w="1885" w:type="dxa"/>
          </w:tcPr>
          <w:p w:rsidR="006A7ACC" w:rsidRDefault="006A7ACC" w:rsidP="006A7ACC">
            <w:pPr>
              <w:jc w:val="center"/>
              <w:rPr>
                <w:sz w:val="24"/>
                <w:lang w:val="fr-CA"/>
              </w:rPr>
            </w:pPr>
            <w:r>
              <w:rPr>
                <w:sz w:val="24"/>
                <w:lang w:val="fr-CA"/>
              </w:rPr>
              <w:t>2.081666, 2.185813</w:t>
            </w:r>
          </w:p>
        </w:tc>
        <w:tc>
          <w:tcPr>
            <w:tcW w:w="1885" w:type="dxa"/>
          </w:tcPr>
          <w:p w:rsidR="006A7ACC" w:rsidRDefault="006A7ACC" w:rsidP="006A7ACC">
            <w:pPr>
              <w:jc w:val="center"/>
              <w:rPr>
                <w:sz w:val="24"/>
                <w:lang w:val="fr-CA"/>
              </w:rPr>
            </w:pPr>
            <w:r>
              <w:rPr>
                <w:sz w:val="24"/>
                <w:lang w:val="fr-CA"/>
              </w:rPr>
              <w:t>0.883452</w:t>
            </w:r>
          </w:p>
        </w:tc>
        <w:tc>
          <w:tcPr>
            <w:tcW w:w="1885" w:type="dxa"/>
          </w:tcPr>
          <w:p w:rsidR="006A7ACC" w:rsidRDefault="006A7ACC" w:rsidP="006A7ACC">
            <w:pPr>
              <w:jc w:val="center"/>
              <w:rPr>
                <w:sz w:val="24"/>
                <w:lang w:val="fr-CA"/>
              </w:rPr>
            </w:pPr>
            <w:r>
              <w:rPr>
                <w:sz w:val="24"/>
                <w:lang w:val="fr-CA"/>
              </w:rPr>
              <w:t>Acceptée</w:t>
            </w:r>
          </w:p>
        </w:tc>
      </w:tr>
      <w:tr w:rsidR="006A7ACC" w:rsidTr="006A7ACC">
        <w:trPr>
          <w:trHeight w:val="771"/>
        </w:trPr>
        <w:tc>
          <w:tcPr>
            <w:tcW w:w="1885" w:type="dxa"/>
          </w:tcPr>
          <w:p w:rsidR="006A7ACC" w:rsidRDefault="006A7ACC" w:rsidP="006A7ACC">
            <w:pPr>
              <w:jc w:val="center"/>
              <w:rPr>
                <w:sz w:val="24"/>
                <w:lang w:val="fr-CA"/>
              </w:rPr>
            </w:pPr>
            <w:r>
              <w:rPr>
                <w:sz w:val="24"/>
                <w:lang w:val="fr-CA"/>
              </w:rPr>
              <w:t>Oxygène</w:t>
            </w:r>
            <w:r w:rsidR="003E75AA">
              <w:rPr>
                <w:sz w:val="24"/>
                <w:lang w:val="fr-CA"/>
              </w:rPr>
              <w:t xml:space="preserve"> d</w:t>
            </w:r>
            <w:r>
              <w:rPr>
                <w:sz w:val="24"/>
                <w:lang w:val="fr-CA"/>
              </w:rPr>
              <w:t>issous</w:t>
            </w:r>
          </w:p>
        </w:tc>
        <w:tc>
          <w:tcPr>
            <w:tcW w:w="1885" w:type="dxa"/>
          </w:tcPr>
          <w:p w:rsidR="006A7ACC" w:rsidRDefault="006A7ACC" w:rsidP="006A7ACC">
            <w:pPr>
              <w:jc w:val="center"/>
              <w:rPr>
                <w:sz w:val="24"/>
                <w:lang w:val="fr-CA"/>
              </w:rPr>
            </w:pPr>
            <w:r>
              <w:rPr>
                <w:sz w:val="24"/>
                <w:lang w:val="fr-CA"/>
              </w:rPr>
              <w:t>6, 9</w:t>
            </w:r>
          </w:p>
        </w:tc>
        <w:tc>
          <w:tcPr>
            <w:tcW w:w="1885" w:type="dxa"/>
          </w:tcPr>
          <w:p w:rsidR="006A7ACC" w:rsidRDefault="006A7ACC" w:rsidP="006A7ACC">
            <w:pPr>
              <w:jc w:val="center"/>
              <w:rPr>
                <w:sz w:val="24"/>
                <w:lang w:val="fr-CA"/>
              </w:rPr>
            </w:pPr>
            <w:r>
              <w:rPr>
                <w:sz w:val="24"/>
                <w:lang w:val="fr-CA"/>
              </w:rPr>
              <w:t>9.15, 9.156667</w:t>
            </w:r>
          </w:p>
        </w:tc>
        <w:tc>
          <w:tcPr>
            <w:tcW w:w="1885" w:type="dxa"/>
          </w:tcPr>
          <w:p w:rsidR="006A7ACC" w:rsidRDefault="006A7ACC" w:rsidP="006A7ACC">
            <w:pPr>
              <w:jc w:val="center"/>
              <w:rPr>
                <w:sz w:val="24"/>
                <w:lang w:val="fr-CA"/>
              </w:rPr>
            </w:pPr>
            <w:r>
              <w:rPr>
                <w:sz w:val="24"/>
                <w:lang w:val="fr-CA"/>
              </w:rPr>
              <w:t>0.068069, 0.050442</w:t>
            </w:r>
          </w:p>
        </w:tc>
        <w:tc>
          <w:tcPr>
            <w:tcW w:w="1885" w:type="dxa"/>
          </w:tcPr>
          <w:p w:rsidR="006A7ACC" w:rsidRDefault="006A7ACC" w:rsidP="006A7ACC">
            <w:pPr>
              <w:jc w:val="center"/>
              <w:rPr>
                <w:sz w:val="24"/>
                <w:lang w:val="fr-CA"/>
              </w:rPr>
            </w:pPr>
            <w:r>
              <w:rPr>
                <w:sz w:val="24"/>
                <w:lang w:val="fr-CA"/>
              </w:rPr>
              <w:t>-0.07869</w:t>
            </w:r>
          </w:p>
        </w:tc>
        <w:tc>
          <w:tcPr>
            <w:tcW w:w="1885" w:type="dxa"/>
          </w:tcPr>
          <w:p w:rsidR="006A7ACC" w:rsidRDefault="006A7ACC" w:rsidP="006A7ACC">
            <w:pPr>
              <w:jc w:val="center"/>
              <w:rPr>
                <w:sz w:val="24"/>
                <w:lang w:val="fr-CA"/>
              </w:rPr>
            </w:pPr>
            <w:r>
              <w:rPr>
                <w:sz w:val="24"/>
                <w:lang w:val="fr-CA"/>
              </w:rPr>
              <w:t>Acceptée</w:t>
            </w:r>
          </w:p>
        </w:tc>
      </w:tr>
      <w:tr w:rsidR="006A7ACC" w:rsidTr="006A7ACC">
        <w:trPr>
          <w:trHeight w:val="771"/>
        </w:trPr>
        <w:tc>
          <w:tcPr>
            <w:tcW w:w="1885" w:type="dxa"/>
          </w:tcPr>
          <w:p w:rsidR="006A7ACC" w:rsidRDefault="006A7ACC" w:rsidP="006A7ACC">
            <w:pPr>
              <w:jc w:val="center"/>
              <w:rPr>
                <w:sz w:val="24"/>
                <w:lang w:val="fr-CA"/>
              </w:rPr>
            </w:pPr>
          </w:p>
        </w:tc>
        <w:tc>
          <w:tcPr>
            <w:tcW w:w="1885" w:type="dxa"/>
          </w:tcPr>
          <w:p w:rsidR="006A7ACC" w:rsidRDefault="006A7ACC" w:rsidP="006A7ACC">
            <w:pPr>
              <w:jc w:val="center"/>
              <w:rPr>
                <w:sz w:val="24"/>
                <w:lang w:val="fr-CA"/>
              </w:rPr>
            </w:pPr>
            <w:r>
              <w:rPr>
                <w:sz w:val="24"/>
                <w:lang w:val="fr-CA"/>
              </w:rPr>
              <w:t>6, 4</w:t>
            </w:r>
          </w:p>
        </w:tc>
        <w:tc>
          <w:tcPr>
            <w:tcW w:w="1885" w:type="dxa"/>
          </w:tcPr>
          <w:p w:rsidR="006A7ACC" w:rsidRDefault="006A7ACC" w:rsidP="006A7ACC">
            <w:pPr>
              <w:jc w:val="center"/>
              <w:rPr>
                <w:sz w:val="24"/>
                <w:lang w:val="fr-CA"/>
              </w:rPr>
            </w:pPr>
            <w:r>
              <w:rPr>
                <w:sz w:val="24"/>
                <w:lang w:val="fr-CA"/>
              </w:rPr>
              <w:t>9.15, 9.156667</w:t>
            </w:r>
          </w:p>
        </w:tc>
        <w:tc>
          <w:tcPr>
            <w:tcW w:w="1885" w:type="dxa"/>
          </w:tcPr>
          <w:p w:rsidR="006A7ACC" w:rsidRDefault="006A7ACC" w:rsidP="006A7ACC">
            <w:pPr>
              <w:jc w:val="center"/>
              <w:rPr>
                <w:sz w:val="24"/>
                <w:lang w:val="fr-CA"/>
              </w:rPr>
            </w:pPr>
            <w:r>
              <w:rPr>
                <w:sz w:val="24"/>
                <w:lang w:val="fr-CA"/>
              </w:rPr>
              <w:t>0.068069, 0.202183</w:t>
            </w:r>
          </w:p>
        </w:tc>
        <w:tc>
          <w:tcPr>
            <w:tcW w:w="1885" w:type="dxa"/>
          </w:tcPr>
          <w:p w:rsidR="006A7ACC" w:rsidRDefault="006A7ACC" w:rsidP="006A7ACC">
            <w:pPr>
              <w:jc w:val="center"/>
              <w:rPr>
                <w:sz w:val="24"/>
                <w:lang w:val="fr-CA"/>
              </w:rPr>
            </w:pPr>
            <w:r>
              <w:rPr>
                <w:sz w:val="24"/>
                <w:lang w:val="fr-CA"/>
              </w:rPr>
              <w:t>-1.4375</w:t>
            </w:r>
          </w:p>
        </w:tc>
        <w:tc>
          <w:tcPr>
            <w:tcW w:w="1885" w:type="dxa"/>
          </w:tcPr>
          <w:p w:rsidR="006A7ACC" w:rsidRDefault="006A7ACC" w:rsidP="006A7ACC">
            <w:pPr>
              <w:jc w:val="center"/>
              <w:rPr>
                <w:sz w:val="24"/>
                <w:lang w:val="fr-CA"/>
              </w:rPr>
            </w:pPr>
            <w:r>
              <w:rPr>
                <w:sz w:val="24"/>
                <w:lang w:val="fr-CA"/>
              </w:rPr>
              <w:t>Acceptée</w:t>
            </w:r>
          </w:p>
        </w:tc>
      </w:tr>
      <w:tr w:rsidR="006A7ACC" w:rsidTr="006A7ACC">
        <w:trPr>
          <w:trHeight w:val="822"/>
        </w:trPr>
        <w:tc>
          <w:tcPr>
            <w:tcW w:w="1885" w:type="dxa"/>
          </w:tcPr>
          <w:p w:rsidR="006A7ACC" w:rsidRDefault="006A7ACC" w:rsidP="006A7ACC">
            <w:pPr>
              <w:jc w:val="center"/>
              <w:rPr>
                <w:sz w:val="24"/>
                <w:lang w:val="fr-CA"/>
              </w:rPr>
            </w:pPr>
          </w:p>
        </w:tc>
        <w:tc>
          <w:tcPr>
            <w:tcW w:w="1885" w:type="dxa"/>
          </w:tcPr>
          <w:p w:rsidR="006A7ACC" w:rsidRDefault="006A7ACC" w:rsidP="006A7ACC">
            <w:pPr>
              <w:jc w:val="center"/>
              <w:rPr>
                <w:sz w:val="24"/>
                <w:lang w:val="fr-CA"/>
              </w:rPr>
            </w:pPr>
            <w:r>
              <w:rPr>
                <w:sz w:val="24"/>
                <w:lang w:val="fr-CA"/>
              </w:rPr>
              <w:t>9, 4</w:t>
            </w:r>
          </w:p>
        </w:tc>
        <w:tc>
          <w:tcPr>
            <w:tcW w:w="1885" w:type="dxa"/>
          </w:tcPr>
          <w:p w:rsidR="006A7ACC" w:rsidRDefault="006A7ACC" w:rsidP="006A7ACC">
            <w:pPr>
              <w:jc w:val="center"/>
              <w:rPr>
                <w:sz w:val="24"/>
                <w:lang w:val="fr-CA"/>
              </w:rPr>
            </w:pPr>
            <w:r>
              <w:rPr>
                <w:sz w:val="24"/>
                <w:lang w:val="fr-CA"/>
              </w:rPr>
              <w:t>9.156667, 9.456667</w:t>
            </w:r>
          </w:p>
        </w:tc>
        <w:tc>
          <w:tcPr>
            <w:tcW w:w="1885" w:type="dxa"/>
          </w:tcPr>
          <w:p w:rsidR="006A7ACC" w:rsidRDefault="006A7ACC" w:rsidP="006A7ACC">
            <w:pPr>
              <w:jc w:val="center"/>
              <w:rPr>
                <w:sz w:val="24"/>
                <w:lang w:val="fr-CA"/>
              </w:rPr>
            </w:pPr>
            <w:r>
              <w:rPr>
                <w:sz w:val="24"/>
                <w:lang w:val="fr-CA"/>
              </w:rPr>
              <w:t>0.050442, 0.202183</w:t>
            </w:r>
          </w:p>
        </w:tc>
        <w:tc>
          <w:tcPr>
            <w:tcW w:w="1885" w:type="dxa"/>
          </w:tcPr>
          <w:p w:rsidR="006A7ACC" w:rsidRDefault="006A7ACC" w:rsidP="006A7ACC">
            <w:pPr>
              <w:jc w:val="center"/>
              <w:rPr>
                <w:sz w:val="24"/>
                <w:lang w:val="fr-CA"/>
              </w:rPr>
            </w:pPr>
            <w:r>
              <w:rPr>
                <w:sz w:val="24"/>
                <w:lang w:val="fr-CA"/>
              </w:rPr>
              <w:t>-1.43968</w:t>
            </w:r>
          </w:p>
        </w:tc>
        <w:tc>
          <w:tcPr>
            <w:tcW w:w="1885" w:type="dxa"/>
          </w:tcPr>
          <w:p w:rsidR="006A7ACC" w:rsidRDefault="006A7ACC" w:rsidP="006A7ACC">
            <w:pPr>
              <w:jc w:val="center"/>
              <w:rPr>
                <w:sz w:val="24"/>
                <w:lang w:val="fr-CA"/>
              </w:rPr>
            </w:pPr>
            <w:r>
              <w:rPr>
                <w:sz w:val="24"/>
                <w:lang w:val="fr-CA"/>
              </w:rPr>
              <w:t>Acceptée</w:t>
            </w:r>
          </w:p>
        </w:tc>
      </w:tr>
    </w:tbl>
    <w:p w:rsidR="008B28C3" w:rsidRDefault="008B28C3" w:rsidP="00EE53BE">
      <w:pPr>
        <w:ind w:left="1440" w:hanging="1440"/>
        <w:rPr>
          <w:sz w:val="24"/>
          <w:lang w:val="fr-CA"/>
        </w:rPr>
      </w:pPr>
    </w:p>
    <w:p w:rsidR="00DD6EB2" w:rsidRPr="003E75AA" w:rsidRDefault="003E75AA" w:rsidP="00EE53BE">
      <w:pPr>
        <w:ind w:left="1440" w:hanging="1440"/>
        <w:rPr>
          <w:lang w:val="fr-CA"/>
        </w:rPr>
      </w:pPr>
      <w:r>
        <w:t>α</w:t>
      </w:r>
      <w:r w:rsidRPr="003E75AA">
        <w:rPr>
          <w:lang w:val="fr-CA"/>
        </w:rPr>
        <w:t xml:space="preserve">: </w:t>
      </w:r>
    </w:p>
    <w:p w:rsidR="003E75AA" w:rsidRPr="003E75AA" w:rsidRDefault="003E75AA" w:rsidP="00EE53BE">
      <w:pPr>
        <w:ind w:left="1440" w:hanging="1440"/>
        <w:rPr>
          <w:lang w:val="fr-CA"/>
        </w:rPr>
      </w:pPr>
      <w:r w:rsidRPr="003E75AA">
        <w:rPr>
          <w:lang w:val="fr-CA"/>
        </w:rPr>
        <w:t>t critique:</w:t>
      </w:r>
    </w:p>
    <w:p w:rsidR="003E75AA" w:rsidRDefault="003E75AA" w:rsidP="00EE53BE">
      <w:pPr>
        <w:ind w:left="1440" w:hanging="1440"/>
        <w:rPr>
          <w:lang w:val="fr-CA"/>
        </w:rPr>
      </w:pPr>
      <w:r w:rsidRPr="003E75AA">
        <w:rPr>
          <w:lang w:val="fr-CA"/>
        </w:rPr>
        <w:t>Degrés de liberté: 4</w:t>
      </w:r>
    </w:p>
    <w:p w:rsidR="00161072" w:rsidRDefault="00161072" w:rsidP="00EE53BE">
      <w:pPr>
        <w:ind w:left="1440" w:hanging="1440"/>
        <w:rPr>
          <w:sz w:val="24"/>
          <w:lang w:val="fr-CA"/>
        </w:rPr>
      </w:pPr>
      <w:r w:rsidRPr="00161072">
        <w:rPr>
          <w:noProof/>
          <w:sz w:val="24"/>
          <w:lang w:eastAsia="en-CA"/>
        </w:rPr>
        <w:lastRenderedPageBreak/>
        <w:drawing>
          <wp:inline distT="0" distB="0" distL="0" distR="0">
            <wp:extent cx="5835485" cy="3503221"/>
            <wp:effectExtent l="19050" t="0" r="12865" b="1979"/>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00B97" w:rsidRDefault="00800B97" w:rsidP="00D1570F">
      <w:pPr>
        <w:ind w:left="1440" w:hanging="1440"/>
        <w:rPr>
          <w:sz w:val="24"/>
          <w:lang w:val="fr-CA"/>
        </w:rPr>
      </w:pPr>
      <w:r>
        <w:rPr>
          <w:sz w:val="24"/>
          <w:lang w:val="fr-CA"/>
        </w:rPr>
        <w:t>Figure 3.</w:t>
      </w:r>
      <w:r>
        <w:rPr>
          <w:sz w:val="24"/>
          <w:lang w:val="fr-CA"/>
        </w:rPr>
        <w:tab/>
        <w:t>Index de diversité Simpson représentant une corrélation significative. Ce diagramme représente la variable biotique de diversité vs la variable abiotique de conductivité et leur relation.</w:t>
      </w:r>
    </w:p>
    <w:p w:rsidR="00800B97" w:rsidRDefault="00800B97" w:rsidP="00EE53BE">
      <w:pPr>
        <w:ind w:left="1440" w:hanging="1440"/>
        <w:rPr>
          <w:sz w:val="24"/>
          <w:lang w:val="fr-CA"/>
        </w:rPr>
      </w:pPr>
      <w:r w:rsidRPr="00800B97">
        <w:rPr>
          <w:noProof/>
          <w:sz w:val="24"/>
          <w:lang w:eastAsia="en-CA"/>
        </w:rPr>
        <w:drawing>
          <wp:inline distT="0" distB="0" distL="0" distR="0">
            <wp:extent cx="5834660" cy="2861953"/>
            <wp:effectExtent l="19050" t="0" r="1369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00B97" w:rsidRDefault="00800B97" w:rsidP="00D1570F">
      <w:pPr>
        <w:ind w:left="1440" w:hanging="1440"/>
        <w:rPr>
          <w:sz w:val="24"/>
          <w:lang w:val="fr-CA"/>
        </w:rPr>
      </w:pPr>
      <w:r>
        <w:rPr>
          <w:sz w:val="24"/>
          <w:lang w:val="fr-CA"/>
        </w:rPr>
        <w:t>Figure 4.</w:t>
      </w:r>
      <w:r>
        <w:rPr>
          <w:sz w:val="24"/>
          <w:lang w:val="fr-CA"/>
        </w:rPr>
        <w:tab/>
        <w:t>Index de diversité Simpson représentant une corrélation significative. Ce diagramme représente la variable biotique du nombre total d’organisme vs la variable abiotique de conductivité et leur relation.</w:t>
      </w:r>
    </w:p>
    <w:p w:rsidR="00800B97" w:rsidRDefault="00800B97" w:rsidP="00D1570F">
      <w:pPr>
        <w:rPr>
          <w:sz w:val="24"/>
          <w:lang w:val="fr-CA"/>
        </w:rPr>
      </w:pPr>
      <w:r w:rsidRPr="00800B97">
        <w:rPr>
          <w:noProof/>
          <w:sz w:val="24"/>
          <w:lang w:eastAsia="en-CA"/>
        </w:rPr>
        <w:lastRenderedPageBreak/>
        <w:drawing>
          <wp:inline distT="0" distB="0" distL="0" distR="0">
            <wp:extent cx="5704856" cy="3230088"/>
            <wp:effectExtent l="19050" t="0" r="10144" b="8412"/>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00B97" w:rsidRDefault="00800B97" w:rsidP="00D1570F">
      <w:pPr>
        <w:ind w:left="1440" w:hanging="1440"/>
        <w:rPr>
          <w:sz w:val="24"/>
          <w:lang w:val="fr-CA"/>
        </w:rPr>
      </w:pPr>
      <w:r>
        <w:rPr>
          <w:sz w:val="24"/>
          <w:lang w:val="fr-CA"/>
        </w:rPr>
        <w:t>Figure 5.</w:t>
      </w:r>
      <w:r>
        <w:rPr>
          <w:sz w:val="24"/>
          <w:lang w:val="fr-CA"/>
        </w:rPr>
        <w:tab/>
        <w:t>Index de diversité Simpson représentant une corrélation significative. Ce diagramme représente la variable biotique de l’index de diversité Simpson vs la variable abiotique de Seston et leur relation.</w:t>
      </w:r>
    </w:p>
    <w:p w:rsidR="00800B97" w:rsidRDefault="00800B97" w:rsidP="00EE53BE">
      <w:pPr>
        <w:ind w:left="1440" w:hanging="1440"/>
        <w:rPr>
          <w:sz w:val="24"/>
          <w:lang w:val="fr-CA"/>
        </w:rPr>
      </w:pPr>
      <w:r w:rsidRPr="00800B97">
        <w:rPr>
          <w:noProof/>
          <w:sz w:val="24"/>
          <w:lang w:eastAsia="en-CA"/>
        </w:rPr>
        <w:drawing>
          <wp:inline distT="0" distB="0" distL="0" distR="0">
            <wp:extent cx="5707207" cy="3170711"/>
            <wp:effectExtent l="19050" t="0" r="26843" b="0"/>
            <wp:docPr id="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00B97" w:rsidRDefault="00800B97" w:rsidP="00EE53BE">
      <w:pPr>
        <w:ind w:left="1440" w:hanging="1440"/>
        <w:rPr>
          <w:sz w:val="24"/>
          <w:lang w:val="fr-CA"/>
        </w:rPr>
      </w:pPr>
      <w:r>
        <w:rPr>
          <w:sz w:val="24"/>
          <w:lang w:val="fr-CA"/>
        </w:rPr>
        <w:t>Figure 6.</w:t>
      </w:r>
      <w:r>
        <w:rPr>
          <w:sz w:val="24"/>
          <w:lang w:val="fr-CA"/>
        </w:rPr>
        <w:tab/>
        <w:t>Index de diversité Simpson représentant une corrélation significative. Ce diagramme représente la variable biotique de l’index de diversité Simpson vs la variable abiotique de Seston et leur relation.</w:t>
      </w:r>
    </w:p>
    <w:p w:rsidR="00D1570F" w:rsidRPr="003E75AA" w:rsidRDefault="00D1570F" w:rsidP="00EE53BE">
      <w:pPr>
        <w:ind w:left="1440" w:hanging="1440"/>
        <w:rPr>
          <w:sz w:val="24"/>
          <w:lang w:val="fr-CA"/>
        </w:rPr>
      </w:pPr>
      <w:r>
        <w:rPr>
          <w:sz w:val="24"/>
          <w:lang w:val="fr-CA"/>
        </w:rPr>
        <w:lastRenderedPageBreak/>
        <w:t>Tableau 2.</w:t>
      </w:r>
      <w:r>
        <w:rPr>
          <w:sz w:val="24"/>
          <w:lang w:val="fr-CA"/>
        </w:rPr>
        <w:tab/>
      </w:r>
    </w:p>
    <w:tbl>
      <w:tblPr>
        <w:tblW w:w="9360" w:type="dxa"/>
        <w:tblInd w:w="108" w:type="dxa"/>
        <w:tblLook w:val="04A0"/>
      </w:tblPr>
      <w:tblGrid>
        <w:gridCol w:w="3858"/>
        <w:gridCol w:w="2129"/>
        <w:gridCol w:w="3373"/>
      </w:tblGrid>
      <w:tr w:rsidR="00D1570F" w:rsidRPr="004447DC" w:rsidTr="00D1570F">
        <w:trPr>
          <w:trHeight w:val="255"/>
        </w:trPr>
        <w:tc>
          <w:tcPr>
            <w:tcW w:w="3858" w:type="dxa"/>
            <w:tcBorders>
              <w:top w:val="single" w:sz="8" w:space="0" w:color="auto"/>
              <w:left w:val="nil"/>
              <w:bottom w:val="single" w:sz="4" w:space="0" w:color="auto"/>
              <w:right w:val="nil"/>
            </w:tcBorders>
            <w:shd w:val="clear" w:color="auto" w:fill="auto"/>
            <w:noWrap/>
            <w:vAlign w:val="bottom"/>
            <w:hideMark/>
          </w:tcPr>
          <w:p w:rsidR="00D1570F" w:rsidRPr="00D1570F" w:rsidRDefault="00D1570F" w:rsidP="00D1570F">
            <w:pPr>
              <w:spacing w:after="0" w:line="240" w:lineRule="auto"/>
              <w:jc w:val="center"/>
              <w:rPr>
                <w:rFonts w:ascii="Arial" w:eastAsia="Times New Roman" w:hAnsi="Arial" w:cs="Arial"/>
                <w:i/>
                <w:iCs/>
                <w:sz w:val="20"/>
                <w:szCs w:val="20"/>
                <w:lang w:eastAsia="en-CA"/>
              </w:rPr>
            </w:pPr>
            <w:r w:rsidRPr="00D1570F">
              <w:rPr>
                <w:rFonts w:ascii="Arial" w:eastAsia="Times New Roman" w:hAnsi="Arial" w:cs="Arial"/>
                <w:i/>
                <w:iCs/>
                <w:sz w:val="20"/>
                <w:szCs w:val="20"/>
                <w:lang w:eastAsia="en-CA"/>
              </w:rPr>
              <w:t> </w:t>
            </w:r>
          </w:p>
        </w:tc>
        <w:tc>
          <w:tcPr>
            <w:tcW w:w="2129" w:type="dxa"/>
            <w:tcBorders>
              <w:top w:val="single" w:sz="8" w:space="0" w:color="auto"/>
              <w:left w:val="nil"/>
              <w:bottom w:val="single" w:sz="4" w:space="0" w:color="auto"/>
              <w:right w:val="nil"/>
            </w:tcBorders>
            <w:shd w:val="clear" w:color="auto" w:fill="auto"/>
            <w:noWrap/>
            <w:vAlign w:val="bottom"/>
            <w:hideMark/>
          </w:tcPr>
          <w:p w:rsidR="00D1570F" w:rsidRPr="00D1570F" w:rsidRDefault="00D1570F" w:rsidP="00D1570F">
            <w:pPr>
              <w:spacing w:after="0" w:line="240" w:lineRule="auto"/>
              <w:jc w:val="center"/>
              <w:rPr>
                <w:rFonts w:ascii="Arial" w:eastAsia="Times New Roman" w:hAnsi="Arial" w:cs="Arial"/>
                <w:i/>
                <w:iCs/>
                <w:sz w:val="20"/>
                <w:szCs w:val="20"/>
                <w:lang w:eastAsia="en-CA"/>
              </w:rPr>
            </w:pPr>
            <w:r w:rsidRPr="00D1570F">
              <w:rPr>
                <w:rFonts w:ascii="Arial" w:eastAsia="Times New Roman" w:hAnsi="Arial" w:cs="Arial"/>
                <w:i/>
                <w:iCs/>
                <w:sz w:val="20"/>
                <w:szCs w:val="20"/>
                <w:lang w:eastAsia="en-CA"/>
              </w:rPr>
              <w:t>Mean conductivity</w:t>
            </w:r>
          </w:p>
        </w:tc>
        <w:tc>
          <w:tcPr>
            <w:tcW w:w="3373" w:type="dxa"/>
            <w:tcBorders>
              <w:top w:val="single" w:sz="8" w:space="0" w:color="auto"/>
              <w:left w:val="nil"/>
              <w:bottom w:val="single" w:sz="4" w:space="0" w:color="auto"/>
              <w:right w:val="nil"/>
            </w:tcBorders>
            <w:shd w:val="clear" w:color="auto" w:fill="auto"/>
            <w:noWrap/>
            <w:vAlign w:val="bottom"/>
            <w:hideMark/>
          </w:tcPr>
          <w:p w:rsidR="00D1570F" w:rsidRPr="00D1570F" w:rsidRDefault="00D1570F" w:rsidP="00D1570F">
            <w:pPr>
              <w:spacing w:after="0" w:line="240" w:lineRule="auto"/>
              <w:jc w:val="center"/>
              <w:rPr>
                <w:rFonts w:ascii="Arial" w:eastAsia="Times New Roman" w:hAnsi="Arial" w:cs="Arial"/>
                <w:i/>
                <w:iCs/>
                <w:sz w:val="20"/>
                <w:szCs w:val="20"/>
                <w:lang w:val="fr-CA" w:eastAsia="en-CA"/>
              </w:rPr>
            </w:pPr>
            <w:r w:rsidRPr="00D1570F">
              <w:rPr>
                <w:rFonts w:ascii="Arial" w:eastAsia="Times New Roman" w:hAnsi="Arial" w:cs="Arial"/>
                <w:i/>
                <w:iCs/>
                <w:sz w:val="20"/>
                <w:szCs w:val="20"/>
                <w:lang w:val="fr-CA" w:eastAsia="en-CA"/>
              </w:rPr>
              <w:t>Total taxa/Nombre total de taxa</w:t>
            </w:r>
          </w:p>
        </w:tc>
      </w:tr>
      <w:tr w:rsidR="00D1570F" w:rsidRPr="00D1570F" w:rsidTr="00D1570F">
        <w:trPr>
          <w:trHeight w:val="255"/>
        </w:trPr>
        <w:tc>
          <w:tcPr>
            <w:tcW w:w="3858"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rPr>
                <w:rFonts w:ascii="Arial" w:eastAsia="Times New Roman" w:hAnsi="Arial" w:cs="Arial"/>
                <w:sz w:val="20"/>
                <w:szCs w:val="20"/>
                <w:lang w:eastAsia="en-CA"/>
              </w:rPr>
            </w:pPr>
            <w:r w:rsidRPr="00D1570F">
              <w:rPr>
                <w:rFonts w:ascii="Arial" w:eastAsia="Times New Roman" w:hAnsi="Arial" w:cs="Arial"/>
                <w:sz w:val="20"/>
                <w:szCs w:val="20"/>
                <w:lang w:eastAsia="en-CA"/>
              </w:rPr>
              <w:t>Mean conductivity</w:t>
            </w:r>
          </w:p>
        </w:tc>
        <w:tc>
          <w:tcPr>
            <w:tcW w:w="2129"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r w:rsidRPr="00D1570F">
              <w:rPr>
                <w:rFonts w:ascii="Arial" w:eastAsia="Times New Roman" w:hAnsi="Arial" w:cs="Arial"/>
                <w:sz w:val="20"/>
                <w:szCs w:val="20"/>
                <w:lang w:eastAsia="en-CA"/>
              </w:rPr>
              <w:t>1</w:t>
            </w:r>
          </w:p>
        </w:tc>
        <w:tc>
          <w:tcPr>
            <w:tcW w:w="3373"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rPr>
                <w:rFonts w:ascii="Arial" w:eastAsia="Times New Roman" w:hAnsi="Arial" w:cs="Arial"/>
                <w:sz w:val="20"/>
                <w:szCs w:val="20"/>
                <w:lang w:eastAsia="en-CA"/>
              </w:rPr>
            </w:pPr>
          </w:p>
        </w:tc>
      </w:tr>
      <w:tr w:rsidR="00D1570F" w:rsidRPr="00D1570F" w:rsidTr="00D1570F">
        <w:trPr>
          <w:trHeight w:val="255"/>
        </w:trPr>
        <w:tc>
          <w:tcPr>
            <w:tcW w:w="3858"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rPr>
                <w:rFonts w:ascii="Arial" w:eastAsia="Times New Roman" w:hAnsi="Arial" w:cs="Arial"/>
                <w:sz w:val="20"/>
                <w:szCs w:val="20"/>
                <w:lang w:val="fr-CA" w:eastAsia="en-CA"/>
              </w:rPr>
            </w:pPr>
            <w:r w:rsidRPr="00D1570F">
              <w:rPr>
                <w:rFonts w:ascii="Arial" w:eastAsia="Times New Roman" w:hAnsi="Arial" w:cs="Arial"/>
                <w:sz w:val="20"/>
                <w:szCs w:val="20"/>
                <w:lang w:val="fr-CA" w:eastAsia="en-CA"/>
              </w:rPr>
              <w:t>Total taxa/Nombre total de taxa</w:t>
            </w:r>
          </w:p>
        </w:tc>
        <w:tc>
          <w:tcPr>
            <w:tcW w:w="2129"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r w:rsidRPr="00D1570F">
              <w:rPr>
                <w:rFonts w:ascii="Arial" w:eastAsia="Times New Roman" w:hAnsi="Arial" w:cs="Arial"/>
                <w:sz w:val="20"/>
                <w:szCs w:val="20"/>
                <w:lang w:eastAsia="en-CA"/>
              </w:rPr>
              <w:t>-0.218584355</w:t>
            </w:r>
          </w:p>
        </w:tc>
        <w:tc>
          <w:tcPr>
            <w:tcW w:w="3373"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r w:rsidRPr="00D1570F">
              <w:rPr>
                <w:rFonts w:ascii="Arial" w:eastAsia="Times New Roman" w:hAnsi="Arial" w:cs="Arial"/>
                <w:sz w:val="20"/>
                <w:szCs w:val="20"/>
                <w:lang w:eastAsia="en-CA"/>
              </w:rPr>
              <w:t>1</w:t>
            </w:r>
          </w:p>
        </w:tc>
      </w:tr>
      <w:tr w:rsidR="00D1570F" w:rsidRPr="00D1570F" w:rsidTr="00D1570F">
        <w:trPr>
          <w:trHeight w:val="315"/>
        </w:trPr>
        <w:tc>
          <w:tcPr>
            <w:tcW w:w="3858"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rPr>
                <w:rFonts w:ascii="Arial" w:eastAsia="Times New Roman" w:hAnsi="Arial" w:cs="Arial"/>
                <w:sz w:val="20"/>
                <w:szCs w:val="20"/>
                <w:lang w:val="fr-CA" w:eastAsia="en-CA"/>
              </w:rPr>
            </w:pPr>
            <w:r w:rsidRPr="00D1570F">
              <w:rPr>
                <w:rFonts w:ascii="Arial" w:eastAsia="Times New Roman" w:hAnsi="Arial" w:cs="Arial"/>
                <w:sz w:val="20"/>
                <w:szCs w:val="20"/>
                <w:lang w:val="fr-CA" w:eastAsia="en-CA"/>
              </w:rPr>
              <w:t xml:space="preserve">Total </w:t>
            </w:r>
            <w:r w:rsidR="00E20ECF" w:rsidRPr="00D1570F">
              <w:rPr>
                <w:rFonts w:ascii="Arial" w:eastAsia="Times New Roman" w:hAnsi="Arial" w:cs="Arial"/>
                <w:sz w:val="20"/>
                <w:szCs w:val="20"/>
                <w:lang w:val="fr-CA" w:eastAsia="en-CA"/>
              </w:rPr>
              <w:t>organismes</w:t>
            </w:r>
            <w:r w:rsidRPr="00D1570F">
              <w:rPr>
                <w:rFonts w:ascii="Arial" w:eastAsia="Times New Roman" w:hAnsi="Arial" w:cs="Arial"/>
                <w:sz w:val="20"/>
                <w:szCs w:val="20"/>
                <w:lang w:val="fr-CA" w:eastAsia="en-CA"/>
              </w:rPr>
              <w:t>/Nombre total d'organismes</w:t>
            </w:r>
          </w:p>
        </w:tc>
        <w:tc>
          <w:tcPr>
            <w:tcW w:w="2129"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r w:rsidRPr="00D1570F">
              <w:rPr>
                <w:rFonts w:ascii="Arial" w:eastAsia="Times New Roman" w:hAnsi="Arial" w:cs="Arial"/>
                <w:sz w:val="20"/>
                <w:szCs w:val="20"/>
                <w:lang w:eastAsia="en-CA"/>
              </w:rPr>
              <w:t>-0.495116764</w:t>
            </w:r>
          </w:p>
        </w:tc>
        <w:tc>
          <w:tcPr>
            <w:tcW w:w="3373"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r w:rsidRPr="00D1570F">
              <w:rPr>
                <w:rFonts w:ascii="Arial" w:eastAsia="Times New Roman" w:hAnsi="Arial" w:cs="Arial"/>
                <w:sz w:val="20"/>
                <w:szCs w:val="20"/>
                <w:lang w:eastAsia="en-CA"/>
              </w:rPr>
              <w:t>0.37206042</w:t>
            </w:r>
          </w:p>
        </w:tc>
      </w:tr>
      <w:tr w:rsidR="00D1570F" w:rsidRPr="00D1570F" w:rsidTr="00D1570F">
        <w:trPr>
          <w:trHeight w:val="255"/>
        </w:trPr>
        <w:tc>
          <w:tcPr>
            <w:tcW w:w="3858"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rPr>
                <w:rFonts w:ascii="Arial" w:eastAsia="Times New Roman" w:hAnsi="Arial" w:cs="Arial"/>
                <w:sz w:val="20"/>
                <w:szCs w:val="20"/>
                <w:lang w:eastAsia="en-CA"/>
              </w:rPr>
            </w:pPr>
            <w:r w:rsidRPr="00D1570F">
              <w:rPr>
                <w:rFonts w:ascii="Arial" w:eastAsia="Times New Roman" w:hAnsi="Arial" w:cs="Arial"/>
                <w:sz w:val="20"/>
                <w:szCs w:val="20"/>
                <w:lang w:eastAsia="en-CA"/>
              </w:rPr>
              <w:t xml:space="preserve">Simpson's Diversity Index/Index de </w:t>
            </w:r>
            <w:r w:rsidR="00E20ECF" w:rsidRPr="00D1570F">
              <w:rPr>
                <w:rFonts w:ascii="Arial" w:eastAsia="Times New Roman" w:hAnsi="Arial" w:cs="Arial"/>
                <w:sz w:val="20"/>
                <w:szCs w:val="20"/>
                <w:lang w:eastAsia="en-CA"/>
              </w:rPr>
              <w:t>diversity</w:t>
            </w:r>
          </w:p>
        </w:tc>
        <w:tc>
          <w:tcPr>
            <w:tcW w:w="2129"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r w:rsidRPr="00D1570F">
              <w:rPr>
                <w:rFonts w:ascii="Arial" w:eastAsia="Times New Roman" w:hAnsi="Arial" w:cs="Arial"/>
                <w:sz w:val="20"/>
                <w:szCs w:val="20"/>
                <w:lang w:eastAsia="en-CA"/>
              </w:rPr>
              <w:t>0.525547226</w:t>
            </w:r>
          </w:p>
        </w:tc>
        <w:tc>
          <w:tcPr>
            <w:tcW w:w="3373"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r w:rsidRPr="00D1570F">
              <w:rPr>
                <w:rFonts w:ascii="Arial" w:eastAsia="Times New Roman" w:hAnsi="Arial" w:cs="Arial"/>
                <w:sz w:val="20"/>
                <w:szCs w:val="20"/>
                <w:lang w:eastAsia="en-CA"/>
              </w:rPr>
              <w:t>0.06503614</w:t>
            </w:r>
          </w:p>
        </w:tc>
      </w:tr>
      <w:tr w:rsidR="00D1570F" w:rsidRPr="00D1570F" w:rsidTr="00D1570F">
        <w:trPr>
          <w:trHeight w:val="255"/>
        </w:trPr>
        <w:tc>
          <w:tcPr>
            <w:tcW w:w="3858"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rPr>
                <w:rFonts w:ascii="Arial" w:eastAsia="Times New Roman" w:hAnsi="Arial" w:cs="Arial"/>
                <w:sz w:val="20"/>
                <w:szCs w:val="20"/>
                <w:lang w:eastAsia="en-CA"/>
              </w:rPr>
            </w:pPr>
            <w:r w:rsidRPr="00D1570F">
              <w:rPr>
                <w:rFonts w:ascii="Arial" w:eastAsia="Times New Roman" w:hAnsi="Arial" w:cs="Arial"/>
                <w:sz w:val="20"/>
                <w:szCs w:val="20"/>
                <w:lang w:eastAsia="en-CA"/>
              </w:rPr>
              <w:t>E(1/D)</w:t>
            </w:r>
          </w:p>
        </w:tc>
        <w:tc>
          <w:tcPr>
            <w:tcW w:w="2129"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r w:rsidRPr="00D1570F">
              <w:rPr>
                <w:rFonts w:ascii="Arial" w:eastAsia="Times New Roman" w:hAnsi="Arial" w:cs="Arial"/>
                <w:sz w:val="20"/>
                <w:szCs w:val="20"/>
                <w:lang w:eastAsia="en-CA"/>
              </w:rPr>
              <w:t>0.539159633</w:t>
            </w:r>
          </w:p>
        </w:tc>
        <w:tc>
          <w:tcPr>
            <w:tcW w:w="3373"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r w:rsidRPr="00D1570F">
              <w:rPr>
                <w:rFonts w:ascii="Arial" w:eastAsia="Times New Roman" w:hAnsi="Arial" w:cs="Arial"/>
                <w:sz w:val="20"/>
                <w:szCs w:val="20"/>
                <w:lang w:eastAsia="en-CA"/>
              </w:rPr>
              <w:t>-0.300829033</w:t>
            </w:r>
          </w:p>
        </w:tc>
      </w:tr>
      <w:tr w:rsidR="00D1570F" w:rsidRPr="00D1570F" w:rsidTr="00D1570F">
        <w:trPr>
          <w:trHeight w:val="270"/>
        </w:trPr>
        <w:tc>
          <w:tcPr>
            <w:tcW w:w="3858"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rPr>
                <w:rFonts w:ascii="Arial" w:eastAsia="Times New Roman" w:hAnsi="Arial" w:cs="Arial"/>
                <w:sz w:val="20"/>
                <w:szCs w:val="20"/>
                <w:lang w:eastAsia="en-CA"/>
              </w:rPr>
            </w:pPr>
            <w:r w:rsidRPr="00D1570F">
              <w:rPr>
                <w:rFonts w:ascii="Arial" w:eastAsia="Times New Roman" w:hAnsi="Arial" w:cs="Arial"/>
                <w:sz w:val="20"/>
                <w:szCs w:val="20"/>
                <w:lang w:eastAsia="en-CA"/>
              </w:rPr>
              <w:t>Margalef's Taxa Richness index</w:t>
            </w:r>
          </w:p>
        </w:tc>
        <w:tc>
          <w:tcPr>
            <w:tcW w:w="2129"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r w:rsidRPr="00D1570F">
              <w:rPr>
                <w:rFonts w:ascii="Arial" w:eastAsia="Times New Roman" w:hAnsi="Arial" w:cs="Arial"/>
                <w:sz w:val="20"/>
                <w:szCs w:val="20"/>
                <w:lang w:eastAsia="en-CA"/>
              </w:rPr>
              <w:t>0.187802387</w:t>
            </w:r>
          </w:p>
        </w:tc>
        <w:tc>
          <w:tcPr>
            <w:tcW w:w="3373" w:type="dxa"/>
            <w:tcBorders>
              <w:top w:val="nil"/>
              <w:left w:val="nil"/>
              <w:bottom w:val="nil"/>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r w:rsidRPr="00D1570F">
              <w:rPr>
                <w:rFonts w:ascii="Arial" w:eastAsia="Times New Roman" w:hAnsi="Arial" w:cs="Arial"/>
                <w:sz w:val="20"/>
                <w:szCs w:val="20"/>
                <w:lang w:eastAsia="en-CA"/>
              </w:rPr>
              <w:t>0.70336866</w:t>
            </w:r>
          </w:p>
        </w:tc>
      </w:tr>
      <w:tr w:rsidR="00D1570F" w:rsidRPr="00D1570F" w:rsidTr="00D1570F">
        <w:trPr>
          <w:trHeight w:val="270"/>
        </w:trPr>
        <w:tc>
          <w:tcPr>
            <w:tcW w:w="3858" w:type="dxa"/>
            <w:tcBorders>
              <w:top w:val="nil"/>
              <w:left w:val="nil"/>
              <w:bottom w:val="single" w:sz="8" w:space="0" w:color="auto"/>
              <w:right w:val="nil"/>
            </w:tcBorders>
            <w:shd w:val="clear" w:color="auto" w:fill="auto"/>
            <w:noWrap/>
            <w:vAlign w:val="bottom"/>
            <w:hideMark/>
          </w:tcPr>
          <w:p w:rsidR="00D1570F" w:rsidRPr="00D1570F" w:rsidRDefault="00D1570F" w:rsidP="00D1570F">
            <w:pPr>
              <w:spacing w:after="0" w:line="240" w:lineRule="auto"/>
              <w:rPr>
                <w:rFonts w:ascii="Arial" w:eastAsia="Times New Roman" w:hAnsi="Arial" w:cs="Arial"/>
                <w:sz w:val="20"/>
                <w:szCs w:val="20"/>
                <w:lang w:eastAsia="en-CA"/>
              </w:rPr>
            </w:pPr>
          </w:p>
        </w:tc>
        <w:tc>
          <w:tcPr>
            <w:tcW w:w="2129" w:type="dxa"/>
            <w:tcBorders>
              <w:top w:val="nil"/>
              <w:left w:val="nil"/>
              <w:bottom w:val="single" w:sz="8" w:space="0" w:color="auto"/>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p>
        </w:tc>
        <w:tc>
          <w:tcPr>
            <w:tcW w:w="3373" w:type="dxa"/>
            <w:tcBorders>
              <w:top w:val="nil"/>
              <w:left w:val="nil"/>
              <w:bottom w:val="single" w:sz="8" w:space="0" w:color="auto"/>
              <w:right w:val="nil"/>
            </w:tcBorders>
            <w:shd w:val="clear" w:color="auto" w:fill="auto"/>
            <w:noWrap/>
            <w:vAlign w:val="bottom"/>
            <w:hideMark/>
          </w:tcPr>
          <w:p w:rsidR="00D1570F" w:rsidRPr="00D1570F" w:rsidRDefault="00D1570F" w:rsidP="00D1570F">
            <w:pPr>
              <w:spacing w:after="0" w:line="240" w:lineRule="auto"/>
              <w:jc w:val="right"/>
              <w:rPr>
                <w:rFonts w:ascii="Arial" w:eastAsia="Times New Roman" w:hAnsi="Arial" w:cs="Arial"/>
                <w:sz w:val="20"/>
                <w:szCs w:val="20"/>
                <w:lang w:eastAsia="en-CA"/>
              </w:rPr>
            </w:pPr>
          </w:p>
        </w:tc>
      </w:tr>
    </w:tbl>
    <w:p w:rsidR="00D1570F" w:rsidRDefault="00D1570F" w:rsidP="00EE53BE">
      <w:pPr>
        <w:ind w:left="1440" w:hanging="1440"/>
        <w:rPr>
          <w:sz w:val="24"/>
          <w:lang w:val="fr-CA"/>
        </w:rPr>
      </w:pPr>
    </w:p>
    <w:tbl>
      <w:tblPr>
        <w:tblW w:w="9360" w:type="dxa"/>
        <w:tblInd w:w="108" w:type="dxa"/>
        <w:tblLook w:val="04A0"/>
      </w:tblPr>
      <w:tblGrid>
        <w:gridCol w:w="3858"/>
        <w:gridCol w:w="2129"/>
        <w:gridCol w:w="3373"/>
      </w:tblGrid>
      <w:tr w:rsidR="00E006BB" w:rsidRPr="004447DC" w:rsidTr="00E006BB">
        <w:trPr>
          <w:trHeight w:val="255"/>
        </w:trPr>
        <w:tc>
          <w:tcPr>
            <w:tcW w:w="3858" w:type="dxa"/>
            <w:tcBorders>
              <w:top w:val="single" w:sz="8" w:space="0" w:color="auto"/>
              <w:left w:val="nil"/>
              <w:bottom w:val="single" w:sz="4" w:space="0" w:color="auto"/>
              <w:right w:val="nil"/>
            </w:tcBorders>
            <w:shd w:val="clear" w:color="auto" w:fill="auto"/>
            <w:noWrap/>
            <w:vAlign w:val="bottom"/>
            <w:hideMark/>
          </w:tcPr>
          <w:p w:rsidR="00E006BB" w:rsidRPr="00E006BB" w:rsidRDefault="00E006BB" w:rsidP="00E006BB">
            <w:pPr>
              <w:spacing w:after="0" w:line="240" w:lineRule="auto"/>
              <w:jc w:val="center"/>
              <w:rPr>
                <w:rFonts w:ascii="Arial" w:eastAsia="Times New Roman" w:hAnsi="Arial" w:cs="Arial"/>
                <w:i/>
                <w:iCs/>
                <w:sz w:val="20"/>
                <w:szCs w:val="20"/>
                <w:lang w:eastAsia="en-CA"/>
              </w:rPr>
            </w:pPr>
            <w:r w:rsidRPr="00E006BB">
              <w:rPr>
                <w:rFonts w:ascii="Arial" w:eastAsia="Times New Roman" w:hAnsi="Arial" w:cs="Arial"/>
                <w:i/>
                <w:iCs/>
                <w:sz w:val="20"/>
                <w:szCs w:val="20"/>
                <w:lang w:eastAsia="en-CA"/>
              </w:rPr>
              <w:t> </w:t>
            </w:r>
          </w:p>
        </w:tc>
        <w:tc>
          <w:tcPr>
            <w:tcW w:w="2129" w:type="dxa"/>
            <w:tcBorders>
              <w:top w:val="single" w:sz="8" w:space="0" w:color="auto"/>
              <w:left w:val="nil"/>
              <w:bottom w:val="single" w:sz="4" w:space="0" w:color="auto"/>
              <w:right w:val="nil"/>
            </w:tcBorders>
            <w:shd w:val="clear" w:color="auto" w:fill="auto"/>
            <w:noWrap/>
            <w:vAlign w:val="bottom"/>
            <w:hideMark/>
          </w:tcPr>
          <w:p w:rsidR="00E006BB" w:rsidRPr="00E006BB" w:rsidRDefault="00E006BB" w:rsidP="00E006BB">
            <w:pPr>
              <w:spacing w:after="0" w:line="240" w:lineRule="auto"/>
              <w:jc w:val="center"/>
              <w:rPr>
                <w:rFonts w:ascii="Arial" w:eastAsia="Times New Roman" w:hAnsi="Arial" w:cs="Arial"/>
                <w:i/>
                <w:iCs/>
                <w:sz w:val="20"/>
                <w:szCs w:val="20"/>
                <w:lang w:eastAsia="en-CA"/>
              </w:rPr>
            </w:pPr>
            <w:r w:rsidRPr="00E006BB">
              <w:rPr>
                <w:rFonts w:ascii="Arial" w:eastAsia="Times New Roman" w:hAnsi="Arial" w:cs="Arial"/>
                <w:i/>
                <w:iCs/>
                <w:sz w:val="20"/>
                <w:szCs w:val="20"/>
                <w:lang w:eastAsia="en-CA"/>
              </w:rPr>
              <w:t>Mean Seston</w:t>
            </w:r>
          </w:p>
        </w:tc>
        <w:tc>
          <w:tcPr>
            <w:tcW w:w="3373" w:type="dxa"/>
            <w:tcBorders>
              <w:top w:val="single" w:sz="8" w:space="0" w:color="auto"/>
              <w:left w:val="nil"/>
              <w:bottom w:val="single" w:sz="4" w:space="0" w:color="auto"/>
              <w:right w:val="nil"/>
            </w:tcBorders>
            <w:shd w:val="clear" w:color="auto" w:fill="auto"/>
            <w:noWrap/>
            <w:vAlign w:val="bottom"/>
            <w:hideMark/>
          </w:tcPr>
          <w:p w:rsidR="00E006BB" w:rsidRPr="00E006BB" w:rsidRDefault="00E006BB" w:rsidP="00E006BB">
            <w:pPr>
              <w:spacing w:after="0" w:line="240" w:lineRule="auto"/>
              <w:jc w:val="center"/>
              <w:rPr>
                <w:rFonts w:ascii="Arial" w:eastAsia="Times New Roman" w:hAnsi="Arial" w:cs="Arial"/>
                <w:i/>
                <w:iCs/>
                <w:sz w:val="20"/>
                <w:szCs w:val="20"/>
                <w:lang w:val="fr-CA" w:eastAsia="en-CA"/>
              </w:rPr>
            </w:pPr>
            <w:r w:rsidRPr="00E006BB">
              <w:rPr>
                <w:rFonts w:ascii="Arial" w:eastAsia="Times New Roman" w:hAnsi="Arial" w:cs="Arial"/>
                <w:i/>
                <w:iCs/>
                <w:sz w:val="20"/>
                <w:szCs w:val="20"/>
                <w:lang w:val="fr-CA" w:eastAsia="en-CA"/>
              </w:rPr>
              <w:t>Total taxa/Nombre total de taxa</w:t>
            </w:r>
          </w:p>
        </w:tc>
      </w:tr>
      <w:tr w:rsidR="00E006BB" w:rsidRPr="00E006BB" w:rsidTr="00E006BB">
        <w:trPr>
          <w:trHeight w:val="255"/>
        </w:trPr>
        <w:tc>
          <w:tcPr>
            <w:tcW w:w="3858"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rPr>
                <w:rFonts w:ascii="Arial" w:eastAsia="Times New Roman" w:hAnsi="Arial" w:cs="Arial"/>
                <w:sz w:val="20"/>
                <w:szCs w:val="20"/>
                <w:lang w:eastAsia="en-CA"/>
              </w:rPr>
            </w:pPr>
            <w:r w:rsidRPr="00E006BB">
              <w:rPr>
                <w:rFonts w:ascii="Arial" w:eastAsia="Times New Roman" w:hAnsi="Arial" w:cs="Arial"/>
                <w:sz w:val="20"/>
                <w:szCs w:val="20"/>
                <w:lang w:eastAsia="en-CA"/>
              </w:rPr>
              <w:t xml:space="preserve">Mean </w:t>
            </w:r>
            <w:proofErr w:type="spellStart"/>
            <w:r w:rsidRPr="00E006BB">
              <w:rPr>
                <w:rFonts w:ascii="Arial" w:eastAsia="Times New Roman" w:hAnsi="Arial" w:cs="Arial"/>
                <w:sz w:val="20"/>
                <w:szCs w:val="20"/>
                <w:lang w:eastAsia="en-CA"/>
              </w:rPr>
              <w:t>Seston</w:t>
            </w:r>
            <w:proofErr w:type="spellEnd"/>
          </w:p>
        </w:tc>
        <w:tc>
          <w:tcPr>
            <w:tcW w:w="2129"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jc w:val="right"/>
              <w:rPr>
                <w:rFonts w:ascii="Arial" w:eastAsia="Times New Roman" w:hAnsi="Arial" w:cs="Arial"/>
                <w:sz w:val="20"/>
                <w:szCs w:val="20"/>
                <w:lang w:eastAsia="en-CA"/>
              </w:rPr>
            </w:pPr>
            <w:r w:rsidRPr="00E006BB">
              <w:rPr>
                <w:rFonts w:ascii="Arial" w:eastAsia="Times New Roman" w:hAnsi="Arial" w:cs="Arial"/>
                <w:sz w:val="20"/>
                <w:szCs w:val="20"/>
                <w:lang w:eastAsia="en-CA"/>
              </w:rPr>
              <w:t>1</w:t>
            </w:r>
          </w:p>
        </w:tc>
        <w:tc>
          <w:tcPr>
            <w:tcW w:w="3373"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rPr>
                <w:rFonts w:ascii="Arial" w:eastAsia="Times New Roman" w:hAnsi="Arial" w:cs="Arial"/>
                <w:sz w:val="20"/>
                <w:szCs w:val="20"/>
                <w:lang w:eastAsia="en-CA"/>
              </w:rPr>
            </w:pPr>
          </w:p>
        </w:tc>
      </w:tr>
      <w:tr w:rsidR="00E006BB" w:rsidRPr="00E006BB" w:rsidTr="00E006BB">
        <w:trPr>
          <w:trHeight w:val="255"/>
        </w:trPr>
        <w:tc>
          <w:tcPr>
            <w:tcW w:w="3858"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rPr>
                <w:rFonts w:ascii="Arial" w:eastAsia="Times New Roman" w:hAnsi="Arial" w:cs="Arial"/>
                <w:sz w:val="20"/>
                <w:szCs w:val="20"/>
                <w:lang w:val="fr-CA" w:eastAsia="en-CA"/>
              </w:rPr>
            </w:pPr>
            <w:r w:rsidRPr="00E006BB">
              <w:rPr>
                <w:rFonts w:ascii="Arial" w:eastAsia="Times New Roman" w:hAnsi="Arial" w:cs="Arial"/>
                <w:sz w:val="20"/>
                <w:szCs w:val="20"/>
                <w:lang w:val="fr-CA" w:eastAsia="en-CA"/>
              </w:rPr>
              <w:t>Total taxa/Nombre total de taxa</w:t>
            </w:r>
          </w:p>
        </w:tc>
        <w:tc>
          <w:tcPr>
            <w:tcW w:w="2129"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jc w:val="right"/>
              <w:rPr>
                <w:rFonts w:ascii="Arial" w:eastAsia="Times New Roman" w:hAnsi="Arial" w:cs="Arial"/>
                <w:sz w:val="20"/>
                <w:szCs w:val="20"/>
                <w:lang w:eastAsia="en-CA"/>
              </w:rPr>
            </w:pPr>
            <w:r w:rsidRPr="00E006BB">
              <w:rPr>
                <w:rFonts w:ascii="Arial" w:eastAsia="Times New Roman" w:hAnsi="Arial" w:cs="Arial"/>
                <w:sz w:val="20"/>
                <w:szCs w:val="20"/>
                <w:lang w:eastAsia="en-CA"/>
              </w:rPr>
              <w:t>0.223602102</w:t>
            </w:r>
          </w:p>
        </w:tc>
        <w:tc>
          <w:tcPr>
            <w:tcW w:w="3373"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jc w:val="right"/>
              <w:rPr>
                <w:rFonts w:ascii="Arial" w:eastAsia="Times New Roman" w:hAnsi="Arial" w:cs="Arial"/>
                <w:sz w:val="20"/>
                <w:szCs w:val="20"/>
                <w:lang w:eastAsia="en-CA"/>
              </w:rPr>
            </w:pPr>
            <w:r w:rsidRPr="00E006BB">
              <w:rPr>
                <w:rFonts w:ascii="Arial" w:eastAsia="Times New Roman" w:hAnsi="Arial" w:cs="Arial"/>
                <w:sz w:val="20"/>
                <w:szCs w:val="20"/>
                <w:lang w:eastAsia="en-CA"/>
              </w:rPr>
              <w:t>1</w:t>
            </w:r>
          </w:p>
        </w:tc>
      </w:tr>
      <w:tr w:rsidR="00E006BB" w:rsidRPr="00E006BB" w:rsidTr="00E006BB">
        <w:trPr>
          <w:trHeight w:val="315"/>
        </w:trPr>
        <w:tc>
          <w:tcPr>
            <w:tcW w:w="3858"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rPr>
                <w:rFonts w:ascii="Arial" w:eastAsia="Times New Roman" w:hAnsi="Arial" w:cs="Arial"/>
                <w:sz w:val="20"/>
                <w:szCs w:val="20"/>
                <w:lang w:val="fr-CA" w:eastAsia="en-CA"/>
              </w:rPr>
            </w:pPr>
            <w:r w:rsidRPr="00E006BB">
              <w:rPr>
                <w:rFonts w:ascii="Arial" w:eastAsia="Times New Roman" w:hAnsi="Arial" w:cs="Arial"/>
                <w:sz w:val="20"/>
                <w:szCs w:val="20"/>
                <w:lang w:val="fr-CA" w:eastAsia="en-CA"/>
              </w:rPr>
              <w:t>Total organisms/Nombre total d'organismes</w:t>
            </w:r>
          </w:p>
        </w:tc>
        <w:tc>
          <w:tcPr>
            <w:tcW w:w="2129"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jc w:val="right"/>
              <w:rPr>
                <w:rFonts w:ascii="Arial" w:eastAsia="Times New Roman" w:hAnsi="Arial" w:cs="Arial"/>
                <w:sz w:val="20"/>
                <w:szCs w:val="20"/>
                <w:lang w:eastAsia="en-CA"/>
              </w:rPr>
            </w:pPr>
            <w:r w:rsidRPr="00E006BB">
              <w:rPr>
                <w:rFonts w:ascii="Arial" w:eastAsia="Times New Roman" w:hAnsi="Arial" w:cs="Arial"/>
                <w:sz w:val="20"/>
                <w:szCs w:val="20"/>
                <w:lang w:eastAsia="en-CA"/>
              </w:rPr>
              <w:t>0.350304842</w:t>
            </w:r>
          </w:p>
        </w:tc>
        <w:tc>
          <w:tcPr>
            <w:tcW w:w="3373"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jc w:val="right"/>
              <w:rPr>
                <w:rFonts w:ascii="Arial" w:eastAsia="Times New Roman" w:hAnsi="Arial" w:cs="Arial"/>
                <w:sz w:val="20"/>
                <w:szCs w:val="20"/>
                <w:lang w:eastAsia="en-CA"/>
              </w:rPr>
            </w:pPr>
            <w:r w:rsidRPr="00E006BB">
              <w:rPr>
                <w:rFonts w:ascii="Arial" w:eastAsia="Times New Roman" w:hAnsi="Arial" w:cs="Arial"/>
                <w:sz w:val="20"/>
                <w:szCs w:val="20"/>
                <w:lang w:eastAsia="en-CA"/>
              </w:rPr>
              <w:t>0.37206042</w:t>
            </w:r>
          </w:p>
        </w:tc>
      </w:tr>
      <w:tr w:rsidR="00E006BB" w:rsidRPr="00E006BB" w:rsidTr="00E006BB">
        <w:trPr>
          <w:trHeight w:val="255"/>
        </w:trPr>
        <w:tc>
          <w:tcPr>
            <w:tcW w:w="3858"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rPr>
                <w:rFonts w:ascii="Arial" w:eastAsia="Times New Roman" w:hAnsi="Arial" w:cs="Arial"/>
                <w:sz w:val="20"/>
                <w:szCs w:val="20"/>
                <w:lang w:eastAsia="en-CA"/>
              </w:rPr>
            </w:pPr>
            <w:r w:rsidRPr="00E006BB">
              <w:rPr>
                <w:rFonts w:ascii="Arial" w:eastAsia="Times New Roman" w:hAnsi="Arial" w:cs="Arial"/>
                <w:sz w:val="20"/>
                <w:szCs w:val="20"/>
                <w:lang w:eastAsia="en-CA"/>
              </w:rPr>
              <w:t>Simpson's Diversity Index/Index de diversité</w:t>
            </w:r>
          </w:p>
        </w:tc>
        <w:tc>
          <w:tcPr>
            <w:tcW w:w="2129"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jc w:val="right"/>
              <w:rPr>
                <w:rFonts w:ascii="Arial" w:eastAsia="Times New Roman" w:hAnsi="Arial" w:cs="Arial"/>
                <w:sz w:val="20"/>
                <w:szCs w:val="20"/>
                <w:lang w:eastAsia="en-CA"/>
              </w:rPr>
            </w:pPr>
            <w:r w:rsidRPr="00E006BB">
              <w:rPr>
                <w:rFonts w:ascii="Arial" w:eastAsia="Times New Roman" w:hAnsi="Arial" w:cs="Arial"/>
                <w:sz w:val="20"/>
                <w:szCs w:val="20"/>
                <w:lang w:eastAsia="en-CA"/>
              </w:rPr>
              <w:t>-0.009877377</w:t>
            </w:r>
          </w:p>
        </w:tc>
        <w:tc>
          <w:tcPr>
            <w:tcW w:w="3373"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jc w:val="right"/>
              <w:rPr>
                <w:rFonts w:ascii="Arial" w:eastAsia="Times New Roman" w:hAnsi="Arial" w:cs="Arial"/>
                <w:sz w:val="20"/>
                <w:szCs w:val="20"/>
                <w:lang w:eastAsia="en-CA"/>
              </w:rPr>
            </w:pPr>
            <w:r w:rsidRPr="00E006BB">
              <w:rPr>
                <w:rFonts w:ascii="Arial" w:eastAsia="Times New Roman" w:hAnsi="Arial" w:cs="Arial"/>
                <w:sz w:val="20"/>
                <w:szCs w:val="20"/>
                <w:lang w:eastAsia="en-CA"/>
              </w:rPr>
              <w:t>0.06503614</w:t>
            </w:r>
          </w:p>
        </w:tc>
      </w:tr>
      <w:tr w:rsidR="00E006BB" w:rsidRPr="00E006BB" w:rsidTr="00E006BB">
        <w:trPr>
          <w:trHeight w:val="255"/>
        </w:trPr>
        <w:tc>
          <w:tcPr>
            <w:tcW w:w="3858"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rPr>
                <w:rFonts w:ascii="Arial" w:eastAsia="Times New Roman" w:hAnsi="Arial" w:cs="Arial"/>
                <w:sz w:val="20"/>
                <w:szCs w:val="20"/>
                <w:lang w:eastAsia="en-CA"/>
              </w:rPr>
            </w:pPr>
            <w:r w:rsidRPr="00E006BB">
              <w:rPr>
                <w:rFonts w:ascii="Arial" w:eastAsia="Times New Roman" w:hAnsi="Arial" w:cs="Arial"/>
                <w:sz w:val="20"/>
                <w:szCs w:val="20"/>
                <w:lang w:eastAsia="en-CA"/>
              </w:rPr>
              <w:t>E(1/D)</w:t>
            </w:r>
          </w:p>
        </w:tc>
        <w:tc>
          <w:tcPr>
            <w:tcW w:w="2129"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jc w:val="right"/>
              <w:rPr>
                <w:rFonts w:ascii="Arial" w:eastAsia="Times New Roman" w:hAnsi="Arial" w:cs="Arial"/>
                <w:sz w:val="20"/>
                <w:szCs w:val="20"/>
                <w:lang w:eastAsia="en-CA"/>
              </w:rPr>
            </w:pPr>
            <w:r w:rsidRPr="00E006BB">
              <w:rPr>
                <w:rFonts w:ascii="Arial" w:eastAsia="Times New Roman" w:hAnsi="Arial" w:cs="Arial"/>
                <w:sz w:val="20"/>
                <w:szCs w:val="20"/>
                <w:lang w:eastAsia="en-CA"/>
              </w:rPr>
              <w:t>-0.063389941</w:t>
            </w:r>
          </w:p>
        </w:tc>
        <w:tc>
          <w:tcPr>
            <w:tcW w:w="3373" w:type="dxa"/>
            <w:tcBorders>
              <w:top w:val="nil"/>
              <w:left w:val="nil"/>
              <w:bottom w:val="nil"/>
              <w:right w:val="nil"/>
            </w:tcBorders>
            <w:shd w:val="clear" w:color="auto" w:fill="auto"/>
            <w:noWrap/>
            <w:vAlign w:val="bottom"/>
            <w:hideMark/>
          </w:tcPr>
          <w:p w:rsidR="00E006BB" w:rsidRPr="00E006BB" w:rsidRDefault="00E006BB" w:rsidP="00E006BB">
            <w:pPr>
              <w:spacing w:after="0" w:line="240" w:lineRule="auto"/>
              <w:jc w:val="right"/>
              <w:rPr>
                <w:rFonts w:ascii="Arial" w:eastAsia="Times New Roman" w:hAnsi="Arial" w:cs="Arial"/>
                <w:sz w:val="20"/>
                <w:szCs w:val="20"/>
                <w:lang w:eastAsia="en-CA"/>
              </w:rPr>
            </w:pPr>
            <w:r w:rsidRPr="00E006BB">
              <w:rPr>
                <w:rFonts w:ascii="Arial" w:eastAsia="Times New Roman" w:hAnsi="Arial" w:cs="Arial"/>
                <w:sz w:val="20"/>
                <w:szCs w:val="20"/>
                <w:lang w:eastAsia="en-CA"/>
              </w:rPr>
              <w:t>-0.300829033</w:t>
            </w:r>
          </w:p>
        </w:tc>
      </w:tr>
      <w:tr w:rsidR="00E006BB" w:rsidRPr="00E006BB" w:rsidTr="00E006BB">
        <w:trPr>
          <w:trHeight w:val="270"/>
        </w:trPr>
        <w:tc>
          <w:tcPr>
            <w:tcW w:w="3858" w:type="dxa"/>
            <w:tcBorders>
              <w:top w:val="nil"/>
              <w:left w:val="nil"/>
              <w:bottom w:val="single" w:sz="8" w:space="0" w:color="auto"/>
              <w:right w:val="nil"/>
            </w:tcBorders>
            <w:shd w:val="clear" w:color="auto" w:fill="auto"/>
            <w:noWrap/>
            <w:vAlign w:val="bottom"/>
            <w:hideMark/>
          </w:tcPr>
          <w:p w:rsidR="00E006BB" w:rsidRPr="00E006BB" w:rsidRDefault="00E006BB" w:rsidP="00E006BB">
            <w:pPr>
              <w:spacing w:after="0" w:line="240" w:lineRule="auto"/>
              <w:rPr>
                <w:rFonts w:ascii="Arial" w:eastAsia="Times New Roman" w:hAnsi="Arial" w:cs="Arial"/>
                <w:sz w:val="20"/>
                <w:szCs w:val="20"/>
                <w:lang w:eastAsia="en-CA"/>
              </w:rPr>
            </w:pPr>
            <w:r w:rsidRPr="00E006BB">
              <w:rPr>
                <w:rFonts w:ascii="Arial" w:eastAsia="Times New Roman" w:hAnsi="Arial" w:cs="Arial"/>
                <w:sz w:val="20"/>
                <w:szCs w:val="20"/>
                <w:lang w:eastAsia="en-CA"/>
              </w:rPr>
              <w:t>Margalef's Taxa Richness index</w:t>
            </w:r>
          </w:p>
        </w:tc>
        <w:tc>
          <w:tcPr>
            <w:tcW w:w="2129" w:type="dxa"/>
            <w:tcBorders>
              <w:top w:val="nil"/>
              <w:left w:val="nil"/>
              <w:bottom w:val="single" w:sz="8" w:space="0" w:color="auto"/>
              <w:right w:val="nil"/>
            </w:tcBorders>
            <w:shd w:val="clear" w:color="auto" w:fill="auto"/>
            <w:noWrap/>
            <w:vAlign w:val="bottom"/>
            <w:hideMark/>
          </w:tcPr>
          <w:p w:rsidR="00E006BB" w:rsidRPr="00E006BB" w:rsidRDefault="00E006BB" w:rsidP="00E006BB">
            <w:pPr>
              <w:spacing w:after="0" w:line="240" w:lineRule="auto"/>
              <w:jc w:val="right"/>
              <w:rPr>
                <w:rFonts w:ascii="Arial" w:eastAsia="Times New Roman" w:hAnsi="Arial" w:cs="Arial"/>
                <w:sz w:val="20"/>
                <w:szCs w:val="20"/>
                <w:lang w:eastAsia="en-CA"/>
              </w:rPr>
            </w:pPr>
            <w:r w:rsidRPr="00E006BB">
              <w:rPr>
                <w:rFonts w:ascii="Arial" w:eastAsia="Times New Roman" w:hAnsi="Arial" w:cs="Arial"/>
                <w:sz w:val="20"/>
                <w:szCs w:val="20"/>
                <w:lang w:eastAsia="en-CA"/>
              </w:rPr>
              <w:t>-0.002675006</w:t>
            </w:r>
          </w:p>
        </w:tc>
        <w:tc>
          <w:tcPr>
            <w:tcW w:w="3373" w:type="dxa"/>
            <w:tcBorders>
              <w:top w:val="nil"/>
              <w:left w:val="nil"/>
              <w:bottom w:val="single" w:sz="8" w:space="0" w:color="auto"/>
              <w:right w:val="nil"/>
            </w:tcBorders>
            <w:shd w:val="clear" w:color="auto" w:fill="auto"/>
            <w:noWrap/>
            <w:vAlign w:val="bottom"/>
            <w:hideMark/>
          </w:tcPr>
          <w:p w:rsidR="00E006BB" w:rsidRPr="00E006BB" w:rsidRDefault="00E006BB" w:rsidP="00E006BB">
            <w:pPr>
              <w:spacing w:after="0" w:line="240" w:lineRule="auto"/>
              <w:jc w:val="right"/>
              <w:rPr>
                <w:rFonts w:ascii="Arial" w:eastAsia="Times New Roman" w:hAnsi="Arial" w:cs="Arial"/>
                <w:sz w:val="20"/>
                <w:szCs w:val="20"/>
                <w:lang w:eastAsia="en-CA"/>
              </w:rPr>
            </w:pPr>
            <w:r w:rsidRPr="00E006BB">
              <w:rPr>
                <w:rFonts w:ascii="Arial" w:eastAsia="Times New Roman" w:hAnsi="Arial" w:cs="Arial"/>
                <w:sz w:val="20"/>
                <w:szCs w:val="20"/>
                <w:lang w:eastAsia="en-CA"/>
              </w:rPr>
              <w:t>0.70336866</w:t>
            </w:r>
          </w:p>
        </w:tc>
      </w:tr>
    </w:tbl>
    <w:p w:rsidR="00E006BB" w:rsidRDefault="00E006BB" w:rsidP="00E006BB">
      <w:pPr>
        <w:rPr>
          <w:sz w:val="24"/>
          <w:lang w:val="fr-CA"/>
        </w:rPr>
      </w:pPr>
    </w:p>
    <w:p w:rsidR="00E006BB" w:rsidRDefault="00E006BB" w:rsidP="00E006BB">
      <w:pPr>
        <w:rPr>
          <w:sz w:val="24"/>
          <w:lang w:val="fr-CA"/>
        </w:rPr>
      </w:pPr>
    </w:p>
    <w:p w:rsidR="00E006BB" w:rsidRDefault="00E006BB" w:rsidP="00E006BB">
      <w:pPr>
        <w:rPr>
          <w:sz w:val="24"/>
          <w:lang w:val="fr-CA"/>
        </w:rPr>
      </w:pPr>
    </w:p>
    <w:p w:rsidR="00E006BB" w:rsidRDefault="00E006BB" w:rsidP="00E006BB">
      <w:pPr>
        <w:rPr>
          <w:sz w:val="24"/>
          <w:lang w:val="fr-CA"/>
        </w:rPr>
      </w:pPr>
    </w:p>
    <w:p w:rsidR="00E006BB" w:rsidRDefault="00E006BB" w:rsidP="00E006BB">
      <w:pPr>
        <w:rPr>
          <w:sz w:val="24"/>
          <w:lang w:val="fr-CA"/>
        </w:rPr>
      </w:pPr>
    </w:p>
    <w:p w:rsidR="00E006BB" w:rsidRDefault="00E006BB" w:rsidP="00E006BB">
      <w:pPr>
        <w:rPr>
          <w:sz w:val="24"/>
          <w:lang w:val="fr-CA"/>
        </w:rPr>
      </w:pPr>
    </w:p>
    <w:p w:rsidR="00E006BB" w:rsidRDefault="00E006BB" w:rsidP="00E006BB">
      <w:pPr>
        <w:rPr>
          <w:sz w:val="24"/>
          <w:lang w:val="fr-CA"/>
        </w:rPr>
      </w:pPr>
    </w:p>
    <w:p w:rsidR="00E006BB" w:rsidRDefault="00E006BB" w:rsidP="00E006BB">
      <w:pPr>
        <w:rPr>
          <w:sz w:val="24"/>
          <w:lang w:val="fr-CA"/>
        </w:rPr>
      </w:pPr>
    </w:p>
    <w:p w:rsidR="00E006BB" w:rsidRDefault="00E006BB" w:rsidP="00E006BB">
      <w:pPr>
        <w:rPr>
          <w:sz w:val="24"/>
          <w:lang w:val="fr-CA"/>
        </w:rPr>
      </w:pPr>
    </w:p>
    <w:p w:rsidR="00E006BB" w:rsidRDefault="00E006BB" w:rsidP="00E006BB">
      <w:pPr>
        <w:rPr>
          <w:sz w:val="24"/>
          <w:lang w:val="fr-CA"/>
        </w:rPr>
      </w:pPr>
    </w:p>
    <w:p w:rsidR="00E006BB" w:rsidRDefault="00E006BB" w:rsidP="00E006BB">
      <w:pPr>
        <w:rPr>
          <w:sz w:val="24"/>
          <w:lang w:val="fr-CA"/>
        </w:rPr>
      </w:pPr>
    </w:p>
    <w:p w:rsidR="00E006BB" w:rsidRDefault="00E006BB" w:rsidP="00E006BB">
      <w:pPr>
        <w:rPr>
          <w:sz w:val="24"/>
          <w:lang w:val="fr-CA"/>
        </w:rPr>
      </w:pPr>
    </w:p>
    <w:p w:rsidR="00E006BB" w:rsidRDefault="00E006BB" w:rsidP="00E006BB">
      <w:pPr>
        <w:rPr>
          <w:sz w:val="24"/>
          <w:lang w:val="fr-CA"/>
        </w:rPr>
      </w:pPr>
    </w:p>
    <w:p w:rsidR="00E006BB" w:rsidRDefault="00E006BB" w:rsidP="00E006BB">
      <w:pPr>
        <w:rPr>
          <w:sz w:val="24"/>
          <w:lang w:val="fr-CA"/>
        </w:rPr>
      </w:pPr>
      <w:r w:rsidRPr="00E006BB">
        <w:rPr>
          <w:noProof/>
          <w:sz w:val="24"/>
          <w:lang w:eastAsia="en-CA"/>
        </w:rPr>
        <w:lastRenderedPageBreak/>
        <w:drawing>
          <wp:inline distT="0" distB="0" distL="0" distR="0">
            <wp:extent cx="5787984" cy="2992582"/>
            <wp:effectExtent l="19050" t="0" r="22266" b="0"/>
            <wp:docPr id="9"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006BB" w:rsidRDefault="00E006BB" w:rsidP="00E006BB">
      <w:pPr>
        <w:ind w:left="1440" w:hanging="1440"/>
        <w:rPr>
          <w:sz w:val="24"/>
          <w:lang w:val="fr-CA"/>
        </w:rPr>
      </w:pPr>
      <w:r>
        <w:rPr>
          <w:sz w:val="24"/>
          <w:lang w:val="fr-CA"/>
        </w:rPr>
        <w:t>Figure 7.</w:t>
      </w:r>
      <w:r>
        <w:rPr>
          <w:sz w:val="24"/>
          <w:lang w:val="fr-CA"/>
        </w:rPr>
        <w:tab/>
        <w:t xml:space="preserve">Abondance relative moyenne des cinq groupes taxonomiques les plus abondants à chaque site. Ce diagrammes </w:t>
      </w:r>
      <w:r w:rsidR="00E20ECF">
        <w:rPr>
          <w:sz w:val="24"/>
          <w:lang w:val="fr-CA"/>
        </w:rPr>
        <w:t>à</w:t>
      </w:r>
      <w:r>
        <w:rPr>
          <w:sz w:val="24"/>
          <w:lang w:val="fr-CA"/>
        </w:rPr>
        <w:t xml:space="preserve"> bandes représente la moyenne relatives du site 1 avec des bandes noir et la moyenne relatives du site 2 avec des bandes blanche.</w:t>
      </w:r>
    </w:p>
    <w:p w:rsidR="00E006BB" w:rsidRDefault="00E006BB" w:rsidP="00E006BB">
      <w:pPr>
        <w:ind w:left="1440" w:hanging="1440"/>
        <w:rPr>
          <w:sz w:val="24"/>
          <w:lang w:val="fr-CA"/>
        </w:rPr>
      </w:pPr>
    </w:p>
    <w:p w:rsidR="00E006BB" w:rsidRDefault="00E006BB" w:rsidP="00E006BB">
      <w:pPr>
        <w:ind w:left="1440" w:hanging="1440"/>
        <w:rPr>
          <w:sz w:val="24"/>
          <w:lang w:val="fr-CA"/>
        </w:rPr>
      </w:pPr>
    </w:p>
    <w:p w:rsidR="00E006BB" w:rsidRDefault="00E006BB" w:rsidP="00E006BB">
      <w:pPr>
        <w:ind w:left="1440" w:hanging="1440"/>
        <w:rPr>
          <w:sz w:val="24"/>
          <w:lang w:val="fr-CA"/>
        </w:rPr>
      </w:pPr>
    </w:p>
    <w:p w:rsidR="00E006BB" w:rsidRDefault="00E006BB" w:rsidP="00E006BB">
      <w:pPr>
        <w:ind w:left="1440" w:hanging="1440"/>
        <w:rPr>
          <w:sz w:val="24"/>
          <w:lang w:val="fr-CA"/>
        </w:rPr>
      </w:pPr>
    </w:p>
    <w:p w:rsidR="00E006BB" w:rsidRDefault="00E006BB" w:rsidP="00E006BB">
      <w:pPr>
        <w:ind w:left="1440" w:hanging="1440"/>
        <w:rPr>
          <w:sz w:val="24"/>
          <w:lang w:val="fr-CA"/>
        </w:rPr>
      </w:pPr>
    </w:p>
    <w:p w:rsidR="00E006BB" w:rsidRDefault="00E006BB" w:rsidP="00E006BB">
      <w:pPr>
        <w:ind w:left="1440" w:hanging="1440"/>
        <w:rPr>
          <w:sz w:val="24"/>
          <w:lang w:val="fr-CA"/>
        </w:rPr>
      </w:pPr>
    </w:p>
    <w:p w:rsidR="00E006BB" w:rsidRDefault="00E006BB" w:rsidP="00E006BB">
      <w:pPr>
        <w:ind w:left="1440" w:hanging="1440"/>
        <w:rPr>
          <w:sz w:val="24"/>
          <w:lang w:val="fr-CA"/>
        </w:rPr>
      </w:pPr>
    </w:p>
    <w:p w:rsidR="00E006BB" w:rsidRDefault="00E006BB" w:rsidP="00E006BB">
      <w:pPr>
        <w:ind w:left="1440" w:hanging="1440"/>
        <w:rPr>
          <w:sz w:val="24"/>
          <w:lang w:val="fr-CA"/>
        </w:rPr>
      </w:pPr>
    </w:p>
    <w:p w:rsidR="00E006BB" w:rsidRDefault="00E006BB" w:rsidP="00E006BB">
      <w:pPr>
        <w:ind w:left="1440" w:hanging="1440"/>
        <w:rPr>
          <w:sz w:val="24"/>
          <w:lang w:val="fr-CA"/>
        </w:rPr>
      </w:pPr>
    </w:p>
    <w:p w:rsidR="00E006BB" w:rsidRDefault="00E006BB" w:rsidP="00E006BB">
      <w:pPr>
        <w:ind w:left="1440" w:hanging="1440"/>
        <w:rPr>
          <w:sz w:val="24"/>
          <w:lang w:val="fr-CA"/>
        </w:rPr>
      </w:pPr>
    </w:p>
    <w:p w:rsidR="00E006BB" w:rsidRDefault="00E006BB" w:rsidP="00E006BB">
      <w:pPr>
        <w:ind w:left="1440" w:hanging="1440"/>
        <w:rPr>
          <w:sz w:val="24"/>
          <w:lang w:val="fr-CA"/>
        </w:rPr>
      </w:pPr>
    </w:p>
    <w:p w:rsidR="00E006BB" w:rsidRDefault="00E006BB" w:rsidP="00E006BB">
      <w:pPr>
        <w:ind w:left="1440" w:hanging="1440"/>
        <w:rPr>
          <w:sz w:val="24"/>
          <w:lang w:val="fr-CA"/>
        </w:rPr>
      </w:pPr>
    </w:p>
    <w:p w:rsidR="00E006BB" w:rsidRDefault="00E006BB" w:rsidP="00E006BB">
      <w:pPr>
        <w:ind w:left="1440" w:hanging="1440"/>
        <w:rPr>
          <w:sz w:val="24"/>
          <w:lang w:val="fr-CA"/>
        </w:rPr>
      </w:pPr>
      <w:r>
        <w:rPr>
          <w:sz w:val="24"/>
          <w:lang w:val="fr-CA"/>
        </w:rPr>
        <w:lastRenderedPageBreak/>
        <w:t xml:space="preserve">Discussion : </w:t>
      </w:r>
    </w:p>
    <w:p w:rsidR="00E006BB" w:rsidRDefault="00E006BB" w:rsidP="00E006BB">
      <w:pPr>
        <w:ind w:left="1440" w:hanging="1440"/>
        <w:rPr>
          <w:sz w:val="24"/>
          <w:lang w:val="fr-CA"/>
        </w:rPr>
      </w:pPr>
      <w:r>
        <w:rPr>
          <w:sz w:val="24"/>
          <w:lang w:val="fr-CA"/>
        </w:rPr>
        <w:t>Figure 1.</w:t>
      </w:r>
      <w:r>
        <w:rPr>
          <w:sz w:val="24"/>
          <w:lang w:val="fr-CA"/>
        </w:rPr>
        <w:tab/>
        <w:t xml:space="preserve">Les résultats </w:t>
      </w:r>
      <w:r w:rsidR="00BA49D6">
        <w:rPr>
          <w:sz w:val="24"/>
          <w:lang w:val="fr-CA"/>
        </w:rPr>
        <w:t>de la première figure</w:t>
      </w:r>
      <w:r>
        <w:rPr>
          <w:sz w:val="24"/>
          <w:lang w:val="fr-CA"/>
        </w:rPr>
        <w:t xml:space="preserve"> nous </w:t>
      </w:r>
      <w:r w:rsidR="00BA49D6">
        <w:rPr>
          <w:sz w:val="24"/>
          <w:lang w:val="fr-CA"/>
        </w:rPr>
        <w:t>démontrent</w:t>
      </w:r>
      <w:r>
        <w:rPr>
          <w:sz w:val="24"/>
          <w:lang w:val="fr-CA"/>
        </w:rPr>
        <w:t xml:space="preserve"> que le site 2 a beaucoup plus de </w:t>
      </w:r>
      <w:r w:rsidR="00BA49D6">
        <w:rPr>
          <w:sz w:val="24"/>
          <w:lang w:val="fr-CA"/>
        </w:rPr>
        <w:t>conductivité</w:t>
      </w:r>
      <w:r>
        <w:rPr>
          <w:sz w:val="24"/>
          <w:lang w:val="fr-CA"/>
        </w:rPr>
        <w:t xml:space="preserve"> par </w:t>
      </w:r>
      <w:r w:rsidR="00BA49D6">
        <w:rPr>
          <w:sz w:val="24"/>
          <w:lang w:val="fr-CA"/>
        </w:rPr>
        <w:t>étendues</w:t>
      </w:r>
      <w:r>
        <w:rPr>
          <w:sz w:val="24"/>
          <w:lang w:val="fr-CA"/>
        </w:rPr>
        <w:t xml:space="preserve"> que le site 1.</w:t>
      </w:r>
      <w:r w:rsidR="00BA49D6">
        <w:rPr>
          <w:sz w:val="24"/>
          <w:lang w:val="fr-CA"/>
        </w:rPr>
        <w:t xml:space="preserve"> Ceci nous indique que la différence entre le premier et deuxième site est relativement </w:t>
      </w:r>
      <w:r w:rsidR="00E20ECF">
        <w:rPr>
          <w:sz w:val="24"/>
          <w:lang w:val="fr-CA"/>
        </w:rPr>
        <w:t>grosse</w:t>
      </w:r>
      <w:r w:rsidR="00BA49D6">
        <w:rPr>
          <w:sz w:val="24"/>
          <w:lang w:val="fr-CA"/>
        </w:rPr>
        <w:t>.</w:t>
      </w:r>
    </w:p>
    <w:p w:rsidR="00BA49D6" w:rsidRDefault="00BA49D6" w:rsidP="00E006BB">
      <w:pPr>
        <w:ind w:left="1440" w:hanging="1440"/>
        <w:rPr>
          <w:sz w:val="24"/>
          <w:lang w:val="fr-CA"/>
        </w:rPr>
      </w:pPr>
      <w:r>
        <w:rPr>
          <w:sz w:val="24"/>
          <w:lang w:val="fr-CA"/>
        </w:rPr>
        <w:t xml:space="preserve">Figure 2. </w:t>
      </w:r>
      <w:r>
        <w:rPr>
          <w:sz w:val="24"/>
          <w:lang w:val="fr-CA"/>
        </w:rPr>
        <w:tab/>
        <w:t>Les résultats de la deuxième figure nous démontrent que le site 2 étendues 4 a le plus d’oxygène dissout. Les deux sites on relativement le même montant d’oxygène dissout.</w:t>
      </w:r>
    </w:p>
    <w:p w:rsidR="00BA49D6" w:rsidRDefault="00BA49D6" w:rsidP="00E006BB">
      <w:pPr>
        <w:ind w:left="1440" w:hanging="1440"/>
        <w:rPr>
          <w:sz w:val="24"/>
          <w:lang w:val="fr-CA"/>
        </w:rPr>
      </w:pPr>
      <w:r>
        <w:rPr>
          <w:sz w:val="24"/>
          <w:lang w:val="fr-CA"/>
        </w:rPr>
        <w:t>Figure 3.</w:t>
      </w:r>
      <w:r>
        <w:rPr>
          <w:sz w:val="24"/>
          <w:lang w:val="fr-CA"/>
        </w:rPr>
        <w:tab/>
        <w:t xml:space="preserve">Les resultats de la </w:t>
      </w:r>
      <w:r w:rsidR="00E20ECF">
        <w:rPr>
          <w:sz w:val="24"/>
          <w:lang w:val="fr-CA"/>
        </w:rPr>
        <w:t>troisième</w:t>
      </w:r>
      <w:r>
        <w:rPr>
          <w:sz w:val="24"/>
          <w:lang w:val="fr-CA"/>
        </w:rPr>
        <w:t xml:space="preserve"> figure nous </w:t>
      </w:r>
      <w:r w:rsidR="00E20ECF">
        <w:rPr>
          <w:sz w:val="24"/>
          <w:lang w:val="fr-CA"/>
        </w:rPr>
        <w:t>démontrent</w:t>
      </w:r>
      <w:r>
        <w:rPr>
          <w:sz w:val="24"/>
          <w:lang w:val="fr-CA"/>
        </w:rPr>
        <w:t xml:space="preserve"> que la relation entre la </w:t>
      </w:r>
      <w:r w:rsidR="00E20ECF">
        <w:rPr>
          <w:sz w:val="24"/>
          <w:lang w:val="fr-CA"/>
        </w:rPr>
        <w:t>diversité</w:t>
      </w:r>
      <w:r>
        <w:rPr>
          <w:sz w:val="24"/>
          <w:lang w:val="fr-CA"/>
        </w:rPr>
        <w:t xml:space="preserve"> de Simpson et la </w:t>
      </w:r>
      <w:r w:rsidR="00E20ECF">
        <w:rPr>
          <w:sz w:val="24"/>
          <w:lang w:val="fr-CA"/>
        </w:rPr>
        <w:t>conductivité</w:t>
      </w:r>
      <w:r>
        <w:rPr>
          <w:sz w:val="24"/>
          <w:lang w:val="fr-CA"/>
        </w:rPr>
        <w:t xml:space="preserve"> est </w:t>
      </w:r>
      <w:r w:rsidR="00CF6E95">
        <w:rPr>
          <w:sz w:val="24"/>
          <w:lang w:val="fr-CA"/>
        </w:rPr>
        <w:t xml:space="preserve">significative puisque le r </w:t>
      </w:r>
      <w:r w:rsidR="00E20ECF">
        <w:rPr>
          <w:sz w:val="24"/>
          <w:lang w:val="fr-CA"/>
        </w:rPr>
        <w:t>calculée</w:t>
      </w:r>
      <w:r w:rsidR="00CF6E95">
        <w:rPr>
          <w:sz w:val="24"/>
          <w:lang w:val="fr-CA"/>
        </w:rPr>
        <w:t xml:space="preserve"> est inferieur a 0.44.</w:t>
      </w:r>
    </w:p>
    <w:p w:rsidR="00CF6E95" w:rsidRDefault="00CF6E95" w:rsidP="00E006BB">
      <w:pPr>
        <w:ind w:left="1440" w:hanging="1440"/>
        <w:rPr>
          <w:sz w:val="24"/>
          <w:lang w:val="fr-CA"/>
        </w:rPr>
      </w:pPr>
      <w:r>
        <w:rPr>
          <w:sz w:val="24"/>
          <w:lang w:val="fr-CA"/>
        </w:rPr>
        <w:t>Figure 4.</w:t>
      </w:r>
      <w:r>
        <w:rPr>
          <w:sz w:val="24"/>
          <w:lang w:val="fr-CA"/>
        </w:rPr>
        <w:tab/>
        <w:t xml:space="preserve">Les </w:t>
      </w:r>
      <w:r w:rsidR="00E20ECF">
        <w:rPr>
          <w:sz w:val="24"/>
          <w:lang w:val="fr-CA"/>
        </w:rPr>
        <w:t>résultats</w:t>
      </w:r>
      <w:r>
        <w:rPr>
          <w:sz w:val="24"/>
          <w:lang w:val="fr-CA"/>
        </w:rPr>
        <w:t xml:space="preserve"> de la </w:t>
      </w:r>
      <w:r w:rsidR="00E20ECF">
        <w:rPr>
          <w:sz w:val="24"/>
          <w:lang w:val="fr-CA"/>
        </w:rPr>
        <w:t>quatrième</w:t>
      </w:r>
      <w:r>
        <w:rPr>
          <w:sz w:val="24"/>
          <w:lang w:val="fr-CA"/>
        </w:rPr>
        <w:t xml:space="preserve"> figure nous </w:t>
      </w:r>
      <w:r w:rsidR="00E20ECF">
        <w:rPr>
          <w:sz w:val="24"/>
          <w:lang w:val="fr-CA"/>
        </w:rPr>
        <w:t>démontrent</w:t>
      </w:r>
      <w:r>
        <w:rPr>
          <w:sz w:val="24"/>
          <w:lang w:val="fr-CA"/>
        </w:rPr>
        <w:t xml:space="preserve"> que la relation entre le taux d’organisme et la </w:t>
      </w:r>
      <w:r w:rsidR="00E20ECF">
        <w:rPr>
          <w:sz w:val="24"/>
          <w:lang w:val="fr-CA"/>
        </w:rPr>
        <w:t>conductivité</w:t>
      </w:r>
      <w:r>
        <w:rPr>
          <w:sz w:val="24"/>
          <w:lang w:val="fr-CA"/>
        </w:rPr>
        <w:t xml:space="preserve"> est aussi significative puisque le r </w:t>
      </w:r>
      <w:r w:rsidR="00E20ECF">
        <w:rPr>
          <w:sz w:val="24"/>
          <w:lang w:val="fr-CA"/>
        </w:rPr>
        <w:t>calculée</w:t>
      </w:r>
      <w:r>
        <w:rPr>
          <w:sz w:val="24"/>
          <w:lang w:val="fr-CA"/>
        </w:rPr>
        <w:t xml:space="preserve"> est inferieur a 0.44.</w:t>
      </w:r>
    </w:p>
    <w:p w:rsidR="00CF6E95" w:rsidRDefault="00CF6E95" w:rsidP="00CF6E95">
      <w:pPr>
        <w:ind w:left="1440" w:hanging="1440"/>
        <w:rPr>
          <w:sz w:val="24"/>
          <w:lang w:val="fr-CA"/>
        </w:rPr>
      </w:pPr>
      <w:r>
        <w:rPr>
          <w:sz w:val="24"/>
          <w:lang w:val="fr-CA"/>
        </w:rPr>
        <w:t>Figure 5.</w:t>
      </w:r>
      <w:r>
        <w:rPr>
          <w:sz w:val="24"/>
          <w:lang w:val="fr-CA"/>
        </w:rPr>
        <w:tab/>
        <w:t xml:space="preserve">Les resultats de la </w:t>
      </w:r>
      <w:r w:rsidR="00E20ECF">
        <w:rPr>
          <w:sz w:val="24"/>
          <w:lang w:val="fr-CA"/>
        </w:rPr>
        <w:t>cinquième</w:t>
      </w:r>
      <w:r>
        <w:rPr>
          <w:sz w:val="24"/>
          <w:lang w:val="fr-CA"/>
        </w:rPr>
        <w:t xml:space="preserve"> figure nous </w:t>
      </w:r>
      <w:r w:rsidR="00E20ECF">
        <w:rPr>
          <w:sz w:val="24"/>
          <w:lang w:val="fr-CA"/>
        </w:rPr>
        <w:t>démontrant</w:t>
      </w:r>
      <w:r>
        <w:rPr>
          <w:sz w:val="24"/>
          <w:lang w:val="fr-CA"/>
        </w:rPr>
        <w:t xml:space="preserve"> que la relation entre l’index de </w:t>
      </w:r>
      <w:r w:rsidR="00E20ECF">
        <w:rPr>
          <w:sz w:val="24"/>
          <w:lang w:val="fr-CA"/>
        </w:rPr>
        <w:t>diversité</w:t>
      </w:r>
      <w:r>
        <w:rPr>
          <w:sz w:val="24"/>
          <w:lang w:val="fr-CA"/>
        </w:rPr>
        <w:t xml:space="preserve"> et le </w:t>
      </w:r>
      <w:r w:rsidR="00E20ECF">
        <w:rPr>
          <w:sz w:val="24"/>
          <w:lang w:val="fr-CA"/>
        </w:rPr>
        <w:t>Seston</w:t>
      </w:r>
      <w:r>
        <w:rPr>
          <w:sz w:val="24"/>
          <w:lang w:val="fr-CA"/>
        </w:rPr>
        <w:t xml:space="preserve"> est significative puisque le r </w:t>
      </w:r>
      <w:r w:rsidR="00E20ECF">
        <w:rPr>
          <w:sz w:val="24"/>
          <w:lang w:val="fr-CA"/>
        </w:rPr>
        <w:t>calculée</w:t>
      </w:r>
      <w:r>
        <w:rPr>
          <w:sz w:val="24"/>
          <w:lang w:val="fr-CA"/>
        </w:rPr>
        <w:t xml:space="preserve"> est inferieur a 0.44.</w:t>
      </w:r>
    </w:p>
    <w:p w:rsidR="00CF6E95" w:rsidRDefault="00CF6E95" w:rsidP="00CF6E95">
      <w:pPr>
        <w:ind w:left="1440" w:hanging="1440"/>
        <w:rPr>
          <w:sz w:val="24"/>
          <w:lang w:val="fr-CA"/>
        </w:rPr>
      </w:pPr>
      <w:r>
        <w:rPr>
          <w:sz w:val="24"/>
          <w:lang w:val="fr-CA"/>
        </w:rPr>
        <w:t>Figure 6.</w:t>
      </w:r>
      <w:r>
        <w:rPr>
          <w:sz w:val="24"/>
          <w:lang w:val="fr-CA"/>
        </w:rPr>
        <w:tab/>
        <w:t xml:space="preserve">Les resultats de la </w:t>
      </w:r>
      <w:r w:rsidR="00E20ECF">
        <w:rPr>
          <w:sz w:val="24"/>
          <w:lang w:val="fr-CA"/>
        </w:rPr>
        <w:t>sixième</w:t>
      </w:r>
      <w:r>
        <w:rPr>
          <w:sz w:val="24"/>
          <w:lang w:val="fr-CA"/>
        </w:rPr>
        <w:t xml:space="preserve"> figure nous </w:t>
      </w:r>
      <w:r w:rsidR="00E20ECF">
        <w:rPr>
          <w:sz w:val="24"/>
          <w:lang w:val="fr-CA"/>
        </w:rPr>
        <w:t>démontrent</w:t>
      </w:r>
      <w:r>
        <w:rPr>
          <w:sz w:val="24"/>
          <w:lang w:val="fr-CA"/>
        </w:rPr>
        <w:t xml:space="preserve"> que la relation entre le nombre total d’organisme et le seston est non significative puisque le r </w:t>
      </w:r>
      <w:r w:rsidR="00E20ECF">
        <w:rPr>
          <w:sz w:val="24"/>
          <w:lang w:val="fr-CA"/>
        </w:rPr>
        <w:t>calculée</w:t>
      </w:r>
      <w:r>
        <w:rPr>
          <w:sz w:val="24"/>
          <w:lang w:val="fr-CA"/>
        </w:rPr>
        <w:t xml:space="preserve"> est </w:t>
      </w:r>
      <w:r w:rsidR="00E20ECF">
        <w:rPr>
          <w:sz w:val="24"/>
          <w:lang w:val="fr-CA"/>
        </w:rPr>
        <w:t>supérieur</w:t>
      </w:r>
      <w:r>
        <w:rPr>
          <w:sz w:val="24"/>
          <w:lang w:val="fr-CA"/>
        </w:rPr>
        <w:t xml:space="preserve"> a 0.44.</w:t>
      </w:r>
    </w:p>
    <w:p w:rsidR="00CF6E95" w:rsidRDefault="00CF6E95" w:rsidP="00CF6E95">
      <w:pPr>
        <w:ind w:left="1440" w:hanging="1440"/>
        <w:rPr>
          <w:sz w:val="24"/>
          <w:lang w:val="fr-CA"/>
        </w:rPr>
      </w:pPr>
      <w:r>
        <w:rPr>
          <w:sz w:val="24"/>
          <w:lang w:val="fr-CA"/>
        </w:rPr>
        <w:t>Figure 7.</w:t>
      </w:r>
      <w:r>
        <w:rPr>
          <w:sz w:val="24"/>
          <w:lang w:val="fr-CA"/>
        </w:rPr>
        <w:tab/>
        <w:t xml:space="preserve">Les </w:t>
      </w:r>
      <w:r w:rsidR="00E20ECF">
        <w:rPr>
          <w:sz w:val="24"/>
          <w:lang w:val="fr-CA"/>
        </w:rPr>
        <w:t>résulta</w:t>
      </w:r>
      <w:r>
        <w:rPr>
          <w:sz w:val="24"/>
          <w:lang w:val="fr-CA"/>
        </w:rPr>
        <w:t xml:space="preserve"> de la </w:t>
      </w:r>
      <w:r w:rsidR="00E20ECF">
        <w:rPr>
          <w:sz w:val="24"/>
          <w:lang w:val="fr-CA"/>
        </w:rPr>
        <w:t>septième</w:t>
      </w:r>
      <w:r>
        <w:rPr>
          <w:sz w:val="24"/>
          <w:lang w:val="fr-CA"/>
        </w:rPr>
        <w:t xml:space="preserve"> figure nous </w:t>
      </w:r>
      <w:r w:rsidR="00E20ECF">
        <w:rPr>
          <w:sz w:val="24"/>
          <w:lang w:val="fr-CA"/>
        </w:rPr>
        <w:t>démontre</w:t>
      </w:r>
      <w:r>
        <w:rPr>
          <w:sz w:val="24"/>
          <w:lang w:val="fr-CA"/>
        </w:rPr>
        <w:t xml:space="preserve"> que le groupe taxonomique le plus abondant était le </w:t>
      </w:r>
      <w:r w:rsidR="00E20ECF">
        <w:rPr>
          <w:sz w:val="24"/>
          <w:lang w:val="fr-CA"/>
        </w:rPr>
        <w:t>diptère</w:t>
      </w:r>
      <w:r>
        <w:rPr>
          <w:sz w:val="24"/>
          <w:lang w:val="fr-CA"/>
        </w:rPr>
        <w:t xml:space="preserve"> au site 1 et le </w:t>
      </w:r>
      <w:r w:rsidR="00E20ECF">
        <w:rPr>
          <w:sz w:val="24"/>
          <w:lang w:val="fr-CA"/>
        </w:rPr>
        <w:t>mégaloptère</w:t>
      </w:r>
      <w:r>
        <w:rPr>
          <w:sz w:val="24"/>
          <w:lang w:val="fr-CA"/>
        </w:rPr>
        <w:t xml:space="preserve"> au site 2.</w:t>
      </w:r>
    </w:p>
    <w:p w:rsidR="00CF6E95" w:rsidRDefault="00CF6E95" w:rsidP="00CF6E95">
      <w:pPr>
        <w:ind w:left="1440" w:hanging="1440"/>
        <w:rPr>
          <w:sz w:val="24"/>
          <w:lang w:val="fr-CA"/>
        </w:rPr>
      </w:pPr>
      <w:r>
        <w:rPr>
          <w:sz w:val="24"/>
          <w:lang w:val="fr-CA"/>
        </w:rPr>
        <w:t>Question 1.</w:t>
      </w:r>
      <w:r>
        <w:rPr>
          <w:sz w:val="24"/>
          <w:lang w:val="fr-CA"/>
        </w:rPr>
        <w:tab/>
        <w:t xml:space="preserve">Les conclusions de l’analyse du tableau 1 </w:t>
      </w:r>
      <w:r w:rsidR="00E20ECF">
        <w:rPr>
          <w:sz w:val="24"/>
          <w:lang w:val="fr-CA"/>
        </w:rPr>
        <w:t>déterminent</w:t>
      </w:r>
      <w:r>
        <w:rPr>
          <w:sz w:val="24"/>
          <w:lang w:val="fr-CA"/>
        </w:rPr>
        <w:t xml:space="preserve"> que l’</w:t>
      </w:r>
      <w:r w:rsidR="00E20ECF">
        <w:rPr>
          <w:sz w:val="24"/>
          <w:lang w:val="fr-CA"/>
        </w:rPr>
        <w:t>hypothèse</w:t>
      </w:r>
      <w:r>
        <w:rPr>
          <w:sz w:val="24"/>
          <w:lang w:val="fr-CA"/>
        </w:rPr>
        <w:t xml:space="preserve"> nulle est </w:t>
      </w:r>
      <w:r w:rsidR="00E20ECF">
        <w:rPr>
          <w:sz w:val="24"/>
          <w:lang w:val="fr-CA"/>
        </w:rPr>
        <w:t>acceptée</w:t>
      </w:r>
      <w:r w:rsidR="009978A7">
        <w:rPr>
          <w:sz w:val="24"/>
          <w:lang w:val="fr-CA"/>
        </w:rPr>
        <w:t xml:space="preserve"> et que l’</w:t>
      </w:r>
      <w:r w:rsidR="00E20ECF">
        <w:rPr>
          <w:sz w:val="24"/>
          <w:lang w:val="fr-CA"/>
        </w:rPr>
        <w:t>écart</w:t>
      </w:r>
      <w:r w:rsidR="009978A7">
        <w:rPr>
          <w:sz w:val="24"/>
          <w:lang w:val="fr-CA"/>
        </w:rPr>
        <w:t xml:space="preserve"> type est surtout </w:t>
      </w:r>
      <w:r w:rsidR="00E20ECF">
        <w:rPr>
          <w:sz w:val="24"/>
          <w:lang w:val="fr-CA"/>
        </w:rPr>
        <w:t>élève</w:t>
      </w:r>
      <w:r w:rsidR="009978A7">
        <w:rPr>
          <w:sz w:val="24"/>
          <w:lang w:val="fr-CA"/>
        </w:rPr>
        <w:t xml:space="preserve"> pour la </w:t>
      </w:r>
      <w:r w:rsidR="00E20ECF">
        <w:rPr>
          <w:sz w:val="24"/>
          <w:lang w:val="fr-CA"/>
        </w:rPr>
        <w:t>conductivité</w:t>
      </w:r>
      <w:r w:rsidR="009978A7">
        <w:rPr>
          <w:sz w:val="24"/>
          <w:lang w:val="fr-CA"/>
        </w:rPr>
        <w:t>.</w:t>
      </w:r>
    </w:p>
    <w:p w:rsidR="009978A7" w:rsidRDefault="009978A7" w:rsidP="00CF6E95">
      <w:pPr>
        <w:ind w:left="1440" w:hanging="1440"/>
        <w:rPr>
          <w:sz w:val="24"/>
          <w:lang w:val="fr-CA"/>
        </w:rPr>
      </w:pPr>
      <w:r>
        <w:rPr>
          <w:sz w:val="24"/>
          <w:lang w:val="fr-CA"/>
        </w:rPr>
        <w:t xml:space="preserve">Question 2. </w:t>
      </w:r>
      <w:r>
        <w:rPr>
          <w:sz w:val="24"/>
          <w:lang w:val="fr-CA"/>
        </w:rPr>
        <w:tab/>
        <w:t xml:space="preserve">Les conclusions de l’analyse du tableau 2 nous </w:t>
      </w:r>
      <w:r w:rsidR="00E20ECF">
        <w:rPr>
          <w:sz w:val="24"/>
          <w:lang w:val="fr-CA"/>
        </w:rPr>
        <w:t>démontrent</w:t>
      </w:r>
      <w:r>
        <w:rPr>
          <w:sz w:val="24"/>
          <w:lang w:val="fr-CA"/>
        </w:rPr>
        <w:t xml:space="preserve"> que la </w:t>
      </w:r>
      <w:r w:rsidR="00E20ECF">
        <w:rPr>
          <w:sz w:val="24"/>
          <w:lang w:val="fr-CA"/>
        </w:rPr>
        <w:t>corrélation</w:t>
      </w:r>
      <w:r>
        <w:rPr>
          <w:sz w:val="24"/>
          <w:lang w:val="fr-CA"/>
        </w:rPr>
        <w:t xml:space="preserve"> est souvent significative ce qui est rare. </w:t>
      </w:r>
    </w:p>
    <w:p w:rsidR="009978A7" w:rsidRDefault="009978A7" w:rsidP="00CF6E95">
      <w:pPr>
        <w:ind w:left="1440" w:hanging="1440"/>
        <w:rPr>
          <w:sz w:val="24"/>
          <w:lang w:val="fr-CA"/>
        </w:rPr>
      </w:pPr>
      <w:r>
        <w:rPr>
          <w:sz w:val="24"/>
          <w:lang w:val="fr-CA"/>
        </w:rPr>
        <w:t xml:space="preserve">Question 3. </w:t>
      </w:r>
      <w:r>
        <w:rPr>
          <w:sz w:val="24"/>
          <w:lang w:val="fr-CA"/>
        </w:rPr>
        <w:tab/>
        <w:t xml:space="preserve">Sans faire d’autre analyse statistique, les abondances relatives des sites peuvent </w:t>
      </w:r>
      <w:r w:rsidR="00E20ECF">
        <w:rPr>
          <w:sz w:val="24"/>
          <w:lang w:val="fr-CA"/>
        </w:rPr>
        <w:t>être</w:t>
      </w:r>
      <w:r>
        <w:rPr>
          <w:sz w:val="24"/>
          <w:lang w:val="fr-CA"/>
        </w:rPr>
        <w:t xml:space="preserve"> </w:t>
      </w:r>
      <w:r w:rsidR="00E20ECF">
        <w:rPr>
          <w:sz w:val="24"/>
          <w:lang w:val="fr-CA"/>
        </w:rPr>
        <w:t>comparées</w:t>
      </w:r>
      <w:r>
        <w:rPr>
          <w:sz w:val="24"/>
          <w:lang w:val="fr-CA"/>
        </w:rPr>
        <w:t xml:space="preserve"> par l’observation des </w:t>
      </w:r>
      <w:r w:rsidR="00E20ECF">
        <w:rPr>
          <w:sz w:val="24"/>
          <w:lang w:val="fr-CA"/>
        </w:rPr>
        <w:t>différents</w:t>
      </w:r>
      <w:r>
        <w:rPr>
          <w:sz w:val="24"/>
          <w:lang w:val="fr-CA"/>
        </w:rPr>
        <w:t xml:space="preserve"> groupe de taxonomies </w:t>
      </w:r>
      <w:r w:rsidR="00E20ECF">
        <w:rPr>
          <w:sz w:val="24"/>
          <w:lang w:val="fr-CA"/>
        </w:rPr>
        <w:t>retrouvé</w:t>
      </w:r>
      <w:r>
        <w:rPr>
          <w:sz w:val="24"/>
          <w:lang w:val="fr-CA"/>
        </w:rPr>
        <w:t xml:space="preserve"> dans les deux sites. Le seul groupe </w:t>
      </w:r>
      <w:r w:rsidR="00E20ECF">
        <w:rPr>
          <w:sz w:val="24"/>
          <w:lang w:val="fr-CA"/>
        </w:rPr>
        <w:t>retrouvé</w:t>
      </w:r>
      <w:r>
        <w:rPr>
          <w:sz w:val="24"/>
          <w:lang w:val="fr-CA"/>
        </w:rPr>
        <w:t xml:space="preserve"> dans les deux sites </w:t>
      </w:r>
      <w:r w:rsidR="00E20ECF">
        <w:rPr>
          <w:sz w:val="24"/>
          <w:lang w:val="fr-CA"/>
        </w:rPr>
        <w:t>est</w:t>
      </w:r>
      <w:r>
        <w:rPr>
          <w:sz w:val="24"/>
          <w:lang w:val="fr-CA"/>
        </w:rPr>
        <w:t xml:space="preserve"> les </w:t>
      </w:r>
      <w:r w:rsidR="00E20ECF">
        <w:rPr>
          <w:sz w:val="24"/>
          <w:lang w:val="fr-CA"/>
        </w:rPr>
        <w:t>éphéméroptères</w:t>
      </w:r>
      <w:r>
        <w:rPr>
          <w:sz w:val="24"/>
          <w:lang w:val="fr-CA"/>
        </w:rPr>
        <w:t>.</w:t>
      </w:r>
    </w:p>
    <w:p w:rsidR="009978A7" w:rsidRDefault="009978A7" w:rsidP="00CF6E95">
      <w:pPr>
        <w:ind w:left="1440" w:hanging="1440"/>
        <w:rPr>
          <w:sz w:val="24"/>
          <w:lang w:val="fr-CA"/>
        </w:rPr>
      </w:pPr>
      <w:r>
        <w:rPr>
          <w:sz w:val="24"/>
          <w:lang w:val="fr-CA"/>
        </w:rPr>
        <w:t xml:space="preserve">Question 4. </w:t>
      </w:r>
      <w:r>
        <w:rPr>
          <w:sz w:val="24"/>
          <w:lang w:val="fr-CA"/>
        </w:rPr>
        <w:tab/>
        <w:t xml:space="preserve">Le test statistique que nous pouvons utiliser afin de </w:t>
      </w:r>
      <w:r w:rsidR="00E20ECF">
        <w:rPr>
          <w:sz w:val="24"/>
          <w:lang w:val="fr-CA"/>
        </w:rPr>
        <w:t>déterminer</w:t>
      </w:r>
      <w:r>
        <w:rPr>
          <w:sz w:val="24"/>
          <w:lang w:val="fr-CA"/>
        </w:rPr>
        <w:t xml:space="preserve"> si la distrubituon des organismes </w:t>
      </w:r>
      <w:r w:rsidR="00E20ECF">
        <w:rPr>
          <w:sz w:val="24"/>
          <w:lang w:val="fr-CA"/>
        </w:rPr>
        <w:t>diffère</w:t>
      </w:r>
      <w:r>
        <w:rPr>
          <w:sz w:val="24"/>
          <w:lang w:val="fr-CA"/>
        </w:rPr>
        <w:t xml:space="preserve"> significativement d’un site a l’autre est le test </w:t>
      </w:r>
      <w:r>
        <w:rPr>
          <w:sz w:val="24"/>
          <w:lang w:val="fr-CA"/>
        </w:rPr>
        <w:lastRenderedPageBreak/>
        <w:t xml:space="preserve">d’association qui nous </w:t>
      </w:r>
      <w:r w:rsidR="00E20ECF">
        <w:rPr>
          <w:sz w:val="24"/>
          <w:lang w:val="fr-CA"/>
        </w:rPr>
        <w:t>permettra</w:t>
      </w:r>
      <w:r w:rsidR="00BE7633">
        <w:rPr>
          <w:sz w:val="24"/>
          <w:lang w:val="fr-CA"/>
        </w:rPr>
        <w:t xml:space="preserve"> de prouver une liaison entre deux variables, donc dans ce cas, les deux sites.</w:t>
      </w:r>
    </w:p>
    <w:p w:rsidR="00BE7633" w:rsidRDefault="00BE7633" w:rsidP="00CF6E95">
      <w:pPr>
        <w:ind w:left="1440" w:hanging="1440"/>
        <w:rPr>
          <w:sz w:val="24"/>
          <w:lang w:val="fr-CA"/>
        </w:rPr>
      </w:pPr>
      <w:r>
        <w:rPr>
          <w:sz w:val="24"/>
          <w:lang w:val="fr-CA"/>
        </w:rPr>
        <w:t>Question 5.</w:t>
      </w:r>
      <w:r>
        <w:rPr>
          <w:sz w:val="24"/>
          <w:lang w:val="fr-CA"/>
        </w:rPr>
        <w:tab/>
      </w:r>
      <w:r w:rsidR="00E20ECF">
        <w:rPr>
          <w:sz w:val="24"/>
          <w:lang w:val="fr-CA"/>
        </w:rPr>
        <w:t>Deux autres facteurs abiotiques qui pourront avoir une contribution aux différence des facteurs biotiques entre les sites sont les compositions chimiques du ruisseau et la densité. Ces facteurs auront un impact sur les facteur biotiques puisqu’elles vont déterminer quel sorte d’espèce qui pourra et ne pourra pas survivre dans certaine condition.</w:t>
      </w:r>
    </w:p>
    <w:p w:rsidR="00E20ECF" w:rsidRDefault="00E20ECF" w:rsidP="00CF6E95">
      <w:pPr>
        <w:ind w:left="1440" w:hanging="1440"/>
        <w:rPr>
          <w:sz w:val="24"/>
          <w:lang w:val="fr-CA"/>
        </w:rPr>
      </w:pPr>
      <w:r>
        <w:rPr>
          <w:sz w:val="24"/>
          <w:lang w:val="fr-CA"/>
        </w:rPr>
        <w:t>Question 6.</w:t>
      </w:r>
      <w:r>
        <w:rPr>
          <w:sz w:val="24"/>
          <w:lang w:val="fr-CA"/>
        </w:rPr>
        <w:tab/>
        <w:t>Augmenter le nombre d’échantillon mesure, agrandirai le zone d’échantillonnage ou diminue le nombre de personnes impliques dans l’échantillonnage et l’identification, ceci ne changera pas notre habilité de détecter les corrélations significatives.</w:t>
      </w:r>
    </w:p>
    <w:p w:rsidR="00E20ECF" w:rsidRPr="003E75AA" w:rsidRDefault="00E20ECF" w:rsidP="00CF6E95">
      <w:pPr>
        <w:ind w:left="1440" w:hanging="1440"/>
        <w:rPr>
          <w:sz w:val="24"/>
          <w:lang w:val="fr-CA"/>
        </w:rPr>
      </w:pPr>
    </w:p>
    <w:sectPr w:rsidR="00E20ECF" w:rsidRPr="003E75AA" w:rsidSect="0049503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AZCQyMLMxNDExNDA1MLIyUdpeDU4uLM/DyQAsNaAD/ufPQsAAAA"/>
  </w:docVars>
  <w:rsids>
    <w:rsidRoot w:val="00020A02"/>
    <w:rsid w:val="00001E63"/>
    <w:rsid w:val="0000786E"/>
    <w:rsid w:val="000119F2"/>
    <w:rsid w:val="00015A6A"/>
    <w:rsid w:val="00016302"/>
    <w:rsid w:val="00016751"/>
    <w:rsid w:val="000202A2"/>
    <w:rsid w:val="00020A02"/>
    <w:rsid w:val="00030956"/>
    <w:rsid w:val="00033198"/>
    <w:rsid w:val="00033563"/>
    <w:rsid w:val="00035125"/>
    <w:rsid w:val="00035CD9"/>
    <w:rsid w:val="000403BD"/>
    <w:rsid w:val="00043D5B"/>
    <w:rsid w:val="0004740C"/>
    <w:rsid w:val="00047651"/>
    <w:rsid w:val="00050C32"/>
    <w:rsid w:val="00050E3C"/>
    <w:rsid w:val="00051650"/>
    <w:rsid w:val="0005375D"/>
    <w:rsid w:val="000569DB"/>
    <w:rsid w:val="00057420"/>
    <w:rsid w:val="00061C7A"/>
    <w:rsid w:val="00066EF2"/>
    <w:rsid w:val="0007215A"/>
    <w:rsid w:val="00074A48"/>
    <w:rsid w:val="000801CA"/>
    <w:rsid w:val="00080A2F"/>
    <w:rsid w:val="00080FF8"/>
    <w:rsid w:val="000930A3"/>
    <w:rsid w:val="00095A3B"/>
    <w:rsid w:val="000A0684"/>
    <w:rsid w:val="000A1E95"/>
    <w:rsid w:val="000A4775"/>
    <w:rsid w:val="000A5639"/>
    <w:rsid w:val="000A5C4F"/>
    <w:rsid w:val="000A7240"/>
    <w:rsid w:val="000A750E"/>
    <w:rsid w:val="000B6C06"/>
    <w:rsid w:val="000C399A"/>
    <w:rsid w:val="000C45DD"/>
    <w:rsid w:val="000D2F45"/>
    <w:rsid w:val="000E1FAF"/>
    <w:rsid w:val="000F01A1"/>
    <w:rsid w:val="00100656"/>
    <w:rsid w:val="001038B1"/>
    <w:rsid w:val="00107897"/>
    <w:rsid w:val="00107DC7"/>
    <w:rsid w:val="00112166"/>
    <w:rsid w:val="00114AA8"/>
    <w:rsid w:val="0011591C"/>
    <w:rsid w:val="001242A9"/>
    <w:rsid w:val="00127ED3"/>
    <w:rsid w:val="00130F9D"/>
    <w:rsid w:val="00143AF3"/>
    <w:rsid w:val="00146204"/>
    <w:rsid w:val="0014664C"/>
    <w:rsid w:val="00146BF0"/>
    <w:rsid w:val="0015222A"/>
    <w:rsid w:val="00157BB2"/>
    <w:rsid w:val="00161072"/>
    <w:rsid w:val="001651BC"/>
    <w:rsid w:val="00166C8A"/>
    <w:rsid w:val="00166E12"/>
    <w:rsid w:val="001700B3"/>
    <w:rsid w:val="00170D4B"/>
    <w:rsid w:val="0017136B"/>
    <w:rsid w:val="001822BD"/>
    <w:rsid w:val="001830AA"/>
    <w:rsid w:val="00185752"/>
    <w:rsid w:val="00186048"/>
    <w:rsid w:val="0018679D"/>
    <w:rsid w:val="00191143"/>
    <w:rsid w:val="00193D24"/>
    <w:rsid w:val="00196F72"/>
    <w:rsid w:val="001A1083"/>
    <w:rsid w:val="001A261F"/>
    <w:rsid w:val="001A6983"/>
    <w:rsid w:val="001A7235"/>
    <w:rsid w:val="001B0CBB"/>
    <w:rsid w:val="001B276C"/>
    <w:rsid w:val="001B30FB"/>
    <w:rsid w:val="001C00FE"/>
    <w:rsid w:val="001C26DB"/>
    <w:rsid w:val="001C394C"/>
    <w:rsid w:val="001C3BD1"/>
    <w:rsid w:val="001C54FF"/>
    <w:rsid w:val="001C5BCC"/>
    <w:rsid w:val="001D01A3"/>
    <w:rsid w:val="001D1384"/>
    <w:rsid w:val="001E2802"/>
    <w:rsid w:val="001E4C4C"/>
    <w:rsid w:val="001E5092"/>
    <w:rsid w:val="001E6FE0"/>
    <w:rsid w:val="0020367B"/>
    <w:rsid w:val="00203C57"/>
    <w:rsid w:val="002069F9"/>
    <w:rsid w:val="002073A1"/>
    <w:rsid w:val="00207ACA"/>
    <w:rsid w:val="00207EDD"/>
    <w:rsid w:val="00213482"/>
    <w:rsid w:val="00214DC2"/>
    <w:rsid w:val="0021797C"/>
    <w:rsid w:val="002200A3"/>
    <w:rsid w:val="00220F4B"/>
    <w:rsid w:val="00221B3A"/>
    <w:rsid w:val="00223C4D"/>
    <w:rsid w:val="002253BC"/>
    <w:rsid w:val="0023104A"/>
    <w:rsid w:val="00231163"/>
    <w:rsid w:val="002319B9"/>
    <w:rsid w:val="00234D23"/>
    <w:rsid w:val="002363D8"/>
    <w:rsid w:val="002375B7"/>
    <w:rsid w:val="0023780A"/>
    <w:rsid w:val="0024407A"/>
    <w:rsid w:val="00256B5D"/>
    <w:rsid w:val="00260186"/>
    <w:rsid w:val="00263DA3"/>
    <w:rsid w:val="00267F9D"/>
    <w:rsid w:val="00270728"/>
    <w:rsid w:val="00271285"/>
    <w:rsid w:val="00271A56"/>
    <w:rsid w:val="00275648"/>
    <w:rsid w:val="00285CFE"/>
    <w:rsid w:val="00285EBB"/>
    <w:rsid w:val="002868B5"/>
    <w:rsid w:val="0029379C"/>
    <w:rsid w:val="0029604A"/>
    <w:rsid w:val="00296C2E"/>
    <w:rsid w:val="00297747"/>
    <w:rsid w:val="002B23F8"/>
    <w:rsid w:val="002C29C8"/>
    <w:rsid w:val="002C3FC2"/>
    <w:rsid w:val="002C720F"/>
    <w:rsid w:val="002D15C9"/>
    <w:rsid w:val="002D2C91"/>
    <w:rsid w:val="002D41B6"/>
    <w:rsid w:val="002D645E"/>
    <w:rsid w:val="002E22C1"/>
    <w:rsid w:val="002E6315"/>
    <w:rsid w:val="002F10B5"/>
    <w:rsid w:val="002F6168"/>
    <w:rsid w:val="002F6B73"/>
    <w:rsid w:val="0030748E"/>
    <w:rsid w:val="003129B6"/>
    <w:rsid w:val="00313495"/>
    <w:rsid w:val="003213A8"/>
    <w:rsid w:val="00325CE0"/>
    <w:rsid w:val="00334780"/>
    <w:rsid w:val="00335A08"/>
    <w:rsid w:val="00343614"/>
    <w:rsid w:val="00343D3B"/>
    <w:rsid w:val="003502F1"/>
    <w:rsid w:val="00351ACE"/>
    <w:rsid w:val="0035279C"/>
    <w:rsid w:val="00355CEA"/>
    <w:rsid w:val="0035689F"/>
    <w:rsid w:val="00361505"/>
    <w:rsid w:val="00364772"/>
    <w:rsid w:val="003722D9"/>
    <w:rsid w:val="00374880"/>
    <w:rsid w:val="00382612"/>
    <w:rsid w:val="0039092C"/>
    <w:rsid w:val="0039229B"/>
    <w:rsid w:val="00392F13"/>
    <w:rsid w:val="00392FDC"/>
    <w:rsid w:val="00394D2E"/>
    <w:rsid w:val="0039696A"/>
    <w:rsid w:val="0039781B"/>
    <w:rsid w:val="003A4716"/>
    <w:rsid w:val="003A63DF"/>
    <w:rsid w:val="003B616D"/>
    <w:rsid w:val="003C5391"/>
    <w:rsid w:val="003C5980"/>
    <w:rsid w:val="003C6DC9"/>
    <w:rsid w:val="003D1382"/>
    <w:rsid w:val="003D4018"/>
    <w:rsid w:val="003D41BD"/>
    <w:rsid w:val="003D5F66"/>
    <w:rsid w:val="003D6834"/>
    <w:rsid w:val="003D6B84"/>
    <w:rsid w:val="003D72EF"/>
    <w:rsid w:val="003E5AC6"/>
    <w:rsid w:val="003E75AA"/>
    <w:rsid w:val="003F1C27"/>
    <w:rsid w:val="00400522"/>
    <w:rsid w:val="00401DC4"/>
    <w:rsid w:val="00406481"/>
    <w:rsid w:val="00406639"/>
    <w:rsid w:val="00416D4A"/>
    <w:rsid w:val="00420DC8"/>
    <w:rsid w:val="004226D9"/>
    <w:rsid w:val="004277A2"/>
    <w:rsid w:val="0043095F"/>
    <w:rsid w:val="00433892"/>
    <w:rsid w:val="004442CD"/>
    <w:rsid w:val="004447DC"/>
    <w:rsid w:val="004520EC"/>
    <w:rsid w:val="004523E0"/>
    <w:rsid w:val="00456C38"/>
    <w:rsid w:val="004610F7"/>
    <w:rsid w:val="00472C93"/>
    <w:rsid w:val="00474FAD"/>
    <w:rsid w:val="00475E8A"/>
    <w:rsid w:val="00476A7E"/>
    <w:rsid w:val="004833A2"/>
    <w:rsid w:val="00483D3F"/>
    <w:rsid w:val="004849F7"/>
    <w:rsid w:val="00485B43"/>
    <w:rsid w:val="00486205"/>
    <w:rsid w:val="004879B3"/>
    <w:rsid w:val="004945D3"/>
    <w:rsid w:val="00495033"/>
    <w:rsid w:val="004968D6"/>
    <w:rsid w:val="00497433"/>
    <w:rsid w:val="004A1D52"/>
    <w:rsid w:val="004B46C4"/>
    <w:rsid w:val="004B4F98"/>
    <w:rsid w:val="004B5139"/>
    <w:rsid w:val="004E2113"/>
    <w:rsid w:val="004E2417"/>
    <w:rsid w:val="004E4878"/>
    <w:rsid w:val="004F26E1"/>
    <w:rsid w:val="004F3423"/>
    <w:rsid w:val="00500C09"/>
    <w:rsid w:val="00500EFE"/>
    <w:rsid w:val="00503613"/>
    <w:rsid w:val="00503D88"/>
    <w:rsid w:val="00505A6C"/>
    <w:rsid w:val="00506BC5"/>
    <w:rsid w:val="00514561"/>
    <w:rsid w:val="0051568F"/>
    <w:rsid w:val="00521264"/>
    <w:rsid w:val="00521AA1"/>
    <w:rsid w:val="005220FE"/>
    <w:rsid w:val="00523516"/>
    <w:rsid w:val="00525C26"/>
    <w:rsid w:val="00527612"/>
    <w:rsid w:val="0053087E"/>
    <w:rsid w:val="00531BEB"/>
    <w:rsid w:val="00532A0D"/>
    <w:rsid w:val="00541ED5"/>
    <w:rsid w:val="00542246"/>
    <w:rsid w:val="0054286E"/>
    <w:rsid w:val="0054411B"/>
    <w:rsid w:val="00551359"/>
    <w:rsid w:val="00551807"/>
    <w:rsid w:val="0055349C"/>
    <w:rsid w:val="00553887"/>
    <w:rsid w:val="00554BA6"/>
    <w:rsid w:val="0055609A"/>
    <w:rsid w:val="00556B3F"/>
    <w:rsid w:val="00563D4D"/>
    <w:rsid w:val="005702C1"/>
    <w:rsid w:val="0057042B"/>
    <w:rsid w:val="00573AB4"/>
    <w:rsid w:val="00582E53"/>
    <w:rsid w:val="00583DC7"/>
    <w:rsid w:val="00584437"/>
    <w:rsid w:val="00585BA4"/>
    <w:rsid w:val="005878C7"/>
    <w:rsid w:val="00593DC3"/>
    <w:rsid w:val="005948BC"/>
    <w:rsid w:val="005A0353"/>
    <w:rsid w:val="005A0411"/>
    <w:rsid w:val="005A0A1A"/>
    <w:rsid w:val="005A1681"/>
    <w:rsid w:val="005A2AD7"/>
    <w:rsid w:val="005B5B89"/>
    <w:rsid w:val="005B6903"/>
    <w:rsid w:val="005C2908"/>
    <w:rsid w:val="005C52DF"/>
    <w:rsid w:val="005C617F"/>
    <w:rsid w:val="005D2547"/>
    <w:rsid w:val="005D40E6"/>
    <w:rsid w:val="005D5648"/>
    <w:rsid w:val="005D5735"/>
    <w:rsid w:val="005D5F3E"/>
    <w:rsid w:val="005E13AD"/>
    <w:rsid w:val="005E14B3"/>
    <w:rsid w:val="005E2E5D"/>
    <w:rsid w:val="005E6765"/>
    <w:rsid w:val="005E6CCD"/>
    <w:rsid w:val="005E6DF4"/>
    <w:rsid w:val="005F2C12"/>
    <w:rsid w:val="006005F0"/>
    <w:rsid w:val="00603DDA"/>
    <w:rsid w:val="00604D4F"/>
    <w:rsid w:val="00607936"/>
    <w:rsid w:val="006123A3"/>
    <w:rsid w:val="00612E2D"/>
    <w:rsid w:val="006150B0"/>
    <w:rsid w:val="006171DF"/>
    <w:rsid w:val="00622103"/>
    <w:rsid w:val="0062257C"/>
    <w:rsid w:val="006240BD"/>
    <w:rsid w:val="0062486A"/>
    <w:rsid w:val="006311A0"/>
    <w:rsid w:val="00635B0A"/>
    <w:rsid w:val="0064226D"/>
    <w:rsid w:val="0065358C"/>
    <w:rsid w:val="00661AB2"/>
    <w:rsid w:val="00661F33"/>
    <w:rsid w:val="00673083"/>
    <w:rsid w:val="006742AB"/>
    <w:rsid w:val="00676F76"/>
    <w:rsid w:val="006775CF"/>
    <w:rsid w:val="00682718"/>
    <w:rsid w:val="0068527C"/>
    <w:rsid w:val="006904A3"/>
    <w:rsid w:val="006913B3"/>
    <w:rsid w:val="0069707E"/>
    <w:rsid w:val="0069731F"/>
    <w:rsid w:val="006A06E7"/>
    <w:rsid w:val="006A44FA"/>
    <w:rsid w:val="006A7ACC"/>
    <w:rsid w:val="006B15FF"/>
    <w:rsid w:val="006B29B4"/>
    <w:rsid w:val="006B44C2"/>
    <w:rsid w:val="006C00C9"/>
    <w:rsid w:val="006C449D"/>
    <w:rsid w:val="006C4CBB"/>
    <w:rsid w:val="006C56CC"/>
    <w:rsid w:val="006C7D80"/>
    <w:rsid w:val="006D2E9E"/>
    <w:rsid w:val="006E2520"/>
    <w:rsid w:val="006E37BD"/>
    <w:rsid w:val="006E4367"/>
    <w:rsid w:val="006E438B"/>
    <w:rsid w:val="006E7F75"/>
    <w:rsid w:val="006F388A"/>
    <w:rsid w:val="006F46BD"/>
    <w:rsid w:val="006F696D"/>
    <w:rsid w:val="006F6972"/>
    <w:rsid w:val="0070538F"/>
    <w:rsid w:val="007067B0"/>
    <w:rsid w:val="0071296E"/>
    <w:rsid w:val="007266AF"/>
    <w:rsid w:val="00726A62"/>
    <w:rsid w:val="007325A0"/>
    <w:rsid w:val="007374B2"/>
    <w:rsid w:val="00741DCB"/>
    <w:rsid w:val="00746B8B"/>
    <w:rsid w:val="00752499"/>
    <w:rsid w:val="00752EFA"/>
    <w:rsid w:val="007547AD"/>
    <w:rsid w:val="007559CF"/>
    <w:rsid w:val="00756741"/>
    <w:rsid w:val="00761A40"/>
    <w:rsid w:val="00767222"/>
    <w:rsid w:val="00771A72"/>
    <w:rsid w:val="0077707A"/>
    <w:rsid w:val="00780B91"/>
    <w:rsid w:val="0078171F"/>
    <w:rsid w:val="00784A27"/>
    <w:rsid w:val="00785F5F"/>
    <w:rsid w:val="00786B9B"/>
    <w:rsid w:val="00786D11"/>
    <w:rsid w:val="00791C7D"/>
    <w:rsid w:val="0079601A"/>
    <w:rsid w:val="0079716D"/>
    <w:rsid w:val="0079789D"/>
    <w:rsid w:val="007A2E4B"/>
    <w:rsid w:val="007A5C84"/>
    <w:rsid w:val="007A7EA9"/>
    <w:rsid w:val="007B2993"/>
    <w:rsid w:val="007B3FDE"/>
    <w:rsid w:val="007B6AAE"/>
    <w:rsid w:val="007C3DBC"/>
    <w:rsid w:val="007C409B"/>
    <w:rsid w:val="007D0CE5"/>
    <w:rsid w:val="007D17D0"/>
    <w:rsid w:val="007D25D3"/>
    <w:rsid w:val="007D63B4"/>
    <w:rsid w:val="007D6CB8"/>
    <w:rsid w:val="007E006D"/>
    <w:rsid w:val="007E0B79"/>
    <w:rsid w:val="007E4BC3"/>
    <w:rsid w:val="007F23C0"/>
    <w:rsid w:val="007F38EF"/>
    <w:rsid w:val="007F4D00"/>
    <w:rsid w:val="007F5392"/>
    <w:rsid w:val="00800B97"/>
    <w:rsid w:val="00802ABE"/>
    <w:rsid w:val="00803961"/>
    <w:rsid w:val="00805294"/>
    <w:rsid w:val="00810965"/>
    <w:rsid w:val="00815AAC"/>
    <w:rsid w:val="008173B1"/>
    <w:rsid w:val="008222DF"/>
    <w:rsid w:val="0082256C"/>
    <w:rsid w:val="008426BD"/>
    <w:rsid w:val="008473A0"/>
    <w:rsid w:val="00851A99"/>
    <w:rsid w:val="008529BB"/>
    <w:rsid w:val="00853775"/>
    <w:rsid w:val="00854345"/>
    <w:rsid w:val="00860493"/>
    <w:rsid w:val="00865644"/>
    <w:rsid w:val="0087080C"/>
    <w:rsid w:val="00870F8C"/>
    <w:rsid w:val="00873C29"/>
    <w:rsid w:val="0087448D"/>
    <w:rsid w:val="008764D6"/>
    <w:rsid w:val="00877B73"/>
    <w:rsid w:val="008841D8"/>
    <w:rsid w:val="0088586F"/>
    <w:rsid w:val="0088687A"/>
    <w:rsid w:val="00895EDF"/>
    <w:rsid w:val="008A217B"/>
    <w:rsid w:val="008A3239"/>
    <w:rsid w:val="008A3A21"/>
    <w:rsid w:val="008A5A23"/>
    <w:rsid w:val="008A639F"/>
    <w:rsid w:val="008B28C3"/>
    <w:rsid w:val="008B3F17"/>
    <w:rsid w:val="008B50AD"/>
    <w:rsid w:val="008B61B8"/>
    <w:rsid w:val="008B621A"/>
    <w:rsid w:val="008C2305"/>
    <w:rsid w:val="008C3B9B"/>
    <w:rsid w:val="008C71C9"/>
    <w:rsid w:val="008D1590"/>
    <w:rsid w:val="008D2BE5"/>
    <w:rsid w:val="008D7B0A"/>
    <w:rsid w:val="008E0BA3"/>
    <w:rsid w:val="008E2645"/>
    <w:rsid w:val="008E3283"/>
    <w:rsid w:val="008E5005"/>
    <w:rsid w:val="008F25A0"/>
    <w:rsid w:val="008F25D2"/>
    <w:rsid w:val="008F5710"/>
    <w:rsid w:val="009035BB"/>
    <w:rsid w:val="0090437E"/>
    <w:rsid w:val="009066EB"/>
    <w:rsid w:val="0091045D"/>
    <w:rsid w:val="009111AE"/>
    <w:rsid w:val="00913294"/>
    <w:rsid w:val="00925E82"/>
    <w:rsid w:val="00934CED"/>
    <w:rsid w:val="009363C8"/>
    <w:rsid w:val="00943BF7"/>
    <w:rsid w:val="00946A94"/>
    <w:rsid w:val="00951489"/>
    <w:rsid w:val="00951D2F"/>
    <w:rsid w:val="00954781"/>
    <w:rsid w:val="009547FF"/>
    <w:rsid w:val="00957093"/>
    <w:rsid w:val="00960932"/>
    <w:rsid w:val="0096144A"/>
    <w:rsid w:val="0096229F"/>
    <w:rsid w:val="00971F5B"/>
    <w:rsid w:val="00977D67"/>
    <w:rsid w:val="00981A14"/>
    <w:rsid w:val="00982F89"/>
    <w:rsid w:val="009838D6"/>
    <w:rsid w:val="0099514B"/>
    <w:rsid w:val="00997419"/>
    <w:rsid w:val="009978A7"/>
    <w:rsid w:val="009A230E"/>
    <w:rsid w:val="009A25F9"/>
    <w:rsid w:val="009A6961"/>
    <w:rsid w:val="009A7238"/>
    <w:rsid w:val="009B540C"/>
    <w:rsid w:val="009C28E2"/>
    <w:rsid w:val="009C6DF8"/>
    <w:rsid w:val="009C71DF"/>
    <w:rsid w:val="009D24C9"/>
    <w:rsid w:val="009D3883"/>
    <w:rsid w:val="009E132D"/>
    <w:rsid w:val="009E560C"/>
    <w:rsid w:val="009E6BC3"/>
    <w:rsid w:val="009E7A2F"/>
    <w:rsid w:val="009F22C6"/>
    <w:rsid w:val="009F55E2"/>
    <w:rsid w:val="009F7E97"/>
    <w:rsid w:val="00A01C7D"/>
    <w:rsid w:val="00A021D7"/>
    <w:rsid w:val="00A06C39"/>
    <w:rsid w:val="00A070FC"/>
    <w:rsid w:val="00A07C21"/>
    <w:rsid w:val="00A118F6"/>
    <w:rsid w:val="00A11A05"/>
    <w:rsid w:val="00A11E99"/>
    <w:rsid w:val="00A15A04"/>
    <w:rsid w:val="00A20A7E"/>
    <w:rsid w:val="00A210E8"/>
    <w:rsid w:val="00A36E61"/>
    <w:rsid w:val="00A4267C"/>
    <w:rsid w:val="00A42802"/>
    <w:rsid w:val="00A46EE3"/>
    <w:rsid w:val="00A52738"/>
    <w:rsid w:val="00A55B0C"/>
    <w:rsid w:val="00A66530"/>
    <w:rsid w:val="00A66F9D"/>
    <w:rsid w:val="00A67DF2"/>
    <w:rsid w:val="00A7175D"/>
    <w:rsid w:val="00A71D2C"/>
    <w:rsid w:val="00A727F4"/>
    <w:rsid w:val="00A77F0D"/>
    <w:rsid w:val="00A82F2F"/>
    <w:rsid w:val="00A838A8"/>
    <w:rsid w:val="00A85BA0"/>
    <w:rsid w:val="00A86DD6"/>
    <w:rsid w:val="00A91505"/>
    <w:rsid w:val="00A9221A"/>
    <w:rsid w:val="00A94157"/>
    <w:rsid w:val="00AA0135"/>
    <w:rsid w:val="00AA2E18"/>
    <w:rsid w:val="00AB0370"/>
    <w:rsid w:val="00AC1BCB"/>
    <w:rsid w:val="00AD31E6"/>
    <w:rsid w:val="00AE3488"/>
    <w:rsid w:val="00AE561B"/>
    <w:rsid w:val="00AE637B"/>
    <w:rsid w:val="00AF2139"/>
    <w:rsid w:val="00AF6BE9"/>
    <w:rsid w:val="00B02C41"/>
    <w:rsid w:val="00B04E82"/>
    <w:rsid w:val="00B0592B"/>
    <w:rsid w:val="00B05E91"/>
    <w:rsid w:val="00B1019D"/>
    <w:rsid w:val="00B13394"/>
    <w:rsid w:val="00B146D5"/>
    <w:rsid w:val="00B2124C"/>
    <w:rsid w:val="00B239A2"/>
    <w:rsid w:val="00B24997"/>
    <w:rsid w:val="00B3164E"/>
    <w:rsid w:val="00B33ADC"/>
    <w:rsid w:val="00B37CA1"/>
    <w:rsid w:val="00B40E8C"/>
    <w:rsid w:val="00B45B2B"/>
    <w:rsid w:val="00B5469A"/>
    <w:rsid w:val="00B54814"/>
    <w:rsid w:val="00B54B3A"/>
    <w:rsid w:val="00B61982"/>
    <w:rsid w:val="00B71FEF"/>
    <w:rsid w:val="00B762DD"/>
    <w:rsid w:val="00B8312D"/>
    <w:rsid w:val="00B87AA4"/>
    <w:rsid w:val="00B918AF"/>
    <w:rsid w:val="00B9574F"/>
    <w:rsid w:val="00BA36B5"/>
    <w:rsid w:val="00BA49D6"/>
    <w:rsid w:val="00BA7A96"/>
    <w:rsid w:val="00BB06DB"/>
    <w:rsid w:val="00BB1ACE"/>
    <w:rsid w:val="00BB1FED"/>
    <w:rsid w:val="00BC388A"/>
    <w:rsid w:val="00BC6D3E"/>
    <w:rsid w:val="00BD24C4"/>
    <w:rsid w:val="00BD6EF9"/>
    <w:rsid w:val="00BD6FC1"/>
    <w:rsid w:val="00BD778A"/>
    <w:rsid w:val="00BE2E6C"/>
    <w:rsid w:val="00BE31B8"/>
    <w:rsid w:val="00BE3A6A"/>
    <w:rsid w:val="00BE3BC7"/>
    <w:rsid w:val="00BE653D"/>
    <w:rsid w:val="00BE6A1E"/>
    <w:rsid w:val="00BE7633"/>
    <w:rsid w:val="00BF5421"/>
    <w:rsid w:val="00C05307"/>
    <w:rsid w:val="00C053DC"/>
    <w:rsid w:val="00C064EE"/>
    <w:rsid w:val="00C150B4"/>
    <w:rsid w:val="00C16B40"/>
    <w:rsid w:val="00C1718D"/>
    <w:rsid w:val="00C22594"/>
    <w:rsid w:val="00C247F8"/>
    <w:rsid w:val="00C27045"/>
    <w:rsid w:val="00C302C0"/>
    <w:rsid w:val="00C30421"/>
    <w:rsid w:val="00C3098D"/>
    <w:rsid w:val="00C32458"/>
    <w:rsid w:val="00C33B8A"/>
    <w:rsid w:val="00C34476"/>
    <w:rsid w:val="00C34EF7"/>
    <w:rsid w:val="00C35AB3"/>
    <w:rsid w:val="00C42922"/>
    <w:rsid w:val="00C43E53"/>
    <w:rsid w:val="00C507FA"/>
    <w:rsid w:val="00C60A57"/>
    <w:rsid w:val="00C6339B"/>
    <w:rsid w:val="00C66A38"/>
    <w:rsid w:val="00C73647"/>
    <w:rsid w:val="00C77289"/>
    <w:rsid w:val="00C8430E"/>
    <w:rsid w:val="00C84EBC"/>
    <w:rsid w:val="00C941DF"/>
    <w:rsid w:val="00CA0266"/>
    <w:rsid w:val="00CA5C3A"/>
    <w:rsid w:val="00CA7486"/>
    <w:rsid w:val="00CB69B3"/>
    <w:rsid w:val="00CB69B6"/>
    <w:rsid w:val="00CB736C"/>
    <w:rsid w:val="00CB7B71"/>
    <w:rsid w:val="00CD5658"/>
    <w:rsid w:val="00CE069C"/>
    <w:rsid w:val="00CE4EE7"/>
    <w:rsid w:val="00CF281A"/>
    <w:rsid w:val="00CF2AFD"/>
    <w:rsid w:val="00CF45FA"/>
    <w:rsid w:val="00CF49D6"/>
    <w:rsid w:val="00CF4D49"/>
    <w:rsid w:val="00CF6E95"/>
    <w:rsid w:val="00CF7484"/>
    <w:rsid w:val="00D110F8"/>
    <w:rsid w:val="00D11CB9"/>
    <w:rsid w:val="00D12C57"/>
    <w:rsid w:val="00D12E95"/>
    <w:rsid w:val="00D1570F"/>
    <w:rsid w:val="00D20D18"/>
    <w:rsid w:val="00D35342"/>
    <w:rsid w:val="00D36CE2"/>
    <w:rsid w:val="00D37EB9"/>
    <w:rsid w:val="00D44A1D"/>
    <w:rsid w:val="00D57743"/>
    <w:rsid w:val="00D60CE9"/>
    <w:rsid w:val="00D62E7E"/>
    <w:rsid w:val="00D631B8"/>
    <w:rsid w:val="00D70CEA"/>
    <w:rsid w:val="00D71657"/>
    <w:rsid w:val="00D71759"/>
    <w:rsid w:val="00D73D0E"/>
    <w:rsid w:val="00D80AC5"/>
    <w:rsid w:val="00D81ACA"/>
    <w:rsid w:val="00D83D05"/>
    <w:rsid w:val="00D84AC4"/>
    <w:rsid w:val="00D864EF"/>
    <w:rsid w:val="00D91B74"/>
    <w:rsid w:val="00D97216"/>
    <w:rsid w:val="00DA1F32"/>
    <w:rsid w:val="00DB184D"/>
    <w:rsid w:val="00DB1B71"/>
    <w:rsid w:val="00DB2C32"/>
    <w:rsid w:val="00DB49D4"/>
    <w:rsid w:val="00DB7CB3"/>
    <w:rsid w:val="00DC0D9A"/>
    <w:rsid w:val="00DC7D9D"/>
    <w:rsid w:val="00DD42B2"/>
    <w:rsid w:val="00DD6EB2"/>
    <w:rsid w:val="00DE1960"/>
    <w:rsid w:val="00DE1E35"/>
    <w:rsid w:val="00DE54FB"/>
    <w:rsid w:val="00DF065B"/>
    <w:rsid w:val="00DF09EB"/>
    <w:rsid w:val="00DF6435"/>
    <w:rsid w:val="00DF719B"/>
    <w:rsid w:val="00E006BB"/>
    <w:rsid w:val="00E134FC"/>
    <w:rsid w:val="00E16100"/>
    <w:rsid w:val="00E20ECF"/>
    <w:rsid w:val="00E21458"/>
    <w:rsid w:val="00E3022D"/>
    <w:rsid w:val="00E36584"/>
    <w:rsid w:val="00E3729F"/>
    <w:rsid w:val="00E41D5D"/>
    <w:rsid w:val="00E44D69"/>
    <w:rsid w:val="00E45845"/>
    <w:rsid w:val="00E5208B"/>
    <w:rsid w:val="00E62F9A"/>
    <w:rsid w:val="00E62FE3"/>
    <w:rsid w:val="00E6326E"/>
    <w:rsid w:val="00E64DCB"/>
    <w:rsid w:val="00E67E8A"/>
    <w:rsid w:val="00E70690"/>
    <w:rsid w:val="00E72ECC"/>
    <w:rsid w:val="00E75443"/>
    <w:rsid w:val="00E7600A"/>
    <w:rsid w:val="00E76AAC"/>
    <w:rsid w:val="00E76DE9"/>
    <w:rsid w:val="00E81E21"/>
    <w:rsid w:val="00E82E5C"/>
    <w:rsid w:val="00E83BD3"/>
    <w:rsid w:val="00E90C88"/>
    <w:rsid w:val="00E91D91"/>
    <w:rsid w:val="00E96D2E"/>
    <w:rsid w:val="00E97447"/>
    <w:rsid w:val="00EA3782"/>
    <w:rsid w:val="00EA63D7"/>
    <w:rsid w:val="00EA64C6"/>
    <w:rsid w:val="00EA6AC7"/>
    <w:rsid w:val="00EB2B53"/>
    <w:rsid w:val="00EB67BB"/>
    <w:rsid w:val="00EC29A6"/>
    <w:rsid w:val="00EC51AA"/>
    <w:rsid w:val="00EC71D4"/>
    <w:rsid w:val="00ED1463"/>
    <w:rsid w:val="00ED3E2D"/>
    <w:rsid w:val="00ED5D13"/>
    <w:rsid w:val="00ED6137"/>
    <w:rsid w:val="00ED75AA"/>
    <w:rsid w:val="00EE0535"/>
    <w:rsid w:val="00EE0657"/>
    <w:rsid w:val="00EE2172"/>
    <w:rsid w:val="00EE53BE"/>
    <w:rsid w:val="00EE5A6A"/>
    <w:rsid w:val="00EF0580"/>
    <w:rsid w:val="00EF05A9"/>
    <w:rsid w:val="00EF184F"/>
    <w:rsid w:val="00EF241E"/>
    <w:rsid w:val="00EF27D6"/>
    <w:rsid w:val="00EF3149"/>
    <w:rsid w:val="00F0182C"/>
    <w:rsid w:val="00F03D76"/>
    <w:rsid w:val="00F07986"/>
    <w:rsid w:val="00F111C4"/>
    <w:rsid w:val="00F117B5"/>
    <w:rsid w:val="00F13A7C"/>
    <w:rsid w:val="00F16A42"/>
    <w:rsid w:val="00F2305A"/>
    <w:rsid w:val="00F30D06"/>
    <w:rsid w:val="00F42C6E"/>
    <w:rsid w:val="00F47BFA"/>
    <w:rsid w:val="00F53060"/>
    <w:rsid w:val="00F5555F"/>
    <w:rsid w:val="00F557F6"/>
    <w:rsid w:val="00F57CCA"/>
    <w:rsid w:val="00F57CF9"/>
    <w:rsid w:val="00F6195C"/>
    <w:rsid w:val="00F61C48"/>
    <w:rsid w:val="00F624A2"/>
    <w:rsid w:val="00F6394A"/>
    <w:rsid w:val="00F651C4"/>
    <w:rsid w:val="00F66282"/>
    <w:rsid w:val="00F74DAA"/>
    <w:rsid w:val="00F80378"/>
    <w:rsid w:val="00F81182"/>
    <w:rsid w:val="00F82A67"/>
    <w:rsid w:val="00F874DE"/>
    <w:rsid w:val="00F92BDF"/>
    <w:rsid w:val="00F93526"/>
    <w:rsid w:val="00F944EB"/>
    <w:rsid w:val="00FA0EA7"/>
    <w:rsid w:val="00FA6C6B"/>
    <w:rsid w:val="00FB1CE9"/>
    <w:rsid w:val="00FB2874"/>
    <w:rsid w:val="00FB3A40"/>
    <w:rsid w:val="00FC1FF3"/>
    <w:rsid w:val="00FC5E4D"/>
    <w:rsid w:val="00FD5232"/>
    <w:rsid w:val="00FD540E"/>
    <w:rsid w:val="00FD6552"/>
    <w:rsid w:val="00FE0361"/>
    <w:rsid w:val="00FE1B5F"/>
    <w:rsid w:val="00FE5E40"/>
    <w:rsid w:val="00FF0CCE"/>
    <w:rsid w:val="00FF147A"/>
    <w:rsid w:val="00FF274B"/>
    <w:rsid w:val="00FF42C3"/>
    <w:rsid w:val="00FF533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0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53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3BE"/>
    <w:rPr>
      <w:rFonts w:ascii="Tahoma" w:hAnsi="Tahoma" w:cs="Tahoma"/>
      <w:sz w:val="16"/>
      <w:szCs w:val="16"/>
    </w:rPr>
  </w:style>
  <w:style w:type="table" w:styleId="TableGrid">
    <w:name w:val="Table Grid"/>
    <w:basedOn w:val="TableNormal"/>
    <w:uiPriority w:val="59"/>
    <w:rsid w:val="008B28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2544680">
      <w:bodyDiv w:val="1"/>
      <w:marLeft w:val="0"/>
      <w:marRight w:val="0"/>
      <w:marTop w:val="0"/>
      <w:marBottom w:val="0"/>
      <w:divBdr>
        <w:top w:val="none" w:sz="0" w:space="0" w:color="auto"/>
        <w:left w:val="none" w:sz="0" w:space="0" w:color="auto"/>
        <w:bottom w:val="none" w:sz="0" w:space="0" w:color="auto"/>
        <w:right w:val="none" w:sz="0" w:space="0" w:color="auto"/>
      </w:divBdr>
    </w:div>
    <w:div w:id="428349877">
      <w:bodyDiv w:val="1"/>
      <w:marLeft w:val="0"/>
      <w:marRight w:val="0"/>
      <w:marTop w:val="0"/>
      <w:marBottom w:val="0"/>
      <w:divBdr>
        <w:top w:val="none" w:sz="0" w:space="0" w:color="auto"/>
        <w:left w:val="none" w:sz="0" w:space="0" w:color="auto"/>
        <w:bottom w:val="none" w:sz="0" w:space="0" w:color="auto"/>
        <w:right w:val="none" w:sz="0" w:space="0" w:color="auto"/>
      </w:divBdr>
    </w:div>
    <w:div w:id="53735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izz\Desktop\Celis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izz\Desktop\Celis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izz\Desktop\Celise%20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Mizz\Desktop\Celise%20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Mizz\Desktop\Celise%20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Mizz\Desktop\Celise%20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Mizz\Desktop\Celise%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sz="1400"/>
            </a:pPr>
            <a:r>
              <a:rPr lang="en-US" sz="1400"/>
              <a:t>Conductivité</a:t>
            </a:r>
          </a:p>
        </c:rich>
      </c:tx>
    </c:title>
    <c:plotArea>
      <c:layout/>
      <c:barChart>
        <c:barDir val="col"/>
        <c:grouping val="clustered"/>
        <c:ser>
          <c:idx val="0"/>
          <c:order val="0"/>
          <c:tx>
            <c:strRef>
              <c:f>'Interreach Site1'!$Z$4</c:f>
              <c:strCache>
                <c:ptCount val="1"/>
                <c:pt idx="0">
                  <c:v>Mean S1</c:v>
                </c:pt>
              </c:strCache>
            </c:strRef>
          </c:tx>
          <c:errBars>
            <c:errBarType val="plus"/>
            <c:errValType val="cust"/>
            <c:plus>
              <c:numRef>
                <c:f>'Interreach Site1'!$AB$5:$AB$7</c:f>
                <c:numCache>
                  <c:formatCode>General</c:formatCode>
                  <c:ptCount val="3"/>
                  <c:pt idx="0">
                    <c:v>0.66666666666666674</c:v>
                  </c:pt>
                  <c:pt idx="1">
                    <c:v>0.57735026918962551</c:v>
                  </c:pt>
                  <c:pt idx="2">
                    <c:v>0.57735026918962551</c:v>
                  </c:pt>
                </c:numCache>
              </c:numRef>
            </c:plus>
            <c:minus>
              <c:numLit>
                <c:formatCode>General</c:formatCode>
                <c:ptCount val="1"/>
                <c:pt idx="0">
                  <c:v>1</c:v>
                </c:pt>
              </c:numLit>
            </c:minus>
          </c:errBars>
          <c:cat>
            <c:numRef>
              <c:f>'Interreach Site1'!$Y$5:$Y$7</c:f>
              <c:numCache>
                <c:formatCode>General</c:formatCode>
                <c:ptCount val="3"/>
                <c:pt idx="0">
                  <c:v>6</c:v>
                </c:pt>
                <c:pt idx="1">
                  <c:v>9</c:v>
                </c:pt>
                <c:pt idx="2">
                  <c:v>4</c:v>
                </c:pt>
              </c:numCache>
            </c:numRef>
          </c:cat>
          <c:val>
            <c:numRef>
              <c:f>'Interreach Site1'!$Z$5:$Z$7</c:f>
              <c:numCache>
                <c:formatCode>General</c:formatCode>
                <c:ptCount val="3"/>
                <c:pt idx="0">
                  <c:v>382.33333333333331</c:v>
                </c:pt>
                <c:pt idx="1">
                  <c:v>388</c:v>
                </c:pt>
                <c:pt idx="2">
                  <c:v>389</c:v>
                </c:pt>
              </c:numCache>
            </c:numRef>
          </c:val>
        </c:ser>
        <c:ser>
          <c:idx val="1"/>
          <c:order val="1"/>
          <c:tx>
            <c:strRef>
              <c:f>'Interreach Site1'!$AA$4</c:f>
              <c:strCache>
                <c:ptCount val="1"/>
                <c:pt idx="0">
                  <c:v>Mean S2</c:v>
                </c:pt>
              </c:strCache>
            </c:strRef>
          </c:tx>
          <c:errBars>
            <c:errBarType val="both"/>
            <c:errValType val="stdErr"/>
          </c:errBars>
          <c:cat>
            <c:numRef>
              <c:f>'Interreach Site1'!$Y$5:$Y$7</c:f>
              <c:numCache>
                <c:formatCode>General</c:formatCode>
                <c:ptCount val="3"/>
                <c:pt idx="0">
                  <c:v>6</c:v>
                </c:pt>
                <c:pt idx="1">
                  <c:v>9</c:v>
                </c:pt>
                <c:pt idx="2">
                  <c:v>4</c:v>
                </c:pt>
              </c:numCache>
            </c:numRef>
          </c:cat>
          <c:val>
            <c:numRef>
              <c:f>'Interreach Site1'!$AA$5:$AA$7</c:f>
              <c:numCache>
                <c:formatCode>General</c:formatCode>
                <c:ptCount val="3"/>
                <c:pt idx="0">
                  <c:v>406</c:v>
                </c:pt>
                <c:pt idx="1">
                  <c:v>410</c:v>
                </c:pt>
                <c:pt idx="2">
                  <c:v>407.33333333333331</c:v>
                </c:pt>
              </c:numCache>
            </c:numRef>
          </c:val>
        </c:ser>
        <c:axId val="304780416"/>
        <c:axId val="304782336"/>
      </c:barChart>
      <c:catAx>
        <c:axId val="304780416"/>
        <c:scaling>
          <c:orientation val="minMax"/>
        </c:scaling>
        <c:axPos val="b"/>
        <c:title>
          <c:tx>
            <c:rich>
              <a:bodyPr/>
              <a:lstStyle/>
              <a:p>
                <a:pPr>
                  <a:defRPr/>
                </a:pPr>
                <a:r>
                  <a:rPr lang="en-US"/>
                  <a:t>Étendue</a:t>
                </a:r>
              </a:p>
            </c:rich>
          </c:tx>
        </c:title>
        <c:numFmt formatCode="General" sourceLinked="1"/>
        <c:tickLblPos val="nextTo"/>
        <c:crossAx val="304782336"/>
        <c:crosses val="autoZero"/>
        <c:auto val="1"/>
        <c:lblAlgn val="ctr"/>
        <c:lblOffset val="100"/>
      </c:catAx>
      <c:valAx>
        <c:axId val="304782336"/>
        <c:scaling>
          <c:orientation val="minMax"/>
        </c:scaling>
        <c:axPos val="l"/>
        <c:majorGridlines/>
        <c:title>
          <c:tx>
            <c:rich>
              <a:bodyPr rot="-5400000" vert="horz"/>
              <a:lstStyle/>
              <a:p>
                <a:pPr>
                  <a:defRPr/>
                </a:pPr>
                <a:r>
                  <a:rPr lang="en-US"/>
                  <a:t>Moyenne</a:t>
                </a:r>
              </a:p>
            </c:rich>
          </c:tx>
        </c:title>
        <c:numFmt formatCode="General" sourceLinked="1"/>
        <c:tickLblPos val="nextTo"/>
        <c:crossAx val="304780416"/>
        <c:crosses val="autoZero"/>
        <c:crossBetween val="between"/>
      </c:valAx>
    </c:plotArea>
    <c:legend>
      <c:legendPos val="r"/>
    </c:legend>
    <c:plotVisOnly val="1"/>
    <c:dispBlanksAs val="gap"/>
  </c:chart>
  <c:txPr>
    <a:bodyPr/>
    <a:lstStyle/>
    <a:p>
      <a:pPr>
        <a:defRPr b="0"/>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CA"/>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Oxygène dissous</a:t>
            </a:r>
          </a:p>
        </c:rich>
      </c:tx>
      <c:spPr>
        <a:noFill/>
        <a:ln>
          <a:noFill/>
        </a:ln>
        <a:effectLst/>
      </c:spPr>
    </c:title>
    <c:plotArea>
      <c:layout/>
      <c:barChart>
        <c:barDir val="col"/>
        <c:grouping val="clustered"/>
        <c:ser>
          <c:idx val="0"/>
          <c:order val="0"/>
          <c:tx>
            <c:strRef>
              <c:f>'Interreach Site1'!$Z$30</c:f>
              <c:strCache>
                <c:ptCount val="1"/>
                <c:pt idx="0">
                  <c:v>Mean S1</c:v>
                </c:pt>
              </c:strCache>
            </c:strRef>
          </c:tx>
          <c:spPr>
            <a:solidFill>
              <a:schemeClr val="accent1"/>
            </a:solidFill>
            <a:ln>
              <a:noFill/>
            </a:ln>
            <a:effectLst/>
          </c:spPr>
          <c:errBars>
            <c:errBarType val="plus"/>
            <c:errValType val="cust"/>
            <c:plus>
              <c:numRef>
                <c:f>'Interreach Site1'!$AB$31:$AB$33</c:f>
                <c:numCache>
                  <c:formatCode>General</c:formatCode>
                  <c:ptCount val="3"/>
                  <c:pt idx="0">
                    <c:v>6.6666666666671173E-3</c:v>
                  </c:pt>
                  <c:pt idx="1">
                    <c:v>2.7284509239574841E-2</c:v>
                  </c:pt>
                  <c:pt idx="2">
                    <c:v>2.0000000000000202E-2</c:v>
                  </c:pt>
                </c:numCache>
              </c:numRef>
            </c:plus>
            <c:minus>
              <c:numLit>
                <c:formatCode>General</c:formatCode>
                <c:ptCount val="1"/>
                <c:pt idx="0">
                  <c:v>1</c:v>
                </c:pt>
              </c:numLit>
            </c:minus>
            <c:spPr>
              <a:noFill/>
              <a:ln w="9525" cap="flat" cmpd="sng" algn="ctr">
                <a:solidFill>
                  <a:schemeClr val="tx1">
                    <a:lumMod val="65000"/>
                    <a:lumOff val="35000"/>
                  </a:schemeClr>
                </a:solidFill>
                <a:round/>
              </a:ln>
              <a:effectLst/>
            </c:spPr>
          </c:errBars>
          <c:cat>
            <c:numRef>
              <c:f>'Interreach Site1'!$Y$31:$Y$33</c:f>
              <c:numCache>
                <c:formatCode>General</c:formatCode>
                <c:ptCount val="3"/>
                <c:pt idx="0">
                  <c:v>6</c:v>
                </c:pt>
                <c:pt idx="1">
                  <c:v>9</c:v>
                </c:pt>
                <c:pt idx="2">
                  <c:v>4</c:v>
                </c:pt>
              </c:numCache>
            </c:numRef>
          </c:cat>
          <c:val>
            <c:numRef>
              <c:f>'Interreach Site1'!$Z$31:$Z$33</c:f>
              <c:numCache>
                <c:formatCode>General</c:formatCode>
                <c:ptCount val="3"/>
                <c:pt idx="0">
                  <c:v>9.2866666666666706</c:v>
                </c:pt>
                <c:pt idx="1">
                  <c:v>9.2066666666666706</c:v>
                </c:pt>
                <c:pt idx="2">
                  <c:v>9.31</c:v>
                </c:pt>
              </c:numCache>
            </c:numRef>
          </c:val>
        </c:ser>
        <c:ser>
          <c:idx val="1"/>
          <c:order val="1"/>
          <c:tx>
            <c:strRef>
              <c:f>'Interreach Site1'!$AA$30</c:f>
              <c:strCache>
                <c:ptCount val="1"/>
                <c:pt idx="0">
                  <c:v>Mean S2</c:v>
                </c:pt>
              </c:strCache>
            </c:strRef>
          </c:tx>
          <c:spPr>
            <a:solidFill>
              <a:schemeClr val="accent2"/>
            </a:solidFill>
            <a:ln>
              <a:noFill/>
            </a:ln>
            <a:effectLst/>
          </c:spPr>
          <c:errBars>
            <c:errBarType val="both"/>
            <c:errValType val="stdErr"/>
            <c:spPr>
              <a:noFill/>
              <a:ln w="9525" cap="flat" cmpd="sng" algn="ctr">
                <a:solidFill>
                  <a:schemeClr val="tx1">
                    <a:lumMod val="65000"/>
                    <a:lumOff val="35000"/>
                  </a:schemeClr>
                </a:solidFill>
                <a:round/>
              </a:ln>
              <a:effectLst/>
            </c:spPr>
          </c:errBars>
          <c:cat>
            <c:numRef>
              <c:f>'Interreach Site1'!$Y$31:$Y$33</c:f>
              <c:numCache>
                <c:formatCode>General</c:formatCode>
                <c:ptCount val="3"/>
                <c:pt idx="0">
                  <c:v>6</c:v>
                </c:pt>
                <c:pt idx="1">
                  <c:v>9</c:v>
                </c:pt>
                <c:pt idx="2">
                  <c:v>4</c:v>
                </c:pt>
              </c:numCache>
            </c:numRef>
          </c:cat>
          <c:val>
            <c:numRef>
              <c:f>'Interreach Site1'!$AA$31:$AA$33</c:f>
              <c:numCache>
                <c:formatCode>General</c:formatCode>
                <c:ptCount val="3"/>
                <c:pt idx="0">
                  <c:v>9.15</c:v>
                </c:pt>
                <c:pt idx="1">
                  <c:v>9.1566666666666805</c:v>
                </c:pt>
                <c:pt idx="2">
                  <c:v>9.4566666666666848</c:v>
                </c:pt>
              </c:numCache>
            </c:numRef>
          </c:val>
        </c:ser>
        <c:gapWidth val="219"/>
        <c:overlap val="-27"/>
        <c:axId val="309573120"/>
        <c:axId val="309575040"/>
      </c:barChart>
      <c:catAx>
        <c:axId val="309573120"/>
        <c:scaling>
          <c:orientation val="minMax"/>
        </c:scaling>
        <c:axPos val="b"/>
        <c:title>
          <c:tx>
            <c:rich>
              <a:bodyPr/>
              <a:lstStyle/>
              <a:p>
                <a:pPr>
                  <a:defRPr/>
                </a:pPr>
                <a:r>
                  <a:rPr lang="en-US"/>
                  <a:t>Étendue</a:t>
                </a:r>
              </a:p>
            </c:rich>
          </c:tx>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75040"/>
        <c:crosses val="autoZero"/>
        <c:auto val="1"/>
        <c:lblAlgn val="ctr"/>
        <c:lblOffset val="100"/>
      </c:catAx>
      <c:valAx>
        <c:axId val="309575040"/>
        <c:scaling>
          <c:orientation val="minMax"/>
        </c:scaling>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en-US"/>
                  <a:t>Moyenne</a:t>
                </a:r>
              </a:p>
            </c:rich>
          </c:tx>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73120"/>
        <c:crosses val="autoZero"/>
        <c:crossBetween val="between"/>
      </c:valAx>
      <c:spPr>
        <a:noFill/>
        <a:ln>
          <a:noFill/>
        </a:ln>
        <a:effectLst/>
      </c:spPr>
    </c:plotArea>
    <c:legend>
      <c:legendPos val="r"/>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CA"/>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Simpson's Index de diversite</a:t>
            </a:r>
          </a:p>
        </c:rich>
      </c:tx>
      <c:spPr>
        <a:noFill/>
        <a:ln>
          <a:noFill/>
        </a:ln>
        <a:effectLst/>
      </c:spPr>
    </c:title>
    <c:plotArea>
      <c:layout/>
      <c:scatterChart>
        <c:scatterStyle val="lineMarker"/>
        <c:ser>
          <c:idx val="0"/>
          <c:order val="0"/>
          <c:spPr>
            <a:ln w="28575" cap="rnd">
              <a:noFill/>
              <a:round/>
            </a:ln>
            <a:effectLst/>
          </c:spPr>
          <c:marker>
            <c:symbol val="circle"/>
            <c:size val="5"/>
            <c:spPr>
              <a:solidFill>
                <a:schemeClr val="accent1"/>
              </a:solidFill>
              <a:ln w="9525">
                <a:solidFill>
                  <a:schemeClr val="accent1"/>
                </a:solidFill>
              </a:ln>
              <a:effectLst/>
            </c:spPr>
          </c:marker>
          <c:xVal>
            <c:numRef>
              <c:f>Correlation!$D$178:$D$197</c:f>
              <c:numCache>
                <c:formatCode>0.00</c:formatCode>
                <c:ptCount val="20"/>
                <c:pt idx="0">
                  <c:v>388</c:v>
                </c:pt>
                <c:pt idx="1">
                  <c:v>386.66666666666691</c:v>
                </c:pt>
                <c:pt idx="2">
                  <c:v>387.66666666666691</c:v>
                </c:pt>
                <c:pt idx="3">
                  <c:v>389</c:v>
                </c:pt>
                <c:pt idx="4">
                  <c:v>386</c:v>
                </c:pt>
                <c:pt idx="5">
                  <c:v>382.33333333333331</c:v>
                </c:pt>
                <c:pt idx="6">
                  <c:v>383.66666666666691</c:v>
                </c:pt>
                <c:pt idx="7">
                  <c:v>381.66666666666691</c:v>
                </c:pt>
                <c:pt idx="8">
                  <c:v>388</c:v>
                </c:pt>
                <c:pt idx="9">
                  <c:v>387</c:v>
                </c:pt>
                <c:pt idx="10">
                  <c:v>409</c:v>
                </c:pt>
                <c:pt idx="11">
                  <c:v>408</c:v>
                </c:pt>
                <c:pt idx="12">
                  <c:v>407.33333333333331</c:v>
                </c:pt>
                <c:pt idx="13">
                  <c:v>407.33333333333331</c:v>
                </c:pt>
                <c:pt idx="14">
                  <c:v>406</c:v>
                </c:pt>
                <c:pt idx="15">
                  <c:v>406</c:v>
                </c:pt>
                <c:pt idx="16">
                  <c:v>407.66666666666691</c:v>
                </c:pt>
                <c:pt idx="17">
                  <c:v>407</c:v>
                </c:pt>
                <c:pt idx="18">
                  <c:v>410</c:v>
                </c:pt>
                <c:pt idx="19">
                  <c:v>409.33333333333331</c:v>
                </c:pt>
              </c:numCache>
            </c:numRef>
          </c:xVal>
          <c:yVal>
            <c:numRef>
              <c:f>Correlation!$F$178:$F$197</c:f>
              <c:numCache>
                <c:formatCode>General</c:formatCode>
                <c:ptCount val="20"/>
                <c:pt idx="0">
                  <c:v>20</c:v>
                </c:pt>
                <c:pt idx="1">
                  <c:v>19</c:v>
                </c:pt>
                <c:pt idx="2">
                  <c:v>21</c:v>
                </c:pt>
                <c:pt idx="3">
                  <c:v>36</c:v>
                </c:pt>
                <c:pt idx="4">
                  <c:v>43</c:v>
                </c:pt>
                <c:pt idx="5">
                  <c:v>26</c:v>
                </c:pt>
                <c:pt idx="6">
                  <c:v>33</c:v>
                </c:pt>
                <c:pt idx="7">
                  <c:v>23</c:v>
                </c:pt>
                <c:pt idx="8">
                  <c:v>62</c:v>
                </c:pt>
                <c:pt idx="9">
                  <c:v>29</c:v>
                </c:pt>
                <c:pt idx="10">
                  <c:v>8</c:v>
                </c:pt>
                <c:pt idx="11">
                  <c:v>12</c:v>
                </c:pt>
                <c:pt idx="12">
                  <c:v>23</c:v>
                </c:pt>
                <c:pt idx="13">
                  <c:v>16</c:v>
                </c:pt>
                <c:pt idx="14">
                  <c:v>19</c:v>
                </c:pt>
                <c:pt idx="15">
                  <c:v>22</c:v>
                </c:pt>
                <c:pt idx="16">
                  <c:v>14</c:v>
                </c:pt>
                <c:pt idx="17">
                  <c:v>27</c:v>
                </c:pt>
                <c:pt idx="18">
                  <c:v>23</c:v>
                </c:pt>
                <c:pt idx="19">
                  <c:v>25</c:v>
                </c:pt>
              </c:numCache>
            </c:numRef>
          </c:yVal>
        </c:ser>
        <c:axId val="309459584"/>
        <c:axId val="309527296"/>
      </c:scatterChart>
      <c:valAx>
        <c:axId val="309459584"/>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27296"/>
        <c:crosses val="autoZero"/>
        <c:crossBetween val="midCat"/>
      </c:valAx>
      <c:valAx>
        <c:axId val="30952729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459584"/>
        <c:crosses val="autoZero"/>
        <c:crossBetween val="midCat"/>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CA"/>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Nombre d'organisme total</a:t>
            </a:r>
          </a:p>
        </c:rich>
      </c:tx>
      <c:spPr>
        <a:noFill/>
        <a:ln>
          <a:noFill/>
        </a:ln>
        <a:effectLst/>
      </c:spPr>
    </c:title>
    <c:plotArea>
      <c:layout>
        <c:manualLayout>
          <c:layoutTarget val="inner"/>
          <c:xMode val="edge"/>
          <c:yMode val="edge"/>
          <c:x val="6.1762125447143941E-2"/>
          <c:y val="2.0466707235276618E-2"/>
          <c:w val="0.88017656527800459"/>
          <c:h val="0.77534858392274209"/>
        </c:manualLayout>
      </c:layout>
      <c:scatterChart>
        <c:scatterStyle val="lineMarker"/>
        <c:ser>
          <c:idx val="0"/>
          <c:order val="0"/>
          <c:spPr>
            <a:ln w="28575" cap="rnd">
              <a:noFill/>
              <a:round/>
            </a:ln>
            <a:effectLst/>
          </c:spPr>
          <c:marker>
            <c:symbol val="circle"/>
            <c:size val="5"/>
            <c:spPr>
              <a:solidFill>
                <a:schemeClr val="accent1"/>
              </a:solidFill>
              <a:ln w="9525">
                <a:solidFill>
                  <a:schemeClr val="accent1"/>
                </a:solidFill>
              </a:ln>
              <a:effectLst/>
            </c:spPr>
          </c:marker>
          <c:xVal>
            <c:numRef>
              <c:f>Correlation!$D$178:$D$197</c:f>
              <c:numCache>
                <c:formatCode>0.00</c:formatCode>
                <c:ptCount val="20"/>
                <c:pt idx="0">
                  <c:v>388</c:v>
                </c:pt>
                <c:pt idx="1">
                  <c:v>386.66666666666691</c:v>
                </c:pt>
                <c:pt idx="2">
                  <c:v>387.66666666666691</c:v>
                </c:pt>
                <c:pt idx="3">
                  <c:v>389</c:v>
                </c:pt>
                <c:pt idx="4">
                  <c:v>386</c:v>
                </c:pt>
                <c:pt idx="5">
                  <c:v>382.33333333333331</c:v>
                </c:pt>
                <c:pt idx="6">
                  <c:v>383.66666666666691</c:v>
                </c:pt>
                <c:pt idx="7">
                  <c:v>381.66666666666691</c:v>
                </c:pt>
                <c:pt idx="8">
                  <c:v>388</c:v>
                </c:pt>
                <c:pt idx="9">
                  <c:v>387</c:v>
                </c:pt>
                <c:pt idx="10">
                  <c:v>409</c:v>
                </c:pt>
                <c:pt idx="11">
                  <c:v>408</c:v>
                </c:pt>
                <c:pt idx="12">
                  <c:v>407.33333333333331</c:v>
                </c:pt>
                <c:pt idx="13">
                  <c:v>407.33333333333331</c:v>
                </c:pt>
                <c:pt idx="14">
                  <c:v>406</c:v>
                </c:pt>
                <c:pt idx="15">
                  <c:v>406</c:v>
                </c:pt>
                <c:pt idx="16">
                  <c:v>407.66666666666691</c:v>
                </c:pt>
                <c:pt idx="17">
                  <c:v>407</c:v>
                </c:pt>
                <c:pt idx="18">
                  <c:v>410</c:v>
                </c:pt>
                <c:pt idx="19">
                  <c:v>409.33333333333331</c:v>
                </c:pt>
              </c:numCache>
            </c:numRef>
          </c:xVal>
          <c:yVal>
            <c:numRef>
              <c:f>Correlation!$G$178:$G$197</c:f>
              <c:numCache>
                <c:formatCode>0.00</c:formatCode>
                <c:ptCount val="20"/>
                <c:pt idx="0">
                  <c:v>4.8717948717948723</c:v>
                </c:pt>
                <c:pt idx="1">
                  <c:v>7.1249999999999956</c:v>
                </c:pt>
                <c:pt idx="2">
                  <c:v>7.7777777777777786</c:v>
                </c:pt>
                <c:pt idx="3">
                  <c:v>4.8461538461538467</c:v>
                </c:pt>
                <c:pt idx="4">
                  <c:v>5.5740740740740744</c:v>
                </c:pt>
                <c:pt idx="5">
                  <c:v>5.9090909090909092</c:v>
                </c:pt>
                <c:pt idx="6">
                  <c:v>2.4672897196261681</c:v>
                </c:pt>
                <c:pt idx="7">
                  <c:v>4.7735849056603774</c:v>
                </c:pt>
                <c:pt idx="8">
                  <c:v>4.9373368146214087</c:v>
                </c:pt>
                <c:pt idx="9">
                  <c:v>5.4864864864864868</c:v>
                </c:pt>
                <c:pt idx="10">
                  <c:v>14</c:v>
                </c:pt>
                <c:pt idx="11">
                  <c:v>9.4285714285714182</c:v>
                </c:pt>
                <c:pt idx="12">
                  <c:v>6.4871794871794872</c:v>
                </c:pt>
                <c:pt idx="13">
                  <c:v>9.2307692307692353</c:v>
                </c:pt>
                <c:pt idx="14">
                  <c:v>9</c:v>
                </c:pt>
                <c:pt idx="15">
                  <c:v>9.625</c:v>
                </c:pt>
                <c:pt idx="16">
                  <c:v>4.7894736842105328</c:v>
                </c:pt>
                <c:pt idx="17">
                  <c:v>8.5609756097560972</c:v>
                </c:pt>
                <c:pt idx="18">
                  <c:v>5.75</c:v>
                </c:pt>
                <c:pt idx="19">
                  <c:v>4.166666666666667</c:v>
                </c:pt>
              </c:numCache>
            </c:numRef>
          </c:yVal>
        </c:ser>
        <c:axId val="309538176"/>
        <c:axId val="309560832"/>
      </c:scatterChart>
      <c:valAx>
        <c:axId val="309538176"/>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60832"/>
        <c:crosses val="autoZero"/>
        <c:crossBetween val="midCat"/>
      </c:valAx>
      <c:valAx>
        <c:axId val="309560832"/>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38176"/>
        <c:crosses val="autoZero"/>
        <c:crossBetween val="midCat"/>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CA"/>
  <c:chart>
    <c:title>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plotArea>
      <c:layout/>
      <c:scatterChart>
        <c:scatterStyle val="lineMarker"/>
        <c:ser>
          <c:idx val="0"/>
          <c:order val="0"/>
          <c:tx>
            <c:strRef>
              <c:f>Correlation!$G$211</c:f>
              <c:strCache>
                <c:ptCount val="1"/>
                <c:pt idx="0">
                  <c:v>Simpson's Diversity Index/Index de diversité</c:v>
                </c:pt>
              </c:strCache>
            </c:strRef>
          </c:tx>
          <c:spPr>
            <a:ln w="28575" cap="rnd">
              <a:noFill/>
              <a:round/>
            </a:ln>
            <a:effectLst/>
          </c:spPr>
          <c:marker>
            <c:symbol val="circle"/>
            <c:size val="5"/>
            <c:spPr>
              <a:solidFill>
                <a:schemeClr val="accent1"/>
              </a:solidFill>
              <a:ln w="9525">
                <a:solidFill>
                  <a:schemeClr val="accent1"/>
                </a:solidFill>
              </a:ln>
              <a:effectLst/>
            </c:spPr>
          </c:marker>
          <c:xVal>
            <c:numRef>
              <c:f>Correlation!$D$212:$D$231</c:f>
              <c:numCache>
                <c:formatCode>0.00</c:formatCode>
                <c:ptCount val="20"/>
                <c:pt idx="0">
                  <c:v>26</c:v>
                </c:pt>
                <c:pt idx="1">
                  <c:v>28</c:v>
                </c:pt>
                <c:pt idx="2">
                  <c:v>38</c:v>
                </c:pt>
                <c:pt idx="3">
                  <c:v>58</c:v>
                </c:pt>
                <c:pt idx="4">
                  <c:v>26</c:v>
                </c:pt>
                <c:pt idx="5">
                  <c:v>42</c:v>
                </c:pt>
                <c:pt idx="6">
                  <c:v>9.3333333333333357</c:v>
                </c:pt>
                <c:pt idx="7">
                  <c:v>8.8000000000000007</c:v>
                </c:pt>
                <c:pt idx="8">
                  <c:v>38</c:v>
                </c:pt>
                <c:pt idx="9">
                  <c:v>36</c:v>
                </c:pt>
                <c:pt idx="10">
                  <c:v>20</c:v>
                </c:pt>
                <c:pt idx="11">
                  <c:v>20</c:v>
                </c:pt>
                <c:pt idx="12">
                  <c:v>20</c:v>
                </c:pt>
                <c:pt idx="13">
                  <c:v>38</c:v>
                </c:pt>
                <c:pt idx="14">
                  <c:v>18</c:v>
                </c:pt>
                <c:pt idx="15">
                  <c:v>16</c:v>
                </c:pt>
                <c:pt idx="16">
                  <c:v>10</c:v>
                </c:pt>
                <c:pt idx="17">
                  <c:v>18</c:v>
                </c:pt>
                <c:pt idx="18">
                  <c:v>20</c:v>
                </c:pt>
                <c:pt idx="19">
                  <c:v>12</c:v>
                </c:pt>
              </c:numCache>
            </c:numRef>
          </c:xVal>
          <c:yVal>
            <c:numRef>
              <c:f>Correlation!$G$212:$G$231</c:f>
              <c:numCache>
                <c:formatCode>0.00</c:formatCode>
                <c:ptCount val="20"/>
                <c:pt idx="0">
                  <c:v>4.8717948717948723</c:v>
                </c:pt>
                <c:pt idx="1">
                  <c:v>7.1249999999999956</c:v>
                </c:pt>
                <c:pt idx="2">
                  <c:v>7.7777777777777786</c:v>
                </c:pt>
                <c:pt idx="3">
                  <c:v>4.8461538461538467</c:v>
                </c:pt>
                <c:pt idx="4">
                  <c:v>5.5740740740740744</c:v>
                </c:pt>
                <c:pt idx="5">
                  <c:v>5.9090909090909092</c:v>
                </c:pt>
                <c:pt idx="6">
                  <c:v>2.4672897196261681</c:v>
                </c:pt>
                <c:pt idx="7">
                  <c:v>4.7735849056603774</c:v>
                </c:pt>
                <c:pt idx="8">
                  <c:v>4.9373368146214087</c:v>
                </c:pt>
                <c:pt idx="9">
                  <c:v>5.4864864864864868</c:v>
                </c:pt>
                <c:pt idx="10">
                  <c:v>14</c:v>
                </c:pt>
                <c:pt idx="11">
                  <c:v>9.4285714285714182</c:v>
                </c:pt>
                <c:pt idx="12">
                  <c:v>6.4871794871794872</c:v>
                </c:pt>
                <c:pt idx="13">
                  <c:v>9.2307692307692353</c:v>
                </c:pt>
                <c:pt idx="14">
                  <c:v>9</c:v>
                </c:pt>
                <c:pt idx="15">
                  <c:v>9.625</c:v>
                </c:pt>
                <c:pt idx="16">
                  <c:v>4.7894736842105328</c:v>
                </c:pt>
                <c:pt idx="17">
                  <c:v>8.5609756097560972</c:v>
                </c:pt>
                <c:pt idx="18">
                  <c:v>5.75</c:v>
                </c:pt>
                <c:pt idx="19">
                  <c:v>4.166666666666667</c:v>
                </c:pt>
              </c:numCache>
            </c:numRef>
          </c:yVal>
        </c:ser>
        <c:axId val="309584256"/>
        <c:axId val="309586176"/>
      </c:scatterChart>
      <c:valAx>
        <c:axId val="309584256"/>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86176"/>
        <c:crosses val="autoZero"/>
        <c:crossBetween val="midCat"/>
      </c:valAx>
      <c:valAx>
        <c:axId val="309586176"/>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84256"/>
        <c:crosses val="autoZero"/>
        <c:crossBetween val="midCat"/>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CA"/>
  <c:chart>
    <c:title>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plotArea>
      <c:layout/>
      <c:scatterChart>
        <c:scatterStyle val="lineMarker"/>
        <c:ser>
          <c:idx val="0"/>
          <c:order val="0"/>
          <c:tx>
            <c:strRef>
              <c:f>Correlation!$F$211</c:f>
              <c:strCache>
                <c:ptCount val="1"/>
                <c:pt idx="0">
                  <c:v>Total organisms/Nombre total d'organismes</c:v>
                </c:pt>
              </c:strCache>
            </c:strRef>
          </c:tx>
          <c:spPr>
            <a:ln w="28575" cap="rnd">
              <a:noFill/>
              <a:round/>
            </a:ln>
            <a:effectLst/>
          </c:spPr>
          <c:marker>
            <c:symbol val="circle"/>
            <c:size val="5"/>
            <c:spPr>
              <a:solidFill>
                <a:schemeClr val="accent1"/>
              </a:solidFill>
              <a:ln w="9525">
                <a:solidFill>
                  <a:schemeClr val="accent1"/>
                </a:solidFill>
              </a:ln>
              <a:effectLst/>
            </c:spPr>
          </c:marker>
          <c:xVal>
            <c:numRef>
              <c:f>Correlation!$D$212:$D$231</c:f>
              <c:numCache>
                <c:formatCode>0.00</c:formatCode>
                <c:ptCount val="20"/>
                <c:pt idx="0">
                  <c:v>26</c:v>
                </c:pt>
                <c:pt idx="1">
                  <c:v>28</c:v>
                </c:pt>
                <c:pt idx="2">
                  <c:v>38</c:v>
                </c:pt>
                <c:pt idx="3">
                  <c:v>58</c:v>
                </c:pt>
                <c:pt idx="4">
                  <c:v>26</c:v>
                </c:pt>
                <c:pt idx="5">
                  <c:v>42</c:v>
                </c:pt>
                <c:pt idx="6">
                  <c:v>9.3333333333333357</c:v>
                </c:pt>
                <c:pt idx="7">
                  <c:v>8.8000000000000007</c:v>
                </c:pt>
                <c:pt idx="8">
                  <c:v>38</c:v>
                </c:pt>
                <c:pt idx="9">
                  <c:v>36</c:v>
                </c:pt>
                <c:pt idx="10">
                  <c:v>20</c:v>
                </c:pt>
                <c:pt idx="11">
                  <c:v>20</c:v>
                </c:pt>
                <c:pt idx="12">
                  <c:v>20</c:v>
                </c:pt>
                <c:pt idx="13">
                  <c:v>38</c:v>
                </c:pt>
                <c:pt idx="14">
                  <c:v>18</c:v>
                </c:pt>
                <c:pt idx="15">
                  <c:v>16</c:v>
                </c:pt>
                <c:pt idx="16">
                  <c:v>10</c:v>
                </c:pt>
                <c:pt idx="17">
                  <c:v>18</c:v>
                </c:pt>
                <c:pt idx="18">
                  <c:v>20</c:v>
                </c:pt>
                <c:pt idx="19">
                  <c:v>12</c:v>
                </c:pt>
              </c:numCache>
            </c:numRef>
          </c:xVal>
          <c:yVal>
            <c:numRef>
              <c:f>Correlation!$F$212:$F$231</c:f>
              <c:numCache>
                <c:formatCode>General</c:formatCode>
                <c:ptCount val="20"/>
                <c:pt idx="0">
                  <c:v>20</c:v>
                </c:pt>
                <c:pt idx="1">
                  <c:v>19</c:v>
                </c:pt>
                <c:pt idx="2">
                  <c:v>21</c:v>
                </c:pt>
                <c:pt idx="3">
                  <c:v>36</c:v>
                </c:pt>
                <c:pt idx="4">
                  <c:v>43</c:v>
                </c:pt>
                <c:pt idx="5">
                  <c:v>26</c:v>
                </c:pt>
                <c:pt idx="6">
                  <c:v>33</c:v>
                </c:pt>
                <c:pt idx="7">
                  <c:v>23</c:v>
                </c:pt>
                <c:pt idx="8">
                  <c:v>62</c:v>
                </c:pt>
                <c:pt idx="9">
                  <c:v>29</c:v>
                </c:pt>
                <c:pt idx="10">
                  <c:v>8</c:v>
                </c:pt>
                <c:pt idx="11">
                  <c:v>12</c:v>
                </c:pt>
                <c:pt idx="12">
                  <c:v>23</c:v>
                </c:pt>
                <c:pt idx="13">
                  <c:v>16</c:v>
                </c:pt>
                <c:pt idx="14">
                  <c:v>19</c:v>
                </c:pt>
                <c:pt idx="15">
                  <c:v>22</c:v>
                </c:pt>
                <c:pt idx="16">
                  <c:v>14</c:v>
                </c:pt>
                <c:pt idx="17">
                  <c:v>27</c:v>
                </c:pt>
                <c:pt idx="18">
                  <c:v>23</c:v>
                </c:pt>
                <c:pt idx="19">
                  <c:v>25</c:v>
                </c:pt>
              </c:numCache>
            </c:numRef>
          </c:yVal>
        </c:ser>
        <c:axId val="309634176"/>
        <c:axId val="309636096"/>
      </c:scatterChart>
      <c:valAx>
        <c:axId val="309634176"/>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636096"/>
        <c:crosses val="autoZero"/>
        <c:crossBetween val="midCat"/>
      </c:valAx>
      <c:valAx>
        <c:axId val="30963609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634176"/>
        <c:crosses val="autoZero"/>
        <c:crossBetween val="midCat"/>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CA"/>
  <c:chart>
    <c:plotArea>
      <c:layout/>
      <c:barChart>
        <c:barDir val="col"/>
        <c:grouping val="clustered"/>
        <c:ser>
          <c:idx val="0"/>
          <c:order val="0"/>
          <c:tx>
            <c:strRef>
              <c:f>'Rel Abund'!$BH$9</c:f>
              <c:strCache>
                <c:ptCount val="1"/>
                <c:pt idx="0">
                  <c:v>mean rel. abund.S1</c:v>
                </c:pt>
              </c:strCache>
            </c:strRef>
          </c:tx>
          <c:spPr>
            <a:solidFill>
              <a:schemeClr val="tx1"/>
            </a:solidFill>
            <a:ln>
              <a:solidFill>
                <a:schemeClr val="accent1"/>
              </a:solidFill>
            </a:ln>
          </c:spPr>
          <c:errBars>
            <c:errBarType val="plus"/>
            <c:errValType val="cust"/>
            <c:plus>
              <c:numRef>
                <c:f>'Rel Abund'!$BJ$10:$BJ$16</c:f>
                <c:numCache>
                  <c:formatCode>General</c:formatCode>
                  <c:ptCount val="7"/>
                  <c:pt idx="0">
                    <c:v>2.1874727213678842</c:v>
                  </c:pt>
                  <c:pt idx="1">
                    <c:v>6.3188577051590018</c:v>
                  </c:pt>
                  <c:pt idx="2">
                    <c:v>3.8693070383703443</c:v>
                  </c:pt>
                  <c:pt idx="3">
                    <c:v>6.0011085195525284</c:v>
                  </c:pt>
                  <c:pt idx="4">
                    <c:v>5.1282051282051286</c:v>
                  </c:pt>
                </c:numCache>
              </c:numRef>
            </c:plus>
            <c:minus>
              <c:numLit>
                <c:formatCode>General</c:formatCode>
                <c:ptCount val="1"/>
                <c:pt idx="0">
                  <c:v>1</c:v>
                </c:pt>
              </c:numLit>
            </c:minus>
          </c:errBars>
          <c:cat>
            <c:strRef>
              <c:f>'Rel Abund'!$BG$10:$BG$16</c:f>
              <c:strCache>
                <c:ptCount val="7"/>
                <c:pt idx="0">
                  <c:v>Dipteres</c:v>
                </c:pt>
                <c:pt idx="1">
                  <c:v>Ephemeropteres</c:v>
                </c:pt>
                <c:pt idx="2">
                  <c:v>Oligochetes</c:v>
                </c:pt>
                <c:pt idx="3">
                  <c:v>Hemipteres</c:v>
                </c:pt>
                <c:pt idx="4">
                  <c:v>Neuropteres</c:v>
                </c:pt>
                <c:pt idx="5">
                  <c:v>Megelopteres</c:v>
                </c:pt>
                <c:pt idx="6">
                  <c:v>Coleopteres</c:v>
                </c:pt>
              </c:strCache>
            </c:strRef>
          </c:cat>
          <c:val>
            <c:numRef>
              <c:f>'Rel Abund'!$BH$10:$BH$16</c:f>
              <c:numCache>
                <c:formatCode>General</c:formatCode>
                <c:ptCount val="7"/>
                <c:pt idx="0">
                  <c:v>29.52394081426338</c:v>
                </c:pt>
                <c:pt idx="1">
                  <c:v>23.021781086297214</c:v>
                </c:pt>
                <c:pt idx="2">
                  <c:v>16.47366969947614</c:v>
                </c:pt>
                <c:pt idx="3">
                  <c:v>7.3361823361823371</c:v>
                </c:pt>
                <c:pt idx="4">
                  <c:v>5.1282051282051286</c:v>
                </c:pt>
                <c:pt idx="5">
                  <c:v>0</c:v>
                </c:pt>
                <c:pt idx="6">
                  <c:v>0</c:v>
                </c:pt>
              </c:numCache>
            </c:numRef>
          </c:val>
        </c:ser>
        <c:ser>
          <c:idx val="1"/>
          <c:order val="1"/>
          <c:tx>
            <c:strRef>
              <c:f>'Rel Abund'!$BI$9</c:f>
              <c:strCache>
                <c:ptCount val="1"/>
                <c:pt idx="0">
                  <c:v>mean rel. abund.S2</c:v>
                </c:pt>
              </c:strCache>
            </c:strRef>
          </c:tx>
          <c:spPr>
            <a:solidFill>
              <a:schemeClr val="bg1"/>
            </a:solidFill>
            <a:ln>
              <a:solidFill>
                <a:schemeClr val="tx1"/>
              </a:solidFill>
            </a:ln>
          </c:spPr>
          <c:errBars>
            <c:errBarType val="plus"/>
            <c:errValType val="cust"/>
            <c:plus>
              <c:numRef>
                <c:f>'Rel Abund'!$BK$10:$BK$16</c:f>
                <c:numCache>
                  <c:formatCode>General</c:formatCode>
                  <c:ptCount val="7"/>
                  <c:pt idx="0">
                    <c:v>3.7306279552257982</c:v>
                  </c:pt>
                  <c:pt idx="1">
                    <c:v>7.9815558733732885</c:v>
                  </c:pt>
                  <c:pt idx="2">
                    <c:v>0</c:v>
                  </c:pt>
                  <c:pt idx="3">
                    <c:v>5.7971014492753605</c:v>
                  </c:pt>
                  <c:pt idx="4">
                    <c:v>4.166666666666667</c:v>
                  </c:pt>
                </c:numCache>
              </c:numRef>
            </c:plus>
            <c:minus>
              <c:numLit>
                <c:formatCode>General</c:formatCode>
                <c:ptCount val="1"/>
                <c:pt idx="0">
                  <c:v>1</c:v>
                </c:pt>
              </c:numLit>
            </c:minus>
          </c:errBars>
          <c:cat>
            <c:strRef>
              <c:f>'Rel Abund'!$BG$10:$BG$16</c:f>
              <c:strCache>
                <c:ptCount val="7"/>
                <c:pt idx="0">
                  <c:v>Dipteres</c:v>
                </c:pt>
                <c:pt idx="1">
                  <c:v>Ephemeropteres</c:v>
                </c:pt>
                <c:pt idx="2">
                  <c:v>Oligochetes</c:v>
                </c:pt>
                <c:pt idx="3">
                  <c:v>Hemipteres</c:v>
                </c:pt>
                <c:pt idx="4">
                  <c:v>Neuropteres</c:v>
                </c:pt>
                <c:pt idx="5">
                  <c:v>Megelopteres</c:v>
                </c:pt>
                <c:pt idx="6">
                  <c:v>Coleopteres</c:v>
                </c:pt>
              </c:strCache>
            </c:strRef>
          </c:cat>
          <c:val>
            <c:numRef>
              <c:f>'Rel Abund'!$BI$10:$BI$16</c:f>
              <c:numCache>
                <c:formatCode>General</c:formatCode>
                <c:ptCount val="7"/>
                <c:pt idx="0">
                  <c:v>0</c:v>
                </c:pt>
                <c:pt idx="1">
                  <c:v>15.909090909090914</c:v>
                </c:pt>
                <c:pt idx="2">
                  <c:v>0</c:v>
                </c:pt>
                <c:pt idx="3">
                  <c:v>0</c:v>
                </c:pt>
                <c:pt idx="4">
                  <c:v>0</c:v>
                </c:pt>
                <c:pt idx="5">
                  <c:v>16.13965744400528</c:v>
                </c:pt>
                <c:pt idx="6">
                  <c:v>8.8932806324110665</c:v>
                </c:pt>
              </c:numCache>
            </c:numRef>
          </c:val>
        </c:ser>
        <c:axId val="287263360"/>
        <c:axId val="287269248"/>
      </c:barChart>
      <c:catAx>
        <c:axId val="287263360"/>
        <c:scaling>
          <c:orientation val="minMax"/>
        </c:scaling>
        <c:axPos val="b"/>
        <c:numFmt formatCode="General" sourceLinked="0"/>
        <c:tickLblPos val="nextTo"/>
        <c:crossAx val="287269248"/>
        <c:crosses val="autoZero"/>
        <c:auto val="1"/>
        <c:lblAlgn val="ctr"/>
        <c:lblOffset val="100"/>
      </c:catAx>
      <c:valAx>
        <c:axId val="287269248"/>
        <c:scaling>
          <c:orientation val="minMax"/>
          <c:max val="60"/>
        </c:scaling>
        <c:axPos val="l"/>
        <c:numFmt formatCode="General" sourceLinked="1"/>
        <c:tickLblPos val="nextTo"/>
        <c:crossAx val="287263360"/>
        <c:crosses val="autoZero"/>
        <c:crossBetween val="between"/>
        <c:majorUnit val="20"/>
      </c:valAx>
    </c:plotArea>
    <c:legend>
      <c:legendPos val="r"/>
      <c:layout>
        <c:manualLayout>
          <c:xMode val="edge"/>
          <c:yMode val="edge"/>
          <c:x val="0.12279177602799676"/>
          <c:y val="7.8319845435987162E-2"/>
          <c:w val="0.26609711286089233"/>
          <c:h val="0.16743438320210025"/>
        </c:manualLayout>
      </c:layout>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56953A-366A-4CBE-8626-4C7C14549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1924</TotalTime>
  <Pages>10</Pages>
  <Words>952</Words>
  <Characters>5430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Mizz K</dc:creator>
  <cp:keywords/>
  <dc:description/>
  <cp:lastModifiedBy>Mizz K</cp:lastModifiedBy>
  <cp:revision>17</cp:revision>
  <dcterms:created xsi:type="dcterms:W3CDTF">2016-09-27T21:00:00Z</dcterms:created>
  <dcterms:modified xsi:type="dcterms:W3CDTF">2017-02-09T15:44:00Z</dcterms:modified>
</cp:coreProperties>
</file>