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46A09DF" w:rsidP="746A09DF" w:rsidRDefault="746A09DF" w14:noSpellErr="1" w14:paraId="757769E6" w14:textId="30EBC41B">
      <w:pPr>
        <w:pStyle w:val="Normal"/>
      </w:pPr>
      <w:r w:rsidRPr="746A09DF" w:rsidR="746A09DF">
        <w:rPr>
          <w:rFonts w:ascii="Calibri" w:hAnsi="Calibri" w:eastAsia="Calibri" w:cs="Calibri"/>
          <w:b w:val="1"/>
          <w:bCs w:val="1"/>
          <w:color w:val="F993AA" w:themeColor="text2" w:themeTint="40" w:themeShade="FF"/>
          <w:sz w:val="46"/>
          <w:szCs w:val="46"/>
          <w:lang w:val="en-US"/>
        </w:rPr>
        <w:t>SRM CHAPTER SIX</w:t>
      </w:r>
      <w:r w:rsidRPr="746A09DF" w:rsidR="746A09DF">
        <w:rPr>
          <w:rFonts w:ascii="Calibri" w:hAnsi="Calibri" w:eastAsia="Calibri" w:cs="Calibri"/>
          <w:color w:val="F993AA" w:themeColor="text2" w:themeTint="40" w:themeShade="FF"/>
          <w:sz w:val="46"/>
          <w:szCs w:val="46"/>
        </w:rPr>
        <w:t xml:space="preserve"> </w:t>
      </w:r>
    </w:p>
    <w:p w:rsidR="746A09DF" w:rsidP="746A09DF" w:rsidRDefault="746A09DF" w14:noSpellErr="1" w14:paraId="405584AB" w14:textId="1231F489">
      <w:pPr>
        <w:pStyle w:val="Normal"/>
        <w:ind w:left="720"/>
      </w:pPr>
      <w:r w:rsidRPr="746A09DF" w:rsidR="746A09DF">
        <w:rPr>
          <w:rFonts w:ascii="Calibri" w:hAnsi="Calibri" w:eastAsia="Calibri" w:cs="Calibri"/>
          <w:b w:val="1"/>
          <w:bCs w:val="1"/>
          <w:color w:val="auto"/>
          <w:sz w:val="22"/>
          <w:szCs w:val="22"/>
        </w:rPr>
        <w:t>OPEN OR CLOSED QUESTIONS?</w:t>
      </w:r>
    </w:p>
    <w:p w:rsidR="746A09DF" w:rsidRDefault="746A09DF" w14:noSpellErr="1" w14:paraId="7360F672" w14:textId="7BC1ABDD"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The most significant issue in writing the questionnaire is the decision whether to use open or closed questions. </w:t>
      </w:r>
      <w:r w:rsidRPr="746A09DF" w:rsidR="746A09DF">
        <w:rPr>
          <w:rFonts w:ascii="Calibri" w:hAnsi="Calibri" w:eastAsia="Calibri" w:cs="Calibri"/>
          <w:b w:val="1"/>
          <w:bCs w:val="1"/>
          <w:i w:val="1"/>
          <w:iCs w:val="1"/>
          <w:color w:val="auto"/>
          <w:sz w:val="22"/>
          <w:szCs w:val="22"/>
        </w:rPr>
        <w:t>Open questions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 leave the response decisions completely to the respondent, where they can write their response in a free form. By contrast, </w:t>
      </w:r>
      <w:r w:rsidRPr="746A09DF" w:rsidR="746A09DF">
        <w:rPr>
          <w:rFonts w:ascii="Calibri" w:hAnsi="Calibri" w:eastAsia="Calibri" w:cs="Calibri"/>
          <w:b w:val="1"/>
          <w:bCs w:val="1"/>
          <w:i w:val="1"/>
          <w:iCs w:val="1"/>
          <w:color w:val="auto"/>
          <w:sz w:val="22"/>
          <w:szCs w:val="22"/>
        </w:rPr>
        <w:t>closed questions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 present the respondent with a set of answers, and the respondent simply chooses an answer category (or categories) that best represent their answer.</w:t>
      </w:r>
    </w:p>
    <w:p w:rsidR="746A09DF" w:rsidP="746A09DF" w:rsidRDefault="746A09DF" w14:noSpellErr="1" w14:paraId="7EA573CE" w14:textId="61452CA4">
      <w:pPr>
        <w:pStyle w:val="Normal"/>
      </w:pPr>
      <w:r w:rsidRPr="746A09DF" w:rsidR="746A09DF">
        <w:rPr>
          <w:rFonts w:ascii="Calibri" w:hAnsi="Calibri" w:eastAsia="Calibri" w:cs="Calibri"/>
          <w:b w:val="1"/>
          <w:bCs w:val="1"/>
          <w:color w:val="A0DDCD" w:themeColor="accent3" w:themeTint="99" w:themeShade="FF"/>
          <w:sz w:val="22"/>
          <w:szCs w:val="22"/>
          <w:u w:val="single"/>
        </w:rPr>
        <w:t>OPEN Q'S:</w:t>
      </w:r>
    </w:p>
    <w:p w:rsidR="746A09DF" w:rsidP="746A09DF" w:rsidRDefault="746A09DF" w14:paraId="4FBB4889" w14:textId="7AB03782">
      <w:pPr>
        <w:pStyle w:val="Normal"/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Open questions tend not to be used in quantitative research very often because of difficulties with converting the 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answers into numerical data. </w:t>
      </w:r>
    </w:p>
    <w:p w:rsidR="746A09DF" w:rsidP="746A09DF" w:rsidRDefault="746A09DF" w14:noSpellErr="1" w14:paraId="3BDED7C4" w14:textId="4DA9DE8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b w:val="1"/>
          <w:bCs w:val="1"/>
          <w:color w:val="auto"/>
          <w:sz w:val="22"/>
          <w:szCs w:val="22"/>
        </w:rPr>
        <w:t>ADVANTAGES:</w:t>
      </w:r>
    </w:p>
    <w:p w:rsidR="746A09DF" w:rsidP="746A09DF" w:rsidRDefault="746A09DF" w14:noSpellErr="1" w14:paraId="3FD8F23D" w14:textId="45A4D644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Respondents can answer in their own terms.</w:t>
      </w:r>
    </w:p>
    <w:p w:rsidR="746A09DF" w:rsidP="746A09DF" w:rsidRDefault="746A09DF" w14:noSpellErr="1" w14:paraId="20412415" w14:textId="67142577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Allow for unusual, unanticipated responses.</w:t>
      </w:r>
    </w:p>
    <w:p w:rsidR="746A09DF" w:rsidP="746A09DF" w:rsidRDefault="746A09DF" w14:noSpellErr="1" w14:paraId="56B59DE1" w14:textId="5BEBA13A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No suggestion, so responses may expose knowledge and be more 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genuine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.</w:t>
      </w:r>
    </w:p>
    <w:p w:rsidR="746A09DF" w:rsidP="746A09DF" w:rsidRDefault="746A09DF" w14:noSpellErr="1" w14:paraId="2A9EA48E" w14:textId="3828FC2D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Good for exploring 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now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 or changing areas of research.</w:t>
      </w:r>
    </w:p>
    <w:p w:rsidR="746A09DF" w:rsidP="746A09DF" w:rsidRDefault="746A09DF" w14:noSpellErr="1" w14:paraId="248B440B" w14:textId="04250DC7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Answers may lead to 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fixes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 choice responses.</w:t>
      </w:r>
    </w:p>
    <w:p w:rsidR="746A09DF" w:rsidP="746A09DF" w:rsidRDefault="746A09DF" w14:noSpellErr="1" w14:paraId="0B83EB0E" w14:textId="759DC052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b w:val="1"/>
          <w:bCs w:val="1"/>
          <w:color w:val="auto"/>
          <w:sz w:val="22"/>
          <w:szCs w:val="22"/>
        </w:rPr>
        <w:t>DISADVANTAGES:</w:t>
      </w:r>
    </w:p>
    <w:p w:rsidR="746A09DF" w:rsidP="746A09DF" w:rsidRDefault="746A09DF" w14:noSpellErr="1" w14:paraId="416B062C" w14:textId="5180553A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It is time-consuming to record answers.</w:t>
      </w:r>
    </w:p>
    <w:p w:rsidR="746A09DF" w:rsidP="746A09DF" w:rsidRDefault="746A09DF" w14:noSpellErr="1" w14:paraId="3947F844" w14:textId="7294E292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Answers must be coded, and it is a tedious and long process.</w:t>
      </w:r>
    </w:p>
    <w:p w:rsidR="746A09DF" w:rsidP="746A09DF" w:rsidRDefault="746A09DF" w14:noSpellErr="1" w14:paraId="1D99CA01" w14:textId="0660E625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If used in questionnaires, respondents may balk at the request to write long answers.</w:t>
      </w:r>
    </w:p>
    <w:p w:rsidR="746A09DF" w:rsidP="746A09DF" w:rsidRDefault="746A09DF" w14:noSpellErr="1" w14:paraId="617E09AF" w14:textId="29F8C56A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Long verbal answers to questions are more open to recording inaccuracies.</w:t>
      </w:r>
    </w:p>
    <w:p w:rsidR="746A09DF" w:rsidP="746A09DF" w:rsidRDefault="746A09DF" w14:noSpellErr="1" w14:paraId="049EA2D4" w14:textId="207D8992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b w:val="1"/>
          <w:bCs w:val="1"/>
          <w:color w:val="auto"/>
          <w:sz w:val="22"/>
          <w:szCs w:val="22"/>
        </w:rPr>
        <w:t>CODING:</w:t>
      </w:r>
    </w:p>
    <w:p w:rsidR="746A09DF" w:rsidP="746A09DF" w:rsidRDefault="746A09DF" w14:noSpellErr="1" w14:paraId="52BE76D3" w14:textId="0B72C18A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Coding is a key 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sta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ge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in quantitative research. Many forms of social science data are essentially unstructured and unorganized, including answers to open questions in interviews and questionnaires, and the content of 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newspap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er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articles. To make sense of this, researchers must go through it all deriving themes or categories of 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behavio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r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to form the basis of codes.</w:t>
      </w:r>
    </w:p>
    <w:p w:rsidR="746A09DF" w:rsidP="746A09DF" w:rsidRDefault="746A09DF" w14:noSpellErr="1" w14:paraId="6FD9965A" w14:textId="1AD27C8F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Next, the researcher usually 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assigns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numbers to the codes.</w:t>
      </w:r>
    </w:p>
    <w:p w:rsidR="746A09DF" w:rsidP="746A09DF" w:rsidRDefault="746A09DF" w14:noSpellErr="1" w14:paraId="3C676A0F" w14:textId="4228FA5E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Then, they must look through the information over again to look for the incidences of the theme or category, and to record the 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appropriate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 xml:space="preserve"> numbers on a computer spread sheet. ( </w:t>
      </w:r>
      <w:r w:rsidRPr="746A09DF" w:rsidR="746A09DF">
        <w:rPr>
          <w:rFonts w:ascii="Calibri" w:hAnsi="Calibri" w:eastAsia="Calibri" w:cs="Calibri"/>
          <w:b w:val="1"/>
          <w:bCs w:val="1"/>
          <w:color w:val="F993AA" w:themeColor="text2" w:themeTint="40" w:themeShade="FF"/>
          <w:sz w:val="22"/>
          <w:szCs w:val="22"/>
          <w:u w:val="none"/>
        </w:rPr>
        <w:t>Post-coding</w:t>
      </w:r>
      <w:r w:rsidRPr="746A09DF" w:rsidR="746A09DF">
        <w:rPr>
          <w:rFonts w:ascii="Calibri" w:hAnsi="Calibri" w:eastAsia="Calibri" w:cs="Calibri"/>
          <w:b w:val="1"/>
          <w:bCs w:val="1"/>
          <w:color w:val="F993AA" w:themeColor="text2" w:themeTint="40" w:themeShade="FF"/>
          <w:sz w:val="22"/>
          <w:szCs w:val="22"/>
        </w:rPr>
        <w:t xml:space="preserve"> </w:t>
      </w:r>
      <w:r w:rsidRPr="746A09DF" w:rsidR="746A09DF">
        <w:rPr>
          <w:rFonts w:ascii="Calibri" w:hAnsi="Calibri" w:eastAsia="Calibri" w:cs="Calibri"/>
          <w:b w:val="0"/>
          <w:bCs w:val="0"/>
          <w:color w:val="auto"/>
          <w:sz w:val="22"/>
          <w:szCs w:val="22"/>
        </w:rPr>
        <w:t>)</w:t>
      </w:r>
    </w:p>
    <w:p w:rsidR="746A09DF" w:rsidP="746A09DF" w:rsidRDefault="746A09DF" w14:noSpellErr="1" w14:paraId="105E8178" w14:textId="22D7176B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b w:val="0"/>
          <w:bCs w:val="0"/>
          <w:i w:val="1"/>
          <w:iCs w:val="1"/>
          <w:color w:val="A0DDCD" w:themeColor="accent3" w:themeTint="99" w:themeShade="FF"/>
          <w:sz w:val="22"/>
          <w:szCs w:val="22"/>
          <w:u w:val="single"/>
        </w:rPr>
        <w:t>Basic principles for all coding:</w:t>
      </w:r>
    </w:p>
    <w:p w:rsidR="746A09DF" w:rsidP="746A09DF" w:rsidRDefault="746A09DF" w14:paraId="77502852" w14:textId="5ADFB017">
      <w:pPr>
        <w:pStyle w:val="ListParagraph"/>
        <w:numPr>
          <w:ilvl w:val="2"/>
          <w:numId w:val="3"/>
        </w:numPr>
        <w:rPr>
          <w:rFonts w:ascii="Calibri" w:hAnsi="Calibri" w:eastAsia="Calibri" w:cs="Calibr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The categories must not overlap. </w:t>
      </w:r>
    </w:p>
    <w:p w:rsidR="746A09DF" w:rsidP="746A09DF" w:rsidRDefault="746A09DF" w14:paraId="68BD947C" w14:textId="6F295CB4">
      <w:pPr>
        <w:pStyle w:val="ListParagraph"/>
        <w:numPr>
          <w:ilvl w:val="2"/>
          <w:numId w:val="3"/>
        </w:numPr>
        <w:rPr>
          <w:rFonts w:ascii="Calibri" w:hAnsi="Calibri" w:eastAsia="Calibri" w:cs="Calibr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The list of categories must be exhaustive, covering all possibilities. </w:t>
      </w: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This usually requires the inclusion of a category “other.” </w:t>
      </w:r>
    </w:p>
    <w:p w:rsidR="746A09DF" w:rsidP="746A09DF" w:rsidRDefault="746A09DF" w14:noSpellErr="1" w14:paraId="41ACC3D2" w14:textId="418D0FA8">
      <w:pPr>
        <w:pStyle w:val="ListParagraph"/>
        <w:numPr>
          <w:ilvl w:val="2"/>
          <w:numId w:val="3"/>
        </w:numPr>
        <w:rPr>
          <w:rFonts w:ascii="Calibri" w:hAnsi="Calibri" w:eastAsia="Calibri" w:cs="Calibr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Coders should be provided with a “coding frame” or “coding manual” that establishes clear rules about how codes should be applied.</w:t>
      </w:r>
    </w:p>
    <w:p w:rsidR="746A09DF" w:rsidP="746A09DF" w:rsidRDefault="746A09DF" w14:paraId="401B37D5" w14:textId="2C14B12A">
      <w:pPr>
        <w:pStyle w:val="ListParagraph"/>
        <w:numPr>
          <w:ilvl w:val="1"/>
          <w:numId w:val="3"/>
        </w:numPr>
        <w:rPr>
          <w:rFonts w:ascii="Calibri" w:hAnsi="Calibri" w:eastAsia="Calibri" w:cs="Calibri"/>
          <w:color w:val="auto"/>
          <w:sz w:val="22"/>
          <w:szCs w:val="22"/>
        </w:rPr>
      </w:pPr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Pre-coding requires the researcher to design a coding frame prior to </w:t>
      </w:r>
      <w:proofErr w:type="spellStart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adminstering</w:t>
      </w:r>
      <w:proofErr w:type="spellEnd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 the </w:t>
      </w:r>
      <w:proofErr w:type="spellStart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survery</w:t>
      </w:r>
      <w:proofErr w:type="spellEnd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. Closed questions are by definition, pre-coded. Each category is </w:t>
      </w:r>
      <w:proofErr w:type="spellStart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assigined</w:t>
      </w:r>
      <w:proofErr w:type="spellEnd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 a numerical value. The </w:t>
      </w:r>
      <w:proofErr w:type="spellStart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respondenet</w:t>
      </w:r>
      <w:proofErr w:type="spellEnd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 is asked to select one of a set of answers that belong in the pre-set categories. With open questions the researcher allows the </w:t>
      </w:r>
      <w:proofErr w:type="spellStart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>respondenet</w:t>
      </w:r>
      <w:proofErr w:type="spellEnd"/>
      <w:r w:rsidRPr="746A09DF" w:rsidR="746A09DF">
        <w:rPr>
          <w:rFonts w:ascii="Calibri" w:hAnsi="Calibri" w:eastAsia="Calibri" w:cs="Calibri"/>
          <w:color w:val="auto"/>
          <w:sz w:val="22"/>
          <w:szCs w:val="22"/>
        </w:rPr>
        <w:t xml:space="preserve"> to provide open answers, and later sorts the category into the coding categories.</w:t>
      </w:r>
    </w:p>
    <w:sectPr>
      <w:footerReference w:type="default" r:id="rId7"/>
      <w:pgSz w:w="12240" w:h="15840" w:orient="portrait"/>
      <w:pgMar w:top="144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14:paraId="6D2304D1" wp14:textId="77777777">
      <w:r>
        <w:separator/>
      </w:r>
    </w:p>
    <w:p xmlns:wp14="http://schemas.microsoft.com/office/word/2010/wordml" w14:paraId="61C8D590" wp14:textId="77777777"/>
  </w:endnote>
  <w:endnote w:type="continuationSeparator" w:id="0">
    <w:p xmlns:wp14="http://schemas.microsoft.com/office/word/2010/wordml" w14:paraId="3DA5498E" wp14:textId="77777777">
      <w:r>
        <w:continuationSeparator/>
      </w:r>
    </w:p>
    <w:p xmlns:wp14="http://schemas.microsoft.com/office/word/2010/wordml" w14:paraId="36B9E79B" wp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Footer page number layout table"/>
    </w:tblPr>
    <w:tblGrid>
      <w:gridCol w:w="3116"/>
      <w:gridCol w:w="3117"/>
      <w:gridCol w:w="3117"/>
    </w:tblGrid>
    <w:sdt>
      <w:sdtPr>
        <w:id w:val="-12006997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tr xmlns:wp14="http://schemas.microsoft.com/office/word/2010/wordml" w14:paraId="47ABD9A0" wp14:textId="77777777">
          <w:tc>
            <w:tcPr>
              <w:tcW w:w="3116" w:type="dxa"/>
            </w:tcPr>
            <w:p w14:paraId="197EBD6B" wp14:textId="77777777">
              <w:pPr>
                <w:pStyle w:val="Footer"/>
              </w:pPr>
              <w:r>
                <w:fldChar w:fldCharType="begin"/>
              </w:r>
              <w:r>
                <w:instrText xml:space="preserve"> PAGE   \* MERGEFORMAT </w:instrText>
              </w:r>
              <w:r>
                <w:fldChar w:fldCharType="separate"/>
              </w:r>
              <w:r>
                <w:rPr>
                  <w:noProof/>
                </w:rPr>
                <w:t>2</w:t>
              </w:r>
              <w:r>
                <w:rPr>
                  <w:noProof/>
                </w:rPr>
                <w:fldChar w:fldCharType="end"/>
              </w:r>
            </w:p>
          </w:tc>
          <w:tc>
            <w:tcPr>
              <w:tcW w:w="3117" w:type="dxa"/>
            </w:tcPr>
            <w:p w14:paraId="5E1A298A" wp14:textId="77777777">
              <w:pPr>
                <w:pStyle w:val="Footer"/>
                <w:jc w:val="center"/>
              </w:pPr>
            </w:p>
          </w:tc>
          <w:tc>
            <w:tcPr>
              <w:tcW w:w="3117" w:type="dxa"/>
            </w:tcPr>
            <w:p w14:paraId="715685E4" wp14:textId="77777777">
              <w:pPr>
                <w:pStyle w:val="Footer"/>
                <w:jc w:val="right"/>
              </w:pPr>
            </w:p>
          </w:tc>
        </w:tr>
      </w:sdtContent>
    </w:sdt>
  </w:tbl>
  <w:p xmlns:wp14="http://schemas.microsoft.com/office/word/2010/wordml" w14:paraId="433D8992" wp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14:paraId="632B9154" wp14:textId="77777777">
      <w:r>
        <w:separator/>
      </w:r>
    </w:p>
    <w:p xmlns:wp14="http://schemas.microsoft.com/office/word/2010/wordml" w14:paraId="7C59994E" wp14:textId="77777777"/>
  </w:footnote>
  <w:footnote w:type="continuationSeparator" w:id="0">
    <w:p xmlns:wp14="http://schemas.microsoft.com/office/word/2010/wordml" w14:paraId="6A4A9613" wp14:textId="77777777">
      <w:r>
        <w:continuationSeparator/>
      </w:r>
    </w:p>
    <w:p xmlns:wp14="http://schemas.microsoft.com/office/word/2010/wordml" w14:paraId="19533C35" wp14:textId="7777777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6B28936-571F-4DB1-9082-F7AEDE8711E2}"/>
  <w14:docId w14:val="4E0F6A94"/>
  <w:rsids>
    <w:rsidRoot w:val="746A09DF"/>
    <w:rsid w:val="746A09D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Katiana Dieujuste</dc:creator>
  <keywords/>
  <dc:description/>
  <lastModifiedBy>Katiana Dieujuste</lastModifiedBy>
  <revision>4</revision>
  <dcterms:created xsi:type="dcterms:W3CDTF">2016-10-08T20:47:32.3095470Z</dcterms:created>
  <dcterms:modified xsi:type="dcterms:W3CDTF">2016-10-08T22:59:03.9854954Z</dcterms:modified>
</coreProperties>
</file>