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525C91" w14:textId="77777777" w:rsidR="00807EEC" w:rsidRPr="00350E58" w:rsidRDefault="00734935">
      <w:pPr>
        <w:jc w:val="center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>Guide d</w:t>
      </w:r>
      <w:r w:rsidR="00E30109" w:rsidRPr="00350E58">
        <w:rPr>
          <w:rFonts w:ascii="Times" w:hAnsi="Times" w:cs="Times"/>
          <w:b/>
          <w:sz w:val="28"/>
          <w:lang w:val="fr-CA"/>
        </w:rPr>
        <w:t xml:space="preserve">’études pour examen </w:t>
      </w:r>
      <w:proofErr w:type="gramStart"/>
      <w:r w:rsidR="00E30109" w:rsidRPr="00350E58">
        <w:rPr>
          <w:rFonts w:ascii="Times" w:hAnsi="Times" w:cs="Times"/>
          <w:b/>
          <w:sz w:val="28"/>
          <w:lang w:val="fr-CA"/>
        </w:rPr>
        <w:t xml:space="preserve">final </w:t>
      </w:r>
      <w:r w:rsidRPr="00350E58">
        <w:rPr>
          <w:rFonts w:ascii="Times" w:hAnsi="Times" w:cs="Times"/>
          <w:b/>
          <w:sz w:val="28"/>
          <w:lang w:val="fr-CA"/>
        </w:rPr>
        <w:t>,</w:t>
      </w:r>
      <w:proofErr w:type="gramEnd"/>
      <w:r w:rsidRPr="00350E58">
        <w:rPr>
          <w:rFonts w:ascii="Times" w:hAnsi="Times" w:cs="Times"/>
          <w:b/>
          <w:sz w:val="28"/>
          <w:lang w:val="fr-CA"/>
        </w:rPr>
        <w:t xml:space="preserve"> Été2 2015</w:t>
      </w:r>
      <w:r w:rsidR="00E30109" w:rsidRPr="00350E58">
        <w:rPr>
          <w:rFonts w:ascii="Times" w:hAnsi="Times" w:cs="Times"/>
          <w:b/>
          <w:sz w:val="28"/>
          <w:lang w:val="fr-CA"/>
        </w:rPr>
        <w:br/>
      </w:r>
    </w:p>
    <w:p w14:paraId="02B613DA" w14:textId="76005219" w:rsidR="00E30109" w:rsidRPr="00350E58" w:rsidRDefault="00E30109" w:rsidP="00E30109">
      <w:pPr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 xml:space="preserve">Remarques générales : </w:t>
      </w:r>
      <w:r w:rsidR="007060C4" w:rsidRPr="00350E58">
        <w:rPr>
          <w:rFonts w:ascii="Times" w:hAnsi="Times" w:cs="Times"/>
          <w:b/>
          <w:sz w:val="28"/>
          <w:lang w:val="fr-CA"/>
        </w:rPr>
        <w:t>Vous êtes responsables de tous les différents tableaux (c</w:t>
      </w:r>
      <w:r w:rsidR="00312D8F">
        <w:rPr>
          <w:rFonts w:ascii="Times" w:hAnsi="Times" w:cs="Times"/>
          <w:b/>
          <w:sz w:val="28"/>
          <w:lang w:val="fr-CA"/>
        </w:rPr>
        <w:t>oncentrer surtout sur l’</w:t>
      </w:r>
      <w:r w:rsidRPr="00350E58">
        <w:rPr>
          <w:rFonts w:ascii="Times" w:hAnsi="Times" w:cs="Times"/>
          <w:b/>
          <w:sz w:val="28"/>
          <w:lang w:val="fr-CA"/>
        </w:rPr>
        <w:t xml:space="preserve">importance,  les responsabilités et les conditions de succès </w:t>
      </w:r>
      <w:r w:rsidR="00C94CBA" w:rsidRPr="00350E58">
        <w:rPr>
          <w:rFonts w:ascii="Times" w:hAnsi="Times" w:cs="Times"/>
          <w:b/>
          <w:sz w:val="28"/>
          <w:lang w:val="fr-CA"/>
        </w:rPr>
        <w:t xml:space="preserve">au début et </w:t>
      </w:r>
      <w:r w:rsidR="007060C4" w:rsidRPr="00350E58">
        <w:rPr>
          <w:rFonts w:ascii="Times" w:hAnsi="Times" w:cs="Times"/>
          <w:b/>
          <w:sz w:val="28"/>
          <w:lang w:val="fr-CA"/>
        </w:rPr>
        <w:t xml:space="preserve">à la fin de tous les </w:t>
      </w:r>
      <w:r w:rsidRPr="00350E58">
        <w:rPr>
          <w:rFonts w:ascii="Times" w:hAnsi="Times" w:cs="Times"/>
          <w:b/>
          <w:sz w:val="28"/>
          <w:lang w:val="fr-CA"/>
        </w:rPr>
        <w:t xml:space="preserve"> chapitres)</w:t>
      </w:r>
      <w:r w:rsidR="007060C4" w:rsidRPr="00350E58">
        <w:rPr>
          <w:rFonts w:ascii="Times" w:hAnsi="Times" w:cs="Times"/>
          <w:b/>
          <w:sz w:val="28"/>
          <w:lang w:val="fr-CA"/>
        </w:rPr>
        <w:t>.  T</w:t>
      </w:r>
      <w:r w:rsidRPr="00350E58">
        <w:rPr>
          <w:rFonts w:ascii="Times" w:hAnsi="Times" w:cs="Times"/>
          <w:b/>
          <w:sz w:val="28"/>
          <w:lang w:val="fr-CA"/>
        </w:rPr>
        <w:t>ous</w:t>
      </w:r>
      <w:r w:rsidR="007060C4" w:rsidRPr="00350E58">
        <w:rPr>
          <w:rFonts w:ascii="Times" w:hAnsi="Times" w:cs="Times"/>
          <w:b/>
          <w:sz w:val="28"/>
          <w:lang w:val="fr-CA"/>
        </w:rPr>
        <w:t xml:space="preserve"> les tableaux à l’intérieur  d</w:t>
      </w:r>
      <w:r w:rsidRPr="00350E58">
        <w:rPr>
          <w:rFonts w:ascii="Times" w:hAnsi="Times" w:cs="Times"/>
          <w:b/>
          <w:sz w:val="28"/>
          <w:lang w:val="fr-CA"/>
        </w:rPr>
        <w:t>es chapitres doivent accaparer la majeure partie de votre temps d’étude car les tableaux donnent les alternatives qui permettent d’établir les choix multiples.</w:t>
      </w:r>
    </w:p>
    <w:p w14:paraId="1E243843" w14:textId="77777777" w:rsidR="00E30109" w:rsidRPr="00350E58" w:rsidRDefault="00E30109" w:rsidP="00E30109">
      <w:pPr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>Les définitions dans les marges permettent aussi de donner des alternatives de choix</w:t>
      </w:r>
    </w:p>
    <w:p w14:paraId="6E8F204E" w14:textId="77777777" w:rsidR="00807EEC" w:rsidRPr="00350E58" w:rsidRDefault="00734935">
      <w:pPr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highlight w:val="yellow"/>
          <w:lang w:val="fr-CA"/>
        </w:rPr>
        <w:t>Chapitre 1</w:t>
      </w:r>
      <w:r w:rsidR="007060C4" w:rsidRPr="00350E58">
        <w:rPr>
          <w:rFonts w:ascii="Times" w:hAnsi="Times" w:cs="Times"/>
          <w:b/>
          <w:sz w:val="28"/>
          <w:lang w:val="fr-CA"/>
        </w:rPr>
        <w:t> :</w:t>
      </w:r>
    </w:p>
    <w:p w14:paraId="03D74980" w14:textId="77777777" w:rsidR="00807EEC" w:rsidRPr="00350E58" w:rsidRDefault="00734935">
      <w:pPr>
        <w:ind w:left="720"/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ab/>
        <w:t>•</w:t>
      </w:r>
      <w:bookmarkStart w:id="0" w:name="_GoBack"/>
      <w:bookmarkEnd w:id="0"/>
      <w:r w:rsidRPr="00350E58">
        <w:rPr>
          <w:rFonts w:ascii="Times" w:hAnsi="Times" w:cs="Times"/>
          <w:b/>
          <w:sz w:val="28"/>
          <w:lang w:val="fr-CA"/>
        </w:rPr>
        <w:tab/>
        <w:t xml:space="preserve">1.3. Le professionnalisation de la gestion </w:t>
      </w:r>
      <w:proofErr w:type="gramStart"/>
      <w:r w:rsidRPr="00350E58">
        <w:rPr>
          <w:rFonts w:ascii="Times" w:hAnsi="Times" w:cs="Times"/>
          <w:b/>
          <w:sz w:val="28"/>
          <w:lang w:val="fr-CA"/>
        </w:rPr>
        <w:t>des</w:t>
      </w:r>
      <w:proofErr w:type="gramEnd"/>
      <w:r w:rsidRPr="00350E58">
        <w:rPr>
          <w:rFonts w:ascii="Times" w:hAnsi="Times" w:cs="Times"/>
          <w:b/>
          <w:sz w:val="28"/>
          <w:lang w:val="fr-CA"/>
        </w:rPr>
        <w:t xml:space="preserve"> ressources</w:t>
      </w:r>
      <w:r w:rsidR="00E30109" w:rsidRPr="00350E58">
        <w:rPr>
          <w:rFonts w:ascii="Times" w:hAnsi="Times" w:cs="Times"/>
          <w:b/>
          <w:sz w:val="28"/>
          <w:lang w:val="fr-CA"/>
        </w:rPr>
        <w:t xml:space="preserve"> humaines :</w:t>
      </w:r>
      <w:r w:rsidR="00C94CBA" w:rsidRPr="00350E58">
        <w:rPr>
          <w:rFonts w:ascii="Times" w:hAnsi="Times" w:cs="Times"/>
          <w:b/>
          <w:sz w:val="28"/>
          <w:lang w:val="fr-CA"/>
        </w:rPr>
        <w:t xml:space="preserve"> </w:t>
      </w:r>
      <w:r w:rsidR="00E30109" w:rsidRPr="00350E58">
        <w:rPr>
          <w:rFonts w:ascii="Times" w:hAnsi="Times" w:cs="Times"/>
          <w:b/>
          <w:sz w:val="28"/>
          <w:lang w:val="fr-CA"/>
        </w:rPr>
        <w:t xml:space="preserve">Figure 1.3 page 19 </w:t>
      </w:r>
    </w:p>
    <w:p w14:paraId="752B5C09" w14:textId="77777777" w:rsidR="00807EEC" w:rsidRPr="00350E58" w:rsidRDefault="00734935">
      <w:pPr>
        <w:ind w:left="720"/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ab/>
        <w:t>•</w:t>
      </w:r>
      <w:r w:rsidRPr="00350E58">
        <w:rPr>
          <w:rFonts w:ascii="Times" w:hAnsi="Times" w:cs="Times"/>
          <w:b/>
          <w:sz w:val="28"/>
          <w:lang w:val="fr-CA"/>
        </w:rPr>
        <w:tab/>
        <w:t>1.5. Le manuel de l’employé</w:t>
      </w:r>
      <w:r w:rsidR="006B290C" w:rsidRPr="00350E58">
        <w:rPr>
          <w:rFonts w:ascii="Times" w:hAnsi="Times" w:cs="Times"/>
          <w:b/>
          <w:sz w:val="28"/>
          <w:lang w:val="fr-CA"/>
        </w:rPr>
        <w:t xml:space="preserve"> </w:t>
      </w:r>
      <w:r w:rsidR="00E30109" w:rsidRPr="00350E58">
        <w:rPr>
          <w:rFonts w:ascii="Times" w:hAnsi="Times" w:cs="Times"/>
          <w:b/>
          <w:sz w:val="28"/>
          <w:lang w:val="fr-CA"/>
        </w:rPr>
        <w:t xml:space="preserve">(page 24 et 25 </w:t>
      </w:r>
      <w:r w:rsidRPr="00350E58">
        <w:rPr>
          <w:rFonts w:ascii="Times" w:hAnsi="Times" w:cs="Times"/>
          <w:b/>
          <w:sz w:val="28"/>
          <w:lang w:val="fr-CA"/>
        </w:rPr>
        <w:t xml:space="preserve"> et les politiques de gestion des ressources humaines</w:t>
      </w:r>
    </w:p>
    <w:p w14:paraId="1B76A960" w14:textId="77777777" w:rsidR="00807EEC" w:rsidRPr="00350E58" w:rsidRDefault="00734935">
      <w:pPr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highlight w:val="yellow"/>
          <w:lang w:val="fr-CA"/>
        </w:rPr>
        <w:t>Chapitre 2</w:t>
      </w:r>
      <w:r w:rsidR="007060C4" w:rsidRPr="00350E58">
        <w:rPr>
          <w:rFonts w:ascii="Times" w:hAnsi="Times" w:cs="Times"/>
          <w:b/>
          <w:sz w:val="28"/>
          <w:lang w:val="fr-CA"/>
        </w:rPr>
        <w:t> :</w:t>
      </w:r>
    </w:p>
    <w:p w14:paraId="324C9521" w14:textId="77777777" w:rsidR="00807EEC" w:rsidRPr="00350E58" w:rsidRDefault="00734935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ab/>
        <w:t>•</w:t>
      </w:r>
      <w:r w:rsidRPr="00350E58">
        <w:rPr>
          <w:rFonts w:ascii="Times" w:hAnsi="Times" w:cs="Times"/>
          <w:b/>
          <w:sz w:val="28"/>
          <w:lang w:val="fr-CA"/>
        </w:rPr>
        <w:tab/>
        <w:t>2.1 : La planification des ressources humaines comme vecteur d’adaptation</w:t>
      </w:r>
      <w:r w:rsidR="007060C4" w:rsidRPr="00350E58">
        <w:rPr>
          <w:rFonts w:ascii="Times" w:hAnsi="Times" w:cs="Times"/>
          <w:b/>
          <w:sz w:val="28"/>
          <w:lang w:val="fr-CA"/>
        </w:rPr>
        <w:t>;</w:t>
      </w:r>
      <w:r w:rsidR="006B290C" w:rsidRPr="00350E58">
        <w:rPr>
          <w:rFonts w:ascii="Times" w:hAnsi="Times" w:cs="Times"/>
          <w:b/>
          <w:sz w:val="28"/>
          <w:lang w:val="fr-CA"/>
        </w:rPr>
        <w:t xml:space="preserve"> La guerre des talents; p. 54 et les pages 55, 56 et le haut de la page 57 </w:t>
      </w:r>
    </w:p>
    <w:p w14:paraId="3F01D0E1" w14:textId="77777777" w:rsidR="006B290C" w:rsidRPr="00350E58" w:rsidRDefault="006B290C">
      <w:pPr>
        <w:ind w:left="720"/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>Les solutions aux pénuries de RH p. 67 aux pages76</w:t>
      </w:r>
      <w:r w:rsidR="007060C4" w:rsidRPr="00350E58">
        <w:rPr>
          <w:rFonts w:ascii="Times" w:hAnsi="Times" w:cs="Times"/>
          <w:b/>
          <w:sz w:val="28"/>
          <w:lang w:val="fr-CA"/>
        </w:rPr>
        <w:t xml:space="preserve"> (quantitatives et qualitatives)</w:t>
      </w:r>
    </w:p>
    <w:p w14:paraId="43B722ED" w14:textId="77777777" w:rsidR="00807EEC" w:rsidRPr="00350E58" w:rsidRDefault="00734935">
      <w:pPr>
        <w:ind w:left="720"/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ab/>
      </w:r>
    </w:p>
    <w:p w14:paraId="63C3BA1C" w14:textId="77777777" w:rsidR="00807EEC" w:rsidRPr="00350E58" w:rsidRDefault="00734935">
      <w:pPr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highlight w:val="yellow"/>
          <w:lang w:val="fr-CA"/>
        </w:rPr>
        <w:t>Chapitre 3</w:t>
      </w:r>
      <w:r w:rsidR="00C94CBA" w:rsidRPr="00350E58">
        <w:rPr>
          <w:rFonts w:ascii="Times" w:hAnsi="Times" w:cs="Times"/>
          <w:b/>
          <w:sz w:val="28"/>
          <w:lang w:val="fr-CA"/>
        </w:rPr>
        <w:t xml:space="preserve"> : Organiser le travail et gérer le changement </w:t>
      </w:r>
    </w:p>
    <w:p w14:paraId="66C7A01B" w14:textId="77777777" w:rsidR="00807EEC" w:rsidRPr="00350E58" w:rsidRDefault="00734935">
      <w:pPr>
        <w:ind w:left="720"/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ab/>
        <w:t>•</w:t>
      </w:r>
      <w:r w:rsidRPr="00350E58">
        <w:rPr>
          <w:rFonts w:ascii="Times" w:hAnsi="Times" w:cs="Times"/>
          <w:b/>
          <w:sz w:val="28"/>
          <w:lang w:val="fr-CA"/>
        </w:rPr>
        <w:tab/>
        <w:t>3.1 : Les modes d’organisation du travail</w:t>
      </w:r>
      <w:r w:rsidR="006B290C" w:rsidRPr="00350E58">
        <w:rPr>
          <w:rFonts w:ascii="Times" w:hAnsi="Times" w:cs="Times"/>
          <w:b/>
          <w:sz w:val="28"/>
          <w:lang w:val="fr-CA"/>
        </w:rPr>
        <w:t xml:space="preserve"> p. 89 à 91; p. 100-106</w:t>
      </w:r>
    </w:p>
    <w:p w14:paraId="13562725" w14:textId="77777777" w:rsidR="00807EEC" w:rsidRPr="00350E58" w:rsidRDefault="00734935">
      <w:pPr>
        <w:ind w:left="720"/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ab/>
        <w:t>•</w:t>
      </w:r>
      <w:r w:rsidRPr="00350E58">
        <w:rPr>
          <w:rFonts w:ascii="Times" w:hAnsi="Times" w:cs="Times"/>
          <w:b/>
          <w:sz w:val="28"/>
          <w:lang w:val="fr-CA"/>
        </w:rPr>
        <w:tab/>
        <w:t>3.4 : Gérer le changement</w:t>
      </w:r>
      <w:r w:rsidR="006B290C" w:rsidRPr="00350E58">
        <w:rPr>
          <w:rFonts w:ascii="Times" w:hAnsi="Times" w:cs="Times"/>
          <w:b/>
          <w:sz w:val="28"/>
          <w:lang w:val="fr-CA"/>
        </w:rPr>
        <w:t xml:space="preserve"> p. 108 à 113</w:t>
      </w:r>
    </w:p>
    <w:p w14:paraId="6B28692A" w14:textId="77777777" w:rsidR="00807EEC" w:rsidRPr="00350E58" w:rsidRDefault="00734935">
      <w:pPr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highlight w:val="yellow"/>
          <w:lang w:val="fr-CA"/>
        </w:rPr>
        <w:t>Chapitre 4</w:t>
      </w:r>
      <w:r w:rsidRPr="00350E58">
        <w:rPr>
          <w:rFonts w:ascii="Times" w:hAnsi="Times" w:cs="Times"/>
          <w:b/>
          <w:sz w:val="28"/>
          <w:lang w:val="fr-CA"/>
        </w:rPr>
        <w:t> </w:t>
      </w:r>
      <w:r w:rsidR="004B4FF7" w:rsidRPr="00350E58">
        <w:rPr>
          <w:rFonts w:ascii="Times" w:hAnsi="Times" w:cs="Times"/>
          <w:b/>
          <w:sz w:val="28"/>
          <w:lang w:val="fr-CA"/>
        </w:rPr>
        <w:t>Le recrutement p. 123- 126</w:t>
      </w:r>
      <w:r w:rsidR="00F52D91" w:rsidRPr="00350E58">
        <w:rPr>
          <w:rFonts w:ascii="Times" w:hAnsi="Times" w:cs="Times"/>
          <w:b/>
          <w:sz w:val="28"/>
          <w:lang w:val="fr-CA"/>
        </w:rPr>
        <w:t>; 135-136</w:t>
      </w:r>
    </w:p>
    <w:p w14:paraId="08576F57" w14:textId="77777777" w:rsidR="004B4FF7" w:rsidRPr="00350E58" w:rsidRDefault="004B4FF7" w:rsidP="00350E58">
      <w:pPr>
        <w:tabs>
          <w:tab w:val="left" w:pos="0"/>
        </w:tabs>
        <w:ind w:left="-284"/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 xml:space="preserve">               </w:t>
      </w:r>
    </w:p>
    <w:p w14:paraId="1D57127B" w14:textId="77777777" w:rsidR="00807EEC" w:rsidRPr="00350E58" w:rsidRDefault="00734935">
      <w:pPr>
        <w:ind w:left="720"/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ab/>
        <w:t>•</w:t>
      </w:r>
      <w:r w:rsidRPr="00350E58">
        <w:rPr>
          <w:rFonts w:ascii="Times" w:hAnsi="Times" w:cs="Times"/>
          <w:b/>
          <w:sz w:val="28"/>
          <w:lang w:val="fr-CA"/>
        </w:rPr>
        <w:tab/>
        <w:t>4.2 : la détermination des critères de sélection</w:t>
      </w:r>
      <w:r w:rsidR="00F52D91" w:rsidRPr="00350E58">
        <w:rPr>
          <w:rFonts w:ascii="Times" w:hAnsi="Times" w:cs="Times"/>
          <w:b/>
          <w:sz w:val="28"/>
          <w:lang w:val="fr-CA"/>
        </w:rPr>
        <w:t xml:space="preserve"> p. 128-129</w:t>
      </w:r>
    </w:p>
    <w:p w14:paraId="306CC32A" w14:textId="77777777" w:rsidR="00807EEC" w:rsidRPr="00350E58" w:rsidRDefault="00734935">
      <w:pPr>
        <w:ind w:left="720"/>
        <w:rPr>
          <w:sz w:val="1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ab/>
        <w:t>•</w:t>
      </w:r>
      <w:r w:rsidRPr="00350E58">
        <w:rPr>
          <w:rFonts w:ascii="Times" w:hAnsi="Times" w:cs="Times"/>
          <w:b/>
          <w:sz w:val="28"/>
          <w:lang w:val="fr-CA"/>
        </w:rPr>
        <w:tab/>
        <w:t>4 .3: La sélection</w:t>
      </w:r>
      <w:r w:rsidR="007060C4" w:rsidRPr="00350E58">
        <w:rPr>
          <w:rFonts w:ascii="Times" w:hAnsi="Times" w:cs="Times"/>
          <w:b/>
          <w:sz w:val="28"/>
          <w:lang w:val="fr-CA"/>
        </w:rPr>
        <w:t>, l</w:t>
      </w:r>
      <w:r w:rsidR="00F52D91" w:rsidRPr="00350E58">
        <w:rPr>
          <w:rFonts w:ascii="Times" w:hAnsi="Times" w:cs="Times"/>
          <w:b/>
          <w:sz w:val="28"/>
          <w:lang w:val="fr-CA"/>
        </w:rPr>
        <w:t>’entrevue p.144</w:t>
      </w:r>
    </w:p>
    <w:p w14:paraId="5787EADD" w14:textId="77777777" w:rsidR="00807EEC" w:rsidRPr="00350E58" w:rsidRDefault="00734935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ab/>
        <w:t>•</w:t>
      </w:r>
      <w:r w:rsidRPr="00350E58">
        <w:rPr>
          <w:rFonts w:ascii="Times" w:hAnsi="Times" w:cs="Times"/>
          <w:b/>
          <w:sz w:val="28"/>
          <w:lang w:val="fr-CA"/>
        </w:rPr>
        <w:tab/>
        <w:t>4.5 : L’accueil</w:t>
      </w:r>
      <w:r w:rsidR="00F52D91" w:rsidRPr="00350E58">
        <w:rPr>
          <w:rFonts w:ascii="Times" w:hAnsi="Times" w:cs="Times"/>
          <w:b/>
          <w:sz w:val="28"/>
          <w:lang w:val="fr-CA"/>
        </w:rPr>
        <w:t>; p. 152</w:t>
      </w:r>
    </w:p>
    <w:p w14:paraId="1449FA80" w14:textId="77777777" w:rsidR="00F52D91" w:rsidRPr="00350E58" w:rsidRDefault="00F52D91" w:rsidP="00350E58">
      <w:pPr>
        <w:ind w:left="142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highlight w:val="yellow"/>
          <w:lang w:val="fr-CA"/>
        </w:rPr>
        <w:t>Chapitre 5</w:t>
      </w:r>
      <w:r w:rsidRPr="00350E58">
        <w:rPr>
          <w:rFonts w:ascii="Times" w:hAnsi="Times" w:cs="Times"/>
          <w:b/>
          <w:sz w:val="28"/>
          <w:lang w:val="fr-CA"/>
        </w:rPr>
        <w:t> : La formation et le développement</w:t>
      </w:r>
    </w:p>
    <w:p w14:paraId="751BCEA6" w14:textId="77777777" w:rsidR="00F52D91" w:rsidRPr="00350E58" w:rsidRDefault="00F52D91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lastRenderedPageBreak/>
        <w:t>Le diagnostic;p.168-172</w:t>
      </w:r>
    </w:p>
    <w:p w14:paraId="46D3A174" w14:textId="77777777" w:rsidR="00F52D91" w:rsidRPr="00350E58" w:rsidRDefault="00F52D91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>Le coaching et le mentorat p. 178</w:t>
      </w:r>
    </w:p>
    <w:p w14:paraId="3FE5AF64" w14:textId="77777777" w:rsidR="00F52D91" w:rsidRPr="00350E58" w:rsidRDefault="00F52D91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>Les communautés de pratique p. 179</w:t>
      </w:r>
    </w:p>
    <w:p w14:paraId="69865768" w14:textId="77777777" w:rsidR="00F52D91" w:rsidRPr="00350E58" w:rsidRDefault="00F52D91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highlight w:val="yellow"/>
          <w:lang w:val="fr-CA"/>
        </w:rPr>
        <w:t>Chapitre 6</w:t>
      </w:r>
      <w:r w:rsidRPr="00350E58">
        <w:rPr>
          <w:rFonts w:ascii="Times" w:hAnsi="Times" w:cs="Times"/>
          <w:b/>
          <w:sz w:val="28"/>
          <w:lang w:val="fr-CA"/>
        </w:rPr>
        <w:t>; Gérer la performance, les formulaires p. 202-205;</w:t>
      </w:r>
      <w:r w:rsidR="007060C4" w:rsidRPr="00350E58">
        <w:rPr>
          <w:rFonts w:ascii="Times" w:hAnsi="Times" w:cs="Times"/>
          <w:b/>
          <w:sz w:val="28"/>
          <w:lang w:val="fr-CA"/>
        </w:rPr>
        <w:t xml:space="preserve">La prise en compte des erreurs pp. 213 et suivantes; </w:t>
      </w:r>
      <w:r w:rsidRPr="00350E58">
        <w:rPr>
          <w:rFonts w:ascii="Times" w:hAnsi="Times" w:cs="Times"/>
          <w:b/>
          <w:sz w:val="28"/>
          <w:lang w:val="fr-CA"/>
        </w:rPr>
        <w:t xml:space="preserve"> les interventions p.220; 224 -225</w:t>
      </w:r>
    </w:p>
    <w:p w14:paraId="61D426F1" w14:textId="77777777" w:rsidR="00F52D91" w:rsidRPr="00350E58" w:rsidRDefault="00F52D91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highlight w:val="yellow"/>
          <w:lang w:val="fr-CA"/>
        </w:rPr>
        <w:t>Chapitre 7</w:t>
      </w:r>
      <w:r w:rsidRPr="00350E58">
        <w:rPr>
          <w:rFonts w:ascii="Times" w:hAnsi="Times" w:cs="Times"/>
          <w:b/>
          <w:sz w:val="28"/>
          <w:lang w:val="fr-CA"/>
        </w:rPr>
        <w:t xml:space="preserve"> La gestion de carrières : </w:t>
      </w:r>
      <w:r w:rsidR="00A94ED6" w:rsidRPr="00350E58">
        <w:rPr>
          <w:rFonts w:ascii="Times" w:hAnsi="Times" w:cs="Times"/>
          <w:b/>
          <w:sz w:val="28"/>
          <w:lang w:val="fr-CA"/>
        </w:rPr>
        <w:t>Schein et Holland p. 242-243</w:t>
      </w:r>
    </w:p>
    <w:p w14:paraId="22E6D68D" w14:textId="77777777" w:rsidR="00A94ED6" w:rsidRPr="00350E58" w:rsidRDefault="00A94ED6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highlight w:val="yellow"/>
          <w:lang w:val="fr-CA"/>
        </w:rPr>
        <w:t>Chapitre 8</w:t>
      </w:r>
      <w:r w:rsidRPr="00350E58">
        <w:rPr>
          <w:rFonts w:ascii="Times" w:hAnsi="Times" w:cs="Times"/>
          <w:b/>
          <w:sz w:val="28"/>
          <w:lang w:val="fr-CA"/>
        </w:rPr>
        <w:t xml:space="preserve"> La rémunération :</w:t>
      </w:r>
      <w:r w:rsidR="007060C4" w:rsidRPr="00350E58">
        <w:rPr>
          <w:rFonts w:ascii="Times" w:hAnsi="Times" w:cs="Times"/>
          <w:b/>
          <w:sz w:val="28"/>
          <w:lang w:val="fr-CA"/>
        </w:rPr>
        <w:t xml:space="preserve"> </w:t>
      </w:r>
      <w:r w:rsidRPr="00350E58">
        <w:rPr>
          <w:rFonts w:ascii="Times" w:hAnsi="Times" w:cs="Times"/>
          <w:b/>
          <w:sz w:val="28"/>
          <w:lang w:val="fr-CA"/>
        </w:rPr>
        <w:t>Principes et les sortes d’équités  pp, 266-272</w:t>
      </w:r>
    </w:p>
    <w:p w14:paraId="0CC1A163" w14:textId="77777777" w:rsidR="00A94ED6" w:rsidRPr="00350E58" w:rsidRDefault="00A94ED6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highlight w:val="yellow"/>
          <w:lang w:val="fr-CA"/>
        </w:rPr>
        <w:t>Chapitre 9;</w:t>
      </w:r>
      <w:r w:rsidRPr="00350E58">
        <w:rPr>
          <w:rFonts w:ascii="Times" w:hAnsi="Times" w:cs="Times"/>
          <w:b/>
          <w:sz w:val="28"/>
          <w:lang w:val="fr-CA"/>
        </w:rPr>
        <w:t xml:space="preserve"> Relations de travail :</w:t>
      </w:r>
      <w:r w:rsidR="007060C4" w:rsidRPr="00350E58">
        <w:rPr>
          <w:rFonts w:ascii="Times" w:hAnsi="Times" w:cs="Times"/>
          <w:b/>
          <w:sz w:val="28"/>
          <w:lang w:val="fr-CA"/>
        </w:rPr>
        <w:t xml:space="preserve"> </w:t>
      </w:r>
      <w:r w:rsidRPr="00350E58">
        <w:rPr>
          <w:rFonts w:ascii="Times" w:hAnsi="Times" w:cs="Times"/>
          <w:b/>
          <w:sz w:val="28"/>
          <w:lang w:val="fr-CA"/>
        </w:rPr>
        <w:t>Le syndicat et son fonctionnement, pp, 307-314</w:t>
      </w:r>
    </w:p>
    <w:p w14:paraId="7B591559" w14:textId="77777777" w:rsidR="00A94ED6" w:rsidRPr="00350E58" w:rsidRDefault="00A94ED6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>La négociation collective p. 314-318</w:t>
      </w:r>
    </w:p>
    <w:p w14:paraId="2394F4FD" w14:textId="77777777" w:rsidR="00A94ED6" w:rsidRPr="00350E58" w:rsidRDefault="00A94ED6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>Les arrêts de travail p. 319</w:t>
      </w:r>
      <w:r w:rsidR="00956AB5" w:rsidRPr="00350E58">
        <w:rPr>
          <w:rFonts w:ascii="Times" w:hAnsi="Times" w:cs="Times"/>
          <w:b/>
          <w:sz w:val="28"/>
          <w:lang w:val="fr-CA"/>
        </w:rPr>
        <w:t>- 327</w:t>
      </w:r>
    </w:p>
    <w:p w14:paraId="248758EA" w14:textId="77777777" w:rsidR="00956AB5" w:rsidRPr="00350E58" w:rsidRDefault="00956AB5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>La résolution de conflits p. 330-334</w:t>
      </w:r>
    </w:p>
    <w:p w14:paraId="776ADC06" w14:textId="77777777" w:rsidR="00956AB5" w:rsidRPr="00350E58" w:rsidRDefault="00956AB5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highlight w:val="yellow"/>
          <w:lang w:val="fr-CA"/>
        </w:rPr>
        <w:t>Chapitre 10</w:t>
      </w:r>
      <w:r w:rsidRPr="00350E58">
        <w:rPr>
          <w:rFonts w:ascii="Times" w:hAnsi="Times" w:cs="Times"/>
          <w:b/>
          <w:sz w:val="28"/>
          <w:lang w:val="fr-CA"/>
        </w:rPr>
        <w:t xml:space="preserve"> Promouvoir la santé…</w:t>
      </w:r>
    </w:p>
    <w:p w14:paraId="5987DC45" w14:textId="77777777" w:rsidR="00D10620" w:rsidRPr="00350E58" w:rsidRDefault="00D10620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>Identification des risques p. 353-356</w:t>
      </w:r>
    </w:p>
    <w:p w14:paraId="4C1A3A47" w14:textId="77777777" w:rsidR="00D10620" w:rsidRPr="00350E58" w:rsidRDefault="00D10620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>Conciliation travail-famille</w:t>
      </w:r>
      <w:r w:rsidR="007060C4" w:rsidRPr="00350E58">
        <w:rPr>
          <w:rFonts w:ascii="Times" w:hAnsi="Times" w:cs="Times"/>
          <w:b/>
          <w:sz w:val="28"/>
          <w:lang w:val="fr-CA"/>
        </w:rPr>
        <w:t xml:space="preserve">  </w:t>
      </w:r>
      <w:r w:rsidRPr="00350E58">
        <w:rPr>
          <w:rFonts w:ascii="Times" w:hAnsi="Times" w:cs="Times"/>
          <w:b/>
          <w:sz w:val="28"/>
          <w:lang w:val="fr-CA"/>
        </w:rPr>
        <w:t>p. 361- 363</w:t>
      </w:r>
    </w:p>
    <w:p w14:paraId="253A8F42" w14:textId="77777777" w:rsidR="00D10620" w:rsidRPr="00350E58" w:rsidRDefault="00D10620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>PAE,</w:t>
      </w:r>
      <w:r w:rsidR="007060C4" w:rsidRPr="00350E58">
        <w:rPr>
          <w:rFonts w:ascii="Times" w:hAnsi="Times" w:cs="Times"/>
          <w:b/>
          <w:sz w:val="28"/>
          <w:lang w:val="fr-CA"/>
        </w:rPr>
        <w:t xml:space="preserve"> </w:t>
      </w:r>
      <w:r w:rsidRPr="00350E58">
        <w:rPr>
          <w:rFonts w:ascii="Times" w:hAnsi="Times" w:cs="Times"/>
          <w:b/>
          <w:sz w:val="28"/>
          <w:lang w:val="fr-CA"/>
        </w:rPr>
        <w:t>etc. p. 363-372</w:t>
      </w:r>
    </w:p>
    <w:p w14:paraId="5296AC2B" w14:textId="77777777" w:rsidR="00D10620" w:rsidRPr="00350E58" w:rsidRDefault="00D10620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highlight w:val="yellow"/>
          <w:lang w:val="fr-CA"/>
        </w:rPr>
        <w:t>Chapitre 11</w:t>
      </w:r>
      <w:r w:rsidRPr="00350E58">
        <w:rPr>
          <w:rFonts w:ascii="Times" w:hAnsi="Times" w:cs="Times"/>
          <w:b/>
          <w:sz w:val="28"/>
          <w:lang w:val="fr-CA"/>
        </w:rPr>
        <w:t xml:space="preserve"> Gestion de la diversité p, 386</w:t>
      </w:r>
    </w:p>
    <w:p w14:paraId="7957DB9D" w14:textId="77777777" w:rsidR="00D10620" w:rsidRPr="00350E58" w:rsidRDefault="00D10620">
      <w:pPr>
        <w:ind w:left="720"/>
        <w:rPr>
          <w:rFonts w:ascii="Times" w:hAnsi="Times" w:cs="Times"/>
          <w:b/>
          <w:sz w:val="28"/>
          <w:lang w:val="fr-CA"/>
        </w:rPr>
      </w:pPr>
      <w:r w:rsidRPr="00350E58">
        <w:rPr>
          <w:rFonts w:ascii="Times" w:hAnsi="Times" w:cs="Times"/>
          <w:b/>
          <w:sz w:val="28"/>
          <w:lang w:val="fr-CA"/>
        </w:rPr>
        <w:t xml:space="preserve">Obligation légale : p.387 </w:t>
      </w:r>
    </w:p>
    <w:p w14:paraId="3A9108C0" w14:textId="77777777" w:rsidR="00F52D91" w:rsidRPr="00F52D91" w:rsidRDefault="00F52D91">
      <w:pPr>
        <w:ind w:left="720"/>
        <w:rPr>
          <w:lang w:val="fr-CA"/>
        </w:rPr>
      </w:pPr>
    </w:p>
    <w:sectPr w:rsidR="00F52D91" w:rsidRPr="00F52D91" w:rsidSect="00350E58">
      <w:pgSz w:w="12240" w:h="15840"/>
      <w:pgMar w:top="568" w:right="616" w:bottom="144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EEC"/>
    <w:rsid w:val="00312D8F"/>
    <w:rsid w:val="00350E58"/>
    <w:rsid w:val="004B4FF7"/>
    <w:rsid w:val="006B290C"/>
    <w:rsid w:val="007060C4"/>
    <w:rsid w:val="00734935"/>
    <w:rsid w:val="00807EEC"/>
    <w:rsid w:val="00956AB5"/>
    <w:rsid w:val="00A94ED6"/>
    <w:rsid w:val="00C94CBA"/>
    <w:rsid w:val="00D10620"/>
    <w:rsid w:val="00E30109"/>
    <w:rsid w:val="00F5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E2D77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eta xmlns="http://schemas.apple.com/cocoa/2006/metadata">
  <generator>CocoaOOXMLWriter/1038.36</generator>
</meta>
</file>

<file path=customXml/itemProps1.xml><?xml version="1.0" encoding="utf-8"?>
<ds:datastoreItem xmlns:ds="http://schemas.openxmlformats.org/officeDocument/2006/customXml" ds:itemID="{2BBE078C-65A5-4FA7-83D1-D0014F8256FB}">
  <ds:schemaRefs>
    <ds:schemaRef ds:uri="http://schemas.apple.com/cocoa/2006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1853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Amina ziane</cp:lastModifiedBy>
  <cp:revision>2</cp:revision>
  <dcterms:created xsi:type="dcterms:W3CDTF">2015-08-07T15:39:00Z</dcterms:created>
  <dcterms:modified xsi:type="dcterms:W3CDTF">2015-08-07T15:39:00Z</dcterms:modified>
</cp:coreProperties>
</file>