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DDE" w:rsidRPr="00A31DDE" w:rsidRDefault="00A31DDE" w:rsidP="00A31DDE">
      <w:pPr>
        <w:spacing w:before="75" w:after="75" w:line="240" w:lineRule="auto"/>
        <w:outlineLvl w:val="2"/>
        <w:rPr>
          <w:rFonts w:ascii="Verdana" w:eastAsia="Times New Roman" w:hAnsi="Verdana" w:cs="Times New Roman"/>
          <w:b/>
          <w:bCs/>
          <w:color w:val="958616"/>
          <w:sz w:val="24"/>
          <w:szCs w:val="24"/>
        </w:rPr>
      </w:pPr>
      <w:r w:rsidRPr="00A31DDE">
        <w:rPr>
          <w:rFonts w:ascii="Verdana" w:eastAsia="Times New Roman" w:hAnsi="Verdana" w:cs="Times New Roman"/>
          <w:b/>
          <w:bCs/>
          <w:color w:val="958616"/>
          <w:sz w:val="24"/>
          <w:szCs w:val="24"/>
        </w:rPr>
        <w:t>The Market Environment</w:t>
      </w:r>
      <w:r w:rsidR="00E73DCA">
        <w:rPr>
          <w:rFonts w:ascii="Verdana" w:eastAsia="Times New Roman" w:hAnsi="Verdana" w:cs="Times New Roman"/>
          <w:b/>
          <w:bCs/>
          <w:color w:val="958616"/>
          <w:sz w:val="24"/>
          <w:szCs w:val="24"/>
        </w:rPr>
        <w:t xml:space="preserve"> (Lesson 3)</w:t>
      </w:r>
    </w:p>
    <w:p w:rsidR="00A31DDE" w:rsidRPr="00A31DDE" w:rsidRDefault="00A31DDE" w:rsidP="00A31DDE">
      <w:pPr>
        <w:spacing w:after="0" w:line="240" w:lineRule="auto"/>
        <w:rPr>
          <w:rFonts w:ascii="Verdana" w:eastAsia="Times New Roman" w:hAnsi="Verdana" w:cs="Times New Roman"/>
          <w:color w:val="393939"/>
          <w:sz w:val="18"/>
          <w:szCs w:val="18"/>
        </w:rPr>
      </w:pPr>
    </w:p>
    <w:p w:rsidR="00A31DDE" w:rsidRPr="00A31DDE" w:rsidRDefault="00A31DDE" w:rsidP="00A31DDE">
      <w:pPr>
        <w:shd w:val="clear" w:color="auto" w:fill="E9E3AE"/>
        <w:spacing w:before="75" w:after="75" w:line="240" w:lineRule="auto"/>
        <w:outlineLvl w:val="2"/>
        <w:rPr>
          <w:rFonts w:ascii="Verdana" w:eastAsia="Times New Roman" w:hAnsi="Verdana" w:cs="Times New Roman"/>
          <w:b/>
          <w:bCs/>
          <w:color w:val="958616"/>
          <w:sz w:val="24"/>
          <w:szCs w:val="24"/>
        </w:rPr>
      </w:pPr>
      <w:r w:rsidRPr="00A31DDE">
        <w:rPr>
          <w:rFonts w:ascii="Verdana" w:eastAsia="Times New Roman" w:hAnsi="Verdana" w:cs="Times New Roman"/>
          <w:b/>
          <w:bCs/>
          <w:color w:val="958616"/>
          <w:sz w:val="24"/>
          <w:szCs w:val="24"/>
        </w:rPr>
        <w:t>Definition</w:t>
      </w:r>
    </w:p>
    <w:p w:rsidR="00A31DDE" w:rsidRPr="00A31DDE" w:rsidRDefault="00A31DDE" w:rsidP="00A31DDE">
      <w:pPr>
        <w:shd w:val="clear" w:color="auto" w:fill="FFFFFF"/>
        <w:spacing w:after="0" w:line="240" w:lineRule="auto"/>
        <w:rPr>
          <w:rFonts w:ascii="Verdana" w:eastAsia="Times New Roman" w:hAnsi="Verdana" w:cs="Times New Roman"/>
          <w:color w:val="393939"/>
          <w:sz w:val="18"/>
          <w:szCs w:val="18"/>
        </w:rPr>
      </w:pPr>
    </w:p>
    <w:p w:rsidR="00A31DDE" w:rsidRPr="00A31DDE" w:rsidRDefault="00A31DDE" w:rsidP="00A31DDE">
      <w:pPr>
        <w:pStyle w:val="ListParagraph"/>
        <w:numPr>
          <w:ilvl w:val="0"/>
          <w:numId w:val="1"/>
        </w:numPr>
        <w:shd w:val="clear" w:color="auto" w:fill="FFFFFF"/>
        <w:spacing w:before="75" w:after="75" w:line="288"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 xml:space="preserve">The </w:t>
      </w:r>
      <w:r w:rsidRPr="00A31DDE">
        <w:rPr>
          <w:rFonts w:ascii="Verdana" w:eastAsia="Times New Roman" w:hAnsi="Verdana" w:cs="Times New Roman"/>
          <w:b/>
          <w:bCs/>
          <w:color w:val="393939"/>
          <w:sz w:val="18"/>
          <w:szCs w:val="18"/>
        </w:rPr>
        <w:t>market environment</w:t>
      </w:r>
      <w:r w:rsidRPr="00A31DDE">
        <w:rPr>
          <w:rFonts w:ascii="Verdana" w:eastAsia="Times New Roman" w:hAnsi="Verdana" w:cs="Times New Roman"/>
          <w:color w:val="393939"/>
          <w:sz w:val="18"/>
          <w:szCs w:val="18"/>
        </w:rPr>
        <w:t xml:space="preserve"> is one of four environments that need to be analyzed in order to assess the investment climate and market conditions. </w:t>
      </w:r>
    </w:p>
    <w:p w:rsidR="00A31DDE" w:rsidRDefault="00A31DDE" w:rsidP="00A31DDE">
      <w:pPr>
        <w:shd w:val="clear" w:color="auto" w:fill="FFFFFF"/>
        <w:spacing w:before="75" w:after="75" w:line="288" w:lineRule="auto"/>
        <w:rPr>
          <w:rFonts w:ascii="Verdana" w:eastAsia="Times New Roman" w:hAnsi="Verdana" w:cs="Times New Roman"/>
          <w:color w:val="393939"/>
          <w:sz w:val="18"/>
          <w:szCs w:val="18"/>
        </w:rPr>
      </w:pPr>
    </w:p>
    <w:p w:rsidR="00A31DDE" w:rsidRPr="00A31DDE" w:rsidRDefault="00A31DDE" w:rsidP="00A31DDE">
      <w:pPr>
        <w:pStyle w:val="ListParagraph"/>
        <w:numPr>
          <w:ilvl w:val="0"/>
          <w:numId w:val="1"/>
        </w:numPr>
        <w:shd w:val="clear" w:color="auto" w:fill="FFFFFF"/>
        <w:spacing w:before="75" w:after="75" w:line="288"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Information about the market environment can be costly to obtain.</w:t>
      </w:r>
    </w:p>
    <w:p w:rsidR="006A016E" w:rsidRDefault="006A016E"/>
    <w:p w:rsidR="00A31DDE" w:rsidRPr="00A31DDE" w:rsidRDefault="00A31DDE" w:rsidP="00A31DDE">
      <w:pPr>
        <w:spacing w:before="75" w:after="75" w:line="240" w:lineRule="auto"/>
        <w:outlineLvl w:val="2"/>
        <w:rPr>
          <w:rFonts w:ascii="Verdana" w:eastAsia="Times New Roman" w:hAnsi="Verdana" w:cs="Times New Roman"/>
          <w:b/>
          <w:bCs/>
          <w:color w:val="958616"/>
          <w:sz w:val="24"/>
          <w:szCs w:val="24"/>
        </w:rPr>
      </w:pPr>
      <w:r w:rsidRPr="00A31DDE">
        <w:rPr>
          <w:rFonts w:ascii="Verdana" w:eastAsia="Times New Roman" w:hAnsi="Verdana" w:cs="Times New Roman"/>
          <w:b/>
          <w:bCs/>
          <w:color w:val="958616"/>
          <w:sz w:val="24"/>
          <w:szCs w:val="24"/>
        </w:rPr>
        <w:t xml:space="preserve">Companies and Real Estate </w:t>
      </w:r>
    </w:p>
    <w:p w:rsidR="00A31DDE" w:rsidRDefault="00A31DDE" w:rsidP="00A31DDE">
      <w:pPr>
        <w:spacing w:before="75" w:after="75" w:line="288"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u w:val="single"/>
        </w:rPr>
        <w:t>Companies own real estate for the following reasons</w:t>
      </w:r>
      <w:r w:rsidRPr="00A31DDE">
        <w:rPr>
          <w:rFonts w:ascii="Verdana" w:eastAsia="Times New Roman" w:hAnsi="Verdana" w:cs="Times New Roman"/>
          <w:color w:val="393939"/>
          <w:sz w:val="18"/>
          <w:szCs w:val="18"/>
        </w:rPr>
        <w:t>:</w:t>
      </w:r>
    </w:p>
    <w:p w:rsidR="00A31DDE" w:rsidRPr="00A31DDE" w:rsidRDefault="00A31DDE" w:rsidP="00A31DDE">
      <w:pPr>
        <w:spacing w:before="75" w:after="75" w:line="288" w:lineRule="auto"/>
        <w:rPr>
          <w:rFonts w:ascii="Verdana" w:eastAsia="Times New Roman" w:hAnsi="Verdana" w:cs="Times New Roman"/>
          <w:color w:val="393939"/>
          <w:sz w:val="18"/>
          <w:szCs w:val="18"/>
        </w:rPr>
      </w:pPr>
    </w:p>
    <w:p w:rsidR="00A31DDE" w:rsidRPr="00A31DDE" w:rsidRDefault="00A31DDE" w:rsidP="00A31DDE">
      <w:pPr>
        <w:spacing w:before="75" w:after="75" w:line="240" w:lineRule="auto"/>
        <w:outlineLvl w:val="3"/>
        <w:rPr>
          <w:rFonts w:ascii="Verdana" w:eastAsia="Times New Roman" w:hAnsi="Verdana" w:cs="Times New Roman"/>
          <w:b/>
          <w:bCs/>
          <w:color w:val="000000"/>
          <w:sz w:val="20"/>
          <w:szCs w:val="20"/>
        </w:rPr>
      </w:pPr>
      <w:r w:rsidRPr="00A31DDE">
        <w:rPr>
          <w:rFonts w:ascii="Verdana" w:eastAsia="Times New Roman" w:hAnsi="Verdana" w:cs="Times New Roman"/>
          <w:b/>
          <w:bCs/>
          <w:color w:val="000000"/>
          <w:sz w:val="20"/>
          <w:szCs w:val="20"/>
        </w:rPr>
        <w:t xml:space="preserve">Stocks and Bonds </w:t>
      </w:r>
    </w:p>
    <w:p w:rsidR="00A31DDE" w:rsidRPr="00A31DDE" w:rsidRDefault="00A31DDE" w:rsidP="00A31DDE">
      <w:pPr>
        <w:numPr>
          <w:ilvl w:val="0"/>
          <w:numId w:val="2"/>
        </w:numPr>
        <w:spacing w:before="120" w:after="240" w:line="240" w:lineRule="auto"/>
        <w:ind w:left="300"/>
        <w:rPr>
          <w:rFonts w:ascii="Verdana" w:eastAsia="Times New Roman" w:hAnsi="Verdana" w:cs="Times New Roman"/>
          <w:sz w:val="18"/>
          <w:szCs w:val="18"/>
        </w:rPr>
      </w:pPr>
      <w:r w:rsidRPr="00A31DDE">
        <w:rPr>
          <w:rFonts w:ascii="Verdana" w:eastAsia="Times New Roman" w:hAnsi="Verdana" w:cs="Times New Roman"/>
          <w:color w:val="393939"/>
          <w:sz w:val="18"/>
          <w:szCs w:val="18"/>
        </w:rPr>
        <w:t>There are</w:t>
      </w:r>
      <w:r w:rsidRPr="00A31DDE">
        <w:rPr>
          <w:rFonts w:ascii="Verdana" w:eastAsia="Times New Roman" w:hAnsi="Verdana" w:cs="Times New Roman"/>
          <w:sz w:val="18"/>
          <w:szCs w:val="18"/>
        </w:rPr>
        <w:t xml:space="preserve"> a limited number of stocks and bonds</w:t>
      </w:r>
    </w:p>
    <w:p w:rsidR="00A31DDE" w:rsidRPr="00A31DDE" w:rsidRDefault="00A31DDE" w:rsidP="00A31DDE">
      <w:pPr>
        <w:numPr>
          <w:ilvl w:val="0"/>
          <w:numId w:val="2"/>
        </w:numPr>
        <w:spacing w:before="120" w:after="240" w:line="240" w:lineRule="auto"/>
        <w:ind w:left="300"/>
        <w:rPr>
          <w:rFonts w:ascii="Verdana" w:eastAsia="Times New Roman" w:hAnsi="Verdana" w:cs="Times New Roman"/>
          <w:sz w:val="18"/>
          <w:szCs w:val="18"/>
        </w:rPr>
      </w:pPr>
      <w:r w:rsidRPr="00A31DDE">
        <w:rPr>
          <w:rFonts w:ascii="Verdana" w:eastAsia="Times New Roman" w:hAnsi="Verdana" w:cs="Times New Roman"/>
          <w:sz w:val="18"/>
          <w:szCs w:val="18"/>
        </w:rPr>
        <w:t>Studies show that real estate outperforms stocks and bonds</w:t>
      </w:r>
    </w:p>
    <w:p w:rsidR="00A31DDE" w:rsidRPr="00A31DDE" w:rsidRDefault="00A31DDE" w:rsidP="00A31DDE">
      <w:pPr>
        <w:numPr>
          <w:ilvl w:val="0"/>
          <w:numId w:val="2"/>
        </w:numPr>
        <w:spacing w:before="120" w:after="240" w:line="240" w:lineRule="auto"/>
        <w:ind w:left="300"/>
        <w:rPr>
          <w:rFonts w:ascii="Verdana" w:eastAsia="Times New Roman" w:hAnsi="Verdana" w:cs="Times New Roman"/>
          <w:sz w:val="18"/>
          <w:szCs w:val="18"/>
        </w:rPr>
      </w:pPr>
      <w:r w:rsidRPr="00A31DDE">
        <w:rPr>
          <w:rFonts w:ascii="Verdana" w:eastAsia="Times New Roman" w:hAnsi="Verdana" w:cs="Times New Roman"/>
          <w:sz w:val="18"/>
          <w:szCs w:val="18"/>
        </w:rPr>
        <w:t>Studies show that real estate offers higher returns with no increase in risk compared with other investments</w:t>
      </w:r>
    </w:p>
    <w:p w:rsidR="00A31DDE" w:rsidRPr="00A31DDE" w:rsidRDefault="00A31DDE" w:rsidP="00A31DDE">
      <w:pPr>
        <w:numPr>
          <w:ilvl w:val="0"/>
          <w:numId w:val="2"/>
        </w:numPr>
        <w:spacing w:before="120" w:after="240" w:line="240" w:lineRule="auto"/>
        <w:ind w:left="300"/>
        <w:rPr>
          <w:rFonts w:ascii="Verdana" w:eastAsia="Times New Roman" w:hAnsi="Verdana" w:cs="Times New Roman"/>
          <w:sz w:val="18"/>
          <w:szCs w:val="18"/>
        </w:rPr>
      </w:pPr>
      <w:r w:rsidRPr="00A31DDE">
        <w:rPr>
          <w:rFonts w:ascii="Verdana" w:eastAsia="Times New Roman" w:hAnsi="Verdana" w:cs="Times New Roman"/>
          <w:sz w:val="18"/>
          <w:szCs w:val="18"/>
        </w:rPr>
        <w:t>Real estate provides higher overall returns with lower variance if one does not require a high level of liquidity</w:t>
      </w:r>
    </w:p>
    <w:p w:rsidR="00A31DDE" w:rsidRPr="00A31DDE" w:rsidRDefault="00A31DDE" w:rsidP="00A31DDE">
      <w:pPr>
        <w:spacing w:before="75" w:after="75" w:line="240" w:lineRule="auto"/>
        <w:outlineLvl w:val="3"/>
        <w:rPr>
          <w:rFonts w:ascii="Verdana" w:eastAsia="Times New Roman" w:hAnsi="Verdana" w:cs="Times New Roman"/>
          <w:b/>
          <w:bCs/>
          <w:sz w:val="20"/>
          <w:szCs w:val="20"/>
        </w:rPr>
      </w:pPr>
      <w:r w:rsidRPr="00A31DDE">
        <w:rPr>
          <w:rFonts w:ascii="Verdana" w:eastAsia="Times New Roman" w:hAnsi="Verdana" w:cs="Times New Roman"/>
          <w:b/>
          <w:bCs/>
          <w:sz w:val="20"/>
          <w:szCs w:val="20"/>
        </w:rPr>
        <w:t xml:space="preserve">The Morguard Index of the Toronto Stock Exchange </w:t>
      </w:r>
    </w:p>
    <w:p w:rsidR="00A31DDE" w:rsidRPr="00A31DDE" w:rsidRDefault="00A31DDE" w:rsidP="00A31DDE">
      <w:pPr>
        <w:numPr>
          <w:ilvl w:val="0"/>
          <w:numId w:val="3"/>
        </w:numPr>
        <w:spacing w:before="120" w:after="240" w:line="240" w:lineRule="auto"/>
        <w:ind w:left="300"/>
        <w:rPr>
          <w:rFonts w:ascii="Verdana" w:eastAsia="Times New Roman" w:hAnsi="Verdana" w:cs="Times New Roman"/>
          <w:sz w:val="18"/>
          <w:szCs w:val="18"/>
        </w:rPr>
      </w:pPr>
      <w:r w:rsidRPr="00A31DDE">
        <w:rPr>
          <w:rFonts w:ascii="Verdana" w:eastAsia="Times New Roman" w:hAnsi="Verdana" w:cs="Times New Roman"/>
          <w:sz w:val="18"/>
          <w:szCs w:val="18"/>
        </w:rPr>
        <w:t>The Morguard Index of the Toronto Stock Exchange (TSX) indicates high returns and low risk</w:t>
      </w:r>
    </w:p>
    <w:p w:rsidR="00A31DDE" w:rsidRPr="00A31DDE" w:rsidRDefault="00A31DDE" w:rsidP="00A31DDE">
      <w:pPr>
        <w:numPr>
          <w:ilvl w:val="0"/>
          <w:numId w:val="3"/>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sz w:val="18"/>
          <w:szCs w:val="18"/>
        </w:rPr>
        <w:t xml:space="preserve">The Morguard Index uses proxy data (appraisal values) </w:t>
      </w:r>
      <w:r w:rsidRPr="00A31DDE">
        <w:rPr>
          <w:rFonts w:ascii="Verdana" w:eastAsia="Times New Roman" w:hAnsi="Verdana" w:cs="Times New Roman"/>
          <w:color w:val="393939"/>
          <w:sz w:val="18"/>
          <w:szCs w:val="18"/>
        </w:rPr>
        <w:t>which can cause inaccuracies because it fluctuates with market conditions</w:t>
      </w:r>
    </w:p>
    <w:p w:rsidR="00A31DDE" w:rsidRPr="00A31DDE" w:rsidRDefault="00A31DDE" w:rsidP="00A31DDE">
      <w:pPr>
        <w:numPr>
          <w:ilvl w:val="0"/>
          <w:numId w:val="3"/>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The Morguard Index uses quarterly appraisal values to determine returns</w:t>
      </w:r>
    </w:p>
    <w:p w:rsidR="00A31DDE" w:rsidRPr="00A31DDE" w:rsidRDefault="00A31DDE" w:rsidP="00A31DDE">
      <w:pPr>
        <w:numPr>
          <w:ilvl w:val="0"/>
          <w:numId w:val="3"/>
        </w:numPr>
        <w:spacing w:before="120" w:after="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Studies on the Morguard Index show annual data, making it difficult to analyze the data</w:t>
      </w:r>
    </w:p>
    <w:p w:rsidR="00A31DDE" w:rsidRPr="00A31DDE" w:rsidRDefault="00A31DDE" w:rsidP="00A31DDE">
      <w:pPr>
        <w:spacing w:before="75" w:after="75" w:line="240" w:lineRule="auto"/>
        <w:outlineLvl w:val="3"/>
        <w:rPr>
          <w:rFonts w:ascii="Verdana" w:eastAsia="Times New Roman" w:hAnsi="Verdana" w:cs="Times New Roman"/>
          <w:b/>
          <w:bCs/>
          <w:color w:val="000000"/>
          <w:sz w:val="20"/>
          <w:szCs w:val="20"/>
        </w:rPr>
      </w:pPr>
      <w:r w:rsidRPr="00A31DDE">
        <w:rPr>
          <w:rFonts w:ascii="Verdana" w:eastAsia="Times New Roman" w:hAnsi="Verdana" w:cs="Times New Roman"/>
          <w:b/>
          <w:bCs/>
          <w:color w:val="000000"/>
          <w:sz w:val="20"/>
          <w:szCs w:val="20"/>
        </w:rPr>
        <w:br/>
        <w:t xml:space="preserve">Appraisal Values and Actual Values </w:t>
      </w:r>
    </w:p>
    <w:p w:rsidR="00A31DDE" w:rsidRPr="00A31DDE" w:rsidRDefault="00A31DDE" w:rsidP="00A31DDE">
      <w:pPr>
        <w:numPr>
          <w:ilvl w:val="0"/>
          <w:numId w:val="4"/>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Studies do not determine the relationship between appraisal values and actual values</w:t>
      </w:r>
    </w:p>
    <w:p w:rsidR="00A31DDE" w:rsidRPr="00A31DDE" w:rsidRDefault="00A31DDE" w:rsidP="00A31DDE">
      <w:pPr>
        <w:numPr>
          <w:ilvl w:val="0"/>
          <w:numId w:val="4"/>
        </w:numPr>
        <w:spacing w:before="120" w:after="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If appraisal values are understated or overstated, they will cause errors in returns</w:t>
      </w:r>
    </w:p>
    <w:p w:rsidR="00A31DDE" w:rsidRDefault="00A31DDE"/>
    <w:p w:rsidR="00A31DDE" w:rsidRDefault="00A31DDE" w:rsidP="00A31DDE">
      <w:pPr>
        <w:spacing w:before="75" w:after="75" w:line="240" w:lineRule="auto"/>
        <w:outlineLvl w:val="3"/>
        <w:rPr>
          <w:rFonts w:ascii="Verdana" w:eastAsia="Times New Roman" w:hAnsi="Verdana" w:cs="Times New Roman"/>
          <w:b/>
          <w:bCs/>
          <w:color w:val="958616"/>
          <w:sz w:val="24"/>
          <w:szCs w:val="24"/>
        </w:rPr>
      </w:pPr>
    </w:p>
    <w:p w:rsidR="00A31DDE" w:rsidRPr="00A31DDE" w:rsidRDefault="00A31DDE" w:rsidP="00A31DDE">
      <w:pPr>
        <w:spacing w:before="75" w:after="75" w:line="240" w:lineRule="auto"/>
        <w:outlineLvl w:val="3"/>
        <w:rPr>
          <w:rFonts w:ascii="Verdana" w:eastAsia="Times New Roman" w:hAnsi="Verdana" w:cs="Times New Roman"/>
          <w:b/>
          <w:bCs/>
          <w:color w:val="000000"/>
          <w:sz w:val="20"/>
          <w:szCs w:val="20"/>
        </w:rPr>
      </w:pPr>
      <w:r w:rsidRPr="00A31DDE">
        <w:rPr>
          <w:rFonts w:ascii="Verdana" w:eastAsia="Times New Roman" w:hAnsi="Verdana" w:cs="Times New Roman"/>
          <w:b/>
          <w:bCs/>
          <w:color w:val="000000"/>
          <w:sz w:val="20"/>
          <w:szCs w:val="20"/>
        </w:rPr>
        <w:t>Appraisers</w:t>
      </w:r>
    </w:p>
    <w:p w:rsidR="00A31DDE" w:rsidRPr="00A31DDE" w:rsidRDefault="00A31DDE" w:rsidP="00A31DDE">
      <w:pPr>
        <w:numPr>
          <w:ilvl w:val="0"/>
          <w:numId w:val="5"/>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If, for example, an appraiser deliberately understates the value of a house, he or she indirectly increases the rate of return for the client. If he or she overstates the value of the house, it decreases the rate of return. The following example illustrates this.</w:t>
      </w:r>
    </w:p>
    <w:p w:rsidR="00A31DDE" w:rsidRPr="00A31DDE" w:rsidRDefault="00A31DDE" w:rsidP="00A31DDE">
      <w:pPr>
        <w:numPr>
          <w:ilvl w:val="0"/>
          <w:numId w:val="5"/>
        </w:numPr>
        <w:spacing w:before="120" w:after="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b/>
          <w:bCs/>
          <w:color w:val="393939"/>
          <w:sz w:val="18"/>
          <w:szCs w:val="18"/>
        </w:rPr>
        <w:lastRenderedPageBreak/>
        <w:t>Example:</w:t>
      </w:r>
      <w:r w:rsidRPr="00A31DDE">
        <w:rPr>
          <w:rFonts w:ascii="Verdana" w:eastAsia="Times New Roman" w:hAnsi="Verdana" w:cs="Times New Roman"/>
          <w:color w:val="393939"/>
          <w:sz w:val="18"/>
          <w:szCs w:val="18"/>
        </w:rPr>
        <w:br/>
      </w:r>
      <w:r w:rsidRPr="00A31DDE">
        <w:rPr>
          <w:rFonts w:ascii="Verdana" w:eastAsia="Times New Roman" w:hAnsi="Verdana" w:cs="Times New Roman"/>
          <w:color w:val="393939"/>
          <w:sz w:val="18"/>
          <w:szCs w:val="18"/>
        </w:rPr>
        <w:br/>
        <w:t>Cash Flow = $10,000</w:t>
      </w:r>
      <w:r w:rsidRPr="00A31DDE">
        <w:rPr>
          <w:rFonts w:ascii="Verdana" w:eastAsia="Times New Roman" w:hAnsi="Verdana" w:cs="Times New Roman"/>
          <w:color w:val="393939"/>
          <w:sz w:val="18"/>
          <w:szCs w:val="18"/>
        </w:rPr>
        <w:br/>
      </w:r>
      <w:r w:rsidRPr="00A31DDE">
        <w:rPr>
          <w:rFonts w:ascii="Verdana" w:eastAsia="Times New Roman" w:hAnsi="Verdana" w:cs="Times New Roman"/>
          <w:color w:val="393939"/>
          <w:sz w:val="18"/>
          <w:szCs w:val="18"/>
        </w:rPr>
        <w:br/>
        <w:t>True Market Value = $100,000</w:t>
      </w:r>
      <w:r w:rsidRPr="00A31DDE">
        <w:rPr>
          <w:rFonts w:ascii="Verdana" w:eastAsia="Times New Roman" w:hAnsi="Verdana" w:cs="Times New Roman"/>
          <w:color w:val="393939"/>
          <w:sz w:val="18"/>
          <w:szCs w:val="18"/>
        </w:rPr>
        <w:br/>
      </w:r>
      <w:r w:rsidRPr="00A31DDE">
        <w:rPr>
          <w:rFonts w:ascii="Verdana" w:eastAsia="Times New Roman" w:hAnsi="Verdana" w:cs="Times New Roman"/>
          <w:color w:val="393939"/>
          <w:sz w:val="18"/>
          <w:szCs w:val="18"/>
        </w:rPr>
        <w:br/>
        <w:t xml:space="preserve">If you hire an </w:t>
      </w:r>
      <w:r w:rsidRPr="00A31DDE">
        <w:rPr>
          <w:rFonts w:ascii="Verdana" w:eastAsia="Times New Roman" w:hAnsi="Verdana" w:cs="Times New Roman"/>
          <w:b/>
          <w:bCs/>
          <w:color w:val="393939"/>
          <w:sz w:val="18"/>
          <w:szCs w:val="18"/>
        </w:rPr>
        <w:t>honest appraiser</w:t>
      </w:r>
      <w:r w:rsidRPr="00A31DDE">
        <w:rPr>
          <w:rFonts w:ascii="Verdana" w:eastAsia="Times New Roman" w:hAnsi="Verdana" w:cs="Times New Roman"/>
          <w:color w:val="393939"/>
          <w:sz w:val="18"/>
          <w:szCs w:val="18"/>
        </w:rPr>
        <w:t>, he or she will inform you that your rate of return is 10.00% (simply divide the cash flow by the market value: $10,000/$100,000).</w:t>
      </w:r>
      <w:r w:rsidRPr="00A31DDE">
        <w:rPr>
          <w:rFonts w:ascii="Verdana" w:eastAsia="Times New Roman" w:hAnsi="Verdana" w:cs="Times New Roman"/>
          <w:color w:val="393939"/>
          <w:sz w:val="18"/>
          <w:szCs w:val="18"/>
        </w:rPr>
        <w:br/>
      </w:r>
      <w:r w:rsidRPr="00A31DDE">
        <w:rPr>
          <w:rFonts w:ascii="Verdana" w:eastAsia="Times New Roman" w:hAnsi="Verdana" w:cs="Times New Roman"/>
          <w:color w:val="393939"/>
          <w:sz w:val="18"/>
          <w:szCs w:val="18"/>
        </w:rPr>
        <w:br/>
        <w:t xml:space="preserve">A </w:t>
      </w:r>
      <w:r w:rsidRPr="00A31DDE">
        <w:rPr>
          <w:rFonts w:ascii="Verdana" w:eastAsia="Times New Roman" w:hAnsi="Verdana" w:cs="Times New Roman"/>
          <w:b/>
          <w:bCs/>
          <w:color w:val="393939"/>
          <w:sz w:val="18"/>
          <w:szCs w:val="18"/>
        </w:rPr>
        <w:t xml:space="preserve">dishonest appraiser </w:t>
      </w:r>
      <w:r w:rsidRPr="00A31DDE">
        <w:rPr>
          <w:rFonts w:ascii="Verdana" w:eastAsia="Times New Roman" w:hAnsi="Verdana" w:cs="Times New Roman"/>
          <w:color w:val="393939"/>
          <w:sz w:val="18"/>
          <w:szCs w:val="18"/>
        </w:rPr>
        <w:t>will downplay the market value and inform you that your property is only worth $90,000, and by doing so he or she has increased your rate of return to 11.11% ($10,000/$90,000).</w:t>
      </w:r>
      <w:r w:rsidRPr="00A31DDE">
        <w:rPr>
          <w:rFonts w:ascii="Verdana" w:eastAsia="Times New Roman" w:hAnsi="Verdana" w:cs="Times New Roman"/>
          <w:color w:val="393939"/>
          <w:sz w:val="18"/>
          <w:szCs w:val="18"/>
        </w:rPr>
        <w:br/>
      </w:r>
      <w:r w:rsidRPr="00A31DDE">
        <w:rPr>
          <w:rFonts w:ascii="Verdana" w:eastAsia="Times New Roman" w:hAnsi="Verdana" w:cs="Times New Roman"/>
          <w:color w:val="393939"/>
          <w:sz w:val="18"/>
          <w:szCs w:val="18"/>
        </w:rPr>
        <w:br/>
        <w:t xml:space="preserve">A </w:t>
      </w:r>
      <w:r w:rsidRPr="00A31DDE">
        <w:rPr>
          <w:rFonts w:ascii="Verdana" w:eastAsia="Times New Roman" w:hAnsi="Verdana" w:cs="Times New Roman"/>
          <w:b/>
          <w:bCs/>
          <w:color w:val="393939"/>
          <w:sz w:val="18"/>
          <w:szCs w:val="18"/>
        </w:rPr>
        <w:t>bad appraiser</w:t>
      </w:r>
      <w:r w:rsidRPr="00A31DDE">
        <w:rPr>
          <w:rFonts w:ascii="Verdana" w:eastAsia="Times New Roman" w:hAnsi="Verdana" w:cs="Times New Roman"/>
          <w:color w:val="393939"/>
          <w:sz w:val="18"/>
          <w:szCs w:val="18"/>
        </w:rPr>
        <w:t xml:space="preserve"> who overvalues the property decreases your rate of return. If he or she states that the value is $105,000, your rate of return is only 9.52% ($10,000/$105,000).</w:t>
      </w:r>
    </w:p>
    <w:p w:rsidR="00A31DDE" w:rsidRDefault="00A31DDE"/>
    <w:p w:rsidR="00A31DDE" w:rsidRDefault="00A31DDE" w:rsidP="00A31DDE">
      <w:pPr>
        <w:spacing w:before="75" w:after="75" w:line="240" w:lineRule="auto"/>
        <w:outlineLvl w:val="3"/>
        <w:rPr>
          <w:rFonts w:ascii="Verdana" w:eastAsia="Times New Roman" w:hAnsi="Verdana" w:cs="Times New Roman"/>
          <w:b/>
          <w:bCs/>
          <w:color w:val="000000"/>
          <w:sz w:val="20"/>
          <w:szCs w:val="20"/>
        </w:rPr>
      </w:pPr>
      <w:r w:rsidRPr="00A31DDE">
        <w:rPr>
          <w:rFonts w:ascii="Verdana" w:eastAsia="Times New Roman" w:hAnsi="Verdana" w:cs="Times New Roman"/>
          <w:b/>
          <w:bCs/>
          <w:color w:val="000000"/>
          <w:sz w:val="20"/>
          <w:szCs w:val="20"/>
        </w:rPr>
        <w:t xml:space="preserve">Information Costs </w:t>
      </w:r>
    </w:p>
    <w:p w:rsidR="00A31DDE" w:rsidRPr="00A31DDE" w:rsidRDefault="00A31DDE" w:rsidP="00A31DDE">
      <w:pPr>
        <w:spacing w:before="75" w:after="75" w:line="240" w:lineRule="auto"/>
        <w:outlineLvl w:val="3"/>
        <w:rPr>
          <w:rFonts w:ascii="Verdana" w:eastAsia="Times New Roman" w:hAnsi="Verdana" w:cs="Times New Roman"/>
          <w:b/>
          <w:bCs/>
          <w:color w:val="000000"/>
          <w:sz w:val="20"/>
          <w:szCs w:val="20"/>
        </w:rPr>
      </w:pPr>
    </w:p>
    <w:p w:rsidR="00A31DDE" w:rsidRPr="00A31DDE" w:rsidRDefault="00A31DDE" w:rsidP="00A31DDE">
      <w:pPr>
        <w:numPr>
          <w:ilvl w:val="0"/>
          <w:numId w:val="6"/>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The real estate market is segmented (residential, commercial (retail and office), industrial, special purpose and others) which increases information costs</w:t>
      </w:r>
    </w:p>
    <w:p w:rsidR="00A31DDE" w:rsidRPr="00A31DDE" w:rsidRDefault="00A31DDE" w:rsidP="00A31DDE">
      <w:pPr>
        <w:numPr>
          <w:ilvl w:val="0"/>
          <w:numId w:val="6"/>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The real estate market is also segmented based on local market conditions</w:t>
      </w:r>
    </w:p>
    <w:p w:rsidR="00A31DDE" w:rsidRPr="00A31DDE" w:rsidRDefault="00A31DDE" w:rsidP="00A31DDE">
      <w:pPr>
        <w:numPr>
          <w:ilvl w:val="0"/>
          <w:numId w:val="6"/>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Information costs increase the cost of operating real estate portfolios</w:t>
      </w:r>
    </w:p>
    <w:p w:rsidR="00A31DDE" w:rsidRPr="00A31DDE" w:rsidRDefault="00A31DDE" w:rsidP="00A31DDE">
      <w:pPr>
        <w:numPr>
          <w:ilvl w:val="0"/>
          <w:numId w:val="6"/>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Information is difficult to find (commercial, industrial, special purpose) because of low turnover or low number of transactions given in a special period, compared to residential</w:t>
      </w:r>
    </w:p>
    <w:p w:rsidR="00A31DDE" w:rsidRDefault="00A31DDE" w:rsidP="00A31DDE">
      <w:pPr>
        <w:numPr>
          <w:ilvl w:val="0"/>
          <w:numId w:val="6"/>
        </w:numPr>
        <w:spacing w:before="120" w:after="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Information on real estate (if low turnover) is available through proxy (the use of appraisal values) which increases information costs</w:t>
      </w:r>
    </w:p>
    <w:p w:rsidR="00A31DDE" w:rsidRPr="00A31DDE" w:rsidRDefault="00A31DDE" w:rsidP="00A31DDE">
      <w:pPr>
        <w:spacing w:before="120" w:after="0" w:line="240" w:lineRule="auto"/>
        <w:ind w:left="300"/>
        <w:rPr>
          <w:rFonts w:ascii="Verdana" w:eastAsia="Times New Roman" w:hAnsi="Verdana" w:cs="Times New Roman"/>
          <w:color w:val="393939"/>
          <w:sz w:val="18"/>
          <w:szCs w:val="18"/>
        </w:rPr>
      </w:pPr>
    </w:p>
    <w:p w:rsidR="00A31DDE" w:rsidRPr="00A31DDE" w:rsidRDefault="00A31DDE" w:rsidP="00A31DDE">
      <w:pPr>
        <w:spacing w:before="75" w:after="75" w:line="240" w:lineRule="auto"/>
        <w:outlineLvl w:val="3"/>
        <w:rPr>
          <w:rFonts w:ascii="Verdana" w:eastAsia="Times New Roman" w:hAnsi="Verdana" w:cs="Times New Roman"/>
          <w:b/>
          <w:bCs/>
          <w:color w:val="000000"/>
          <w:sz w:val="20"/>
          <w:szCs w:val="20"/>
        </w:rPr>
      </w:pPr>
      <w:r w:rsidRPr="00A31DDE">
        <w:rPr>
          <w:rFonts w:ascii="Verdana" w:eastAsia="Times New Roman" w:hAnsi="Verdana" w:cs="Times New Roman"/>
          <w:b/>
          <w:bCs/>
          <w:color w:val="000000"/>
          <w:sz w:val="20"/>
          <w:szCs w:val="20"/>
        </w:rPr>
        <w:t xml:space="preserve">Capital Gains </w:t>
      </w:r>
    </w:p>
    <w:p w:rsidR="00A31DDE" w:rsidRPr="00A31DDE" w:rsidRDefault="00A31DDE" w:rsidP="00A31DDE">
      <w:pPr>
        <w:numPr>
          <w:ilvl w:val="0"/>
          <w:numId w:val="7"/>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Capital gains make up a large portion of estimated returns (capital gains equal selling price minus original costs)</w:t>
      </w:r>
    </w:p>
    <w:p w:rsidR="00A31DDE" w:rsidRDefault="00A31DDE" w:rsidP="00A31DDE">
      <w:pPr>
        <w:numPr>
          <w:ilvl w:val="0"/>
          <w:numId w:val="7"/>
        </w:numPr>
        <w:spacing w:before="120" w:after="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Miles and McCue's study for a regional real estate portfolio indicates that only 14% is market related (not diversifiable), whereas 86% is diversifiable</w:t>
      </w:r>
    </w:p>
    <w:p w:rsidR="00A31DDE" w:rsidRDefault="00A31DDE" w:rsidP="00A31DDE">
      <w:pPr>
        <w:spacing w:after="0" w:line="240" w:lineRule="auto"/>
        <w:rPr>
          <w:rFonts w:ascii="Verdana" w:eastAsia="Times New Roman" w:hAnsi="Verdana" w:cs="Times New Roman"/>
          <w:color w:val="393939"/>
          <w:sz w:val="18"/>
          <w:szCs w:val="18"/>
        </w:rPr>
      </w:pPr>
    </w:p>
    <w:p w:rsidR="00E73DCA" w:rsidRPr="00A31DDE" w:rsidRDefault="00E73DCA" w:rsidP="00A31DDE">
      <w:pPr>
        <w:spacing w:after="0" w:line="240" w:lineRule="auto"/>
        <w:rPr>
          <w:rFonts w:ascii="Verdana" w:eastAsia="Times New Roman" w:hAnsi="Verdana" w:cs="Times New Roman"/>
          <w:color w:val="393939"/>
          <w:sz w:val="18"/>
          <w:szCs w:val="18"/>
        </w:rPr>
      </w:pPr>
    </w:p>
    <w:p w:rsidR="00A31DDE" w:rsidRPr="00A31DDE" w:rsidRDefault="00A31DDE" w:rsidP="00A31DDE">
      <w:pPr>
        <w:spacing w:before="75" w:after="75" w:line="240" w:lineRule="auto"/>
        <w:outlineLvl w:val="2"/>
        <w:rPr>
          <w:rFonts w:ascii="Verdana" w:eastAsia="Times New Roman" w:hAnsi="Verdana" w:cs="Times New Roman"/>
          <w:b/>
          <w:bCs/>
          <w:color w:val="958616"/>
          <w:sz w:val="24"/>
          <w:szCs w:val="24"/>
        </w:rPr>
      </w:pPr>
      <w:r>
        <w:rPr>
          <w:rFonts w:ascii="Verdana" w:eastAsia="Times New Roman" w:hAnsi="Verdana" w:cs="Times New Roman"/>
          <w:b/>
          <w:bCs/>
          <w:color w:val="958616"/>
          <w:sz w:val="24"/>
          <w:szCs w:val="24"/>
        </w:rPr>
        <w:t>Advantages</w:t>
      </w:r>
      <w:r w:rsidRPr="00A31DDE">
        <w:rPr>
          <w:rFonts w:ascii="Verdana" w:eastAsia="Times New Roman" w:hAnsi="Verdana" w:cs="Times New Roman"/>
          <w:b/>
          <w:bCs/>
          <w:color w:val="958616"/>
          <w:sz w:val="24"/>
          <w:szCs w:val="24"/>
        </w:rPr>
        <w:t xml:space="preserve"> of Owning Real Estate</w:t>
      </w:r>
    </w:p>
    <w:p w:rsidR="00A31DDE" w:rsidRDefault="00A31DDE" w:rsidP="00A31DDE">
      <w:pPr>
        <w:numPr>
          <w:ilvl w:val="0"/>
          <w:numId w:val="8"/>
        </w:numPr>
        <w:spacing w:before="120" w:after="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Real estate segmented geographically:</w:t>
      </w:r>
    </w:p>
    <w:p w:rsidR="00A31DDE" w:rsidRPr="00A31DDE" w:rsidRDefault="00A31DDE" w:rsidP="00A31DDE">
      <w:pPr>
        <w:numPr>
          <w:ilvl w:val="1"/>
          <w:numId w:val="8"/>
        </w:numPr>
        <w:spacing w:before="120" w:after="0" w:line="240"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 xml:space="preserve">different cities, municipalities, priced/reacts differently to market conditions. It increases information costs (different markets and tenants). This characteristic of real estate permits the investor to diversify his portfolio in two possible ways: </w:t>
      </w:r>
    </w:p>
    <w:p w:rsidR="00A31DDE" w:rsidRPr="00A31DDE" w:rsidRDefault="00A31DDE" w:rsidP="00A31DDE">
      <w:pPr>
        <w:pStyle w:val="ListParagraph"/>
        <w:numPr>
          <w:ilvl w:val="0"/>
          <w:numId w:val="10"/>
        </w:numPr>
        <w:spacing w:before="75" w:after="75" w:line="288"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 xml:space="preserve">Invest in one type of real estate in different cities, e.g. invest only in residential in Anjou, Cote-Saint-Luc, NDG, DDO, etc. </w:t>
      </w:r>
    </w:p>
    <w:p w:rsidR="00A31DDE" w:rsidRPr="00A31DDE" w:rsidRDefault="00A31DDE" w:rsidP="00A31DDE">
      <w:pPr>
        <w:pStyle w:val="ListParagraph"/>
        <w:numPr>
          <w:ilvl w:val="0"/>
          <w:numId w:val="10"/>
        </w:numPr>
        <w:spacing w:after="240" w:line="240"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Invest in different types of real estate such as residential, commercial and industrial in only one city.</w:t>
      </w:r>
    </w:p>
    <w:p w:rsidR="00A31DDE" w:rsidRPr="00A31DDE" w:rsidRDefault="00A31DDE" w:rsidP="00A31DDE">
      <w:pPr>
        <w:numPr>
          <w:ilvl w:val="0"/>
          <w:numId w:val="8"/>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 xml:space="preserve">By diversifying, the investor can reduce his information costs significantly. </w:t>
      </w:r>
    </w:p>
    <w:p w:rsidR="00A31DDE" w:rsidRPr="00A31DDE" w:rsidRDefault="00A31DDE" w:rsidP="00A31DDE">
      <w:pPr>
        <w:numPr>
          <w:ilvl w:val="0"/>
          <w:numId w:val="8"/>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lastRenderedPageBreak/>
        <w:t>Real estate is segmented  by asset type:</w:t>
      </w:r>
      <w:r w:rsidRPr="00A31DDE">
        <w:rPr>
          <w:rFonts w:ascii="Verdana" w:eastAsia="Times New Roman" w:hAnsi="Verdana" w:cs="Times New Roman"/>
          <w:color w:val="393939"/>
          <w:sz w:val="18"/>
          <w:szCs w:val="18"/>
        </w:rPr>
        <w:br/>
        <w:t>residential, commercial, industrial, special purpose (e.g. old people’s home), and others (land).</w:t>
      </w:r>
    </w:p>
    <w:p w:rsidR="00A31DDE" w:rsidRDefault="00A31DDE" w:rsidP="00A31DDE">
      <w:pPr>
        <w:numPr>
          <w:ilvl w:val="0"/>
          <w:numId w:val="8"/>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Segmented market implies disequilibrium, i.e. costs (price) not equal to value.</w:t>
      </w:r>
    </w:p>
    <w:p w:rsidR="00A31DDE" w:rsidRDefault="00A31DDE" w:rsidP="00A31DDE">
      <w:pPr>
        <w:numPr>
          <w:ilvl w:val="0"/>
          <w:numId w:val="8"/>
        </w:numPr>
        <w:spacing w:before="120" w:after="240" w:line="240" w:lineRule="auto"/>
        <w:ind w:left="300"/>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Market segmentation suggests the possibility of lowering risk through diversification.</w:t>
      </w:r>
    </w:p>
    <w:p w:rsidR="00E73DCA" w:rsidRDefault="00E73DCA" w:rsidP="00E73DCA">
      <w:pPr>
        <w:spacing w:before="75" w:after="75" w:line="240" w:lineRule="auto"/>
        <w:outlineLvl w:val="2"/>
        <w:rPr>
          <w:rFonts w:ascii="Verdana" w:eastAsia="Times New Roman" w:hAnsi="Verdana" w:cs="Times New Roman"/>
          <w:color w:val="393939"/>
          <w:sz w:val="18"/>
          <w:szCs w:val="18"/>
        </w:rPr>
      </w:pPr>
    </w:p>
    <w:p w:rsidR="00E73DCA" w:rsidRPr="00E73DCA" w:rsidRDefault="00E73DCA" w:rsidP="00E73DCA">
      <w:pPr>
        <w:spacing w:before="75" w:after="75" w:line="240" w:lineRule="auto"/>
        <w:outlineLvl w:val="2"/>
        <w:rPr>
          <w:rFonts w:ascii="Verdana" w:eastAsia="Times New Roman" w:hAnsi="Verdana" w:cs="Times New Roman"/>
          <w:b/>
          <w:bCs/>
          <w:color w:val="958616"/>
          <w:sz w:val="24"/>
          <w:szCs w:val="24"/>
        </w:rPr>
      </w:pPr>
      <w:r w:rsidRPr="00E73DCA">
        <w:rPr>
          <w:rFonts w:ascii="Verdana" w:eastAsia="Times New Roman" w:hAnsi="Verdana" w:cs="Times New Roman"/>
          <w:b/>
          <w:bCs/>
          <w:color w:val="958616"/>
          <w:sz w:val="24"/>
          <w:szCs w:val="24"/>
        </w:rPr>
        <w:t>Disadvantages of Owning Real Estate</w:t>
      </w:r>
    </w:p>
    <w:p w:rsidR="00E73DCA" w:rsidRPr="00A31DDE" w:rsidRDefault="00E73DCA" w:rsidP="00E73DCA">
      <w:pPr>
        <w:numPr>
          <w:ilvl w:val="0"/>
          <w:numId w:val="8"/>
        </w:numPr>
        <w:spacing w:before="120" w:after="240" w:line="240"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Diversification benefits and information costs.</w:t>
      </w:r>
    </w:p>
    <w:p w:rsidR="00E73DCA" w:rsidRPr="00A31DDE" w:rsidRDefault="00E73DCA" w:rsidP="00E73DCA">
      <w:pPr>
        <w:numPr>
          <w:ilvl w:val="0"/>
          <w:numId w:val="8"/>
        </w:numPr>
        <w:spacing w:before="120" w:after="240" w:line="240"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Barrier to entry (large amount of money required). Real estate segmented by wealth (a</w:t>
      </w:r>
      <w:r>
        <w:rPr>
          <w:rFonts w:ascii="Verdana" w:eastAsia="Times New Roman" w:hAnsi="Verdana" w:cs="Times New Roman"/>
          <w:color w:val="393939"/>
          <w:sz w:val="18"/>
          <w:szCs w:val="18"/>
        </w:rPr>
        <w:t>pproximately 25% down payment).</w:t>
      </w:r>
    </w:p>
    <w:p w:rsidR="00E73DCA" w:rsidRPr="00A31DDE" w:rsidRDefault="00E73DCA" w:rsidP="00E73DCA">
      <w:pPr>
        <w:numPr>
          <w:ilvl w:val="0"/>
          <w:numId w:val="8"/>
        </w:numPr>
        <w:spacing w:before="120" w:after="240" w:line="240"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Different type of expertise required.</w:t>
      </w:r>
    </w:p>
    <w:p w:rsidR="00E73DCA" w:rsidRDefault="00E73DCA" w:rsidP="00E73DCA">
      <w:pPr>
        <w:numPr>
          <w:ilvl w:val="0"/>
          <w:numId w:val="8"/>
        </w:numPr>
        <w:spacing w:before="120" w:after="240" w:line="240"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Imperfect competition (barrier to entry) and information costs (paid prior to investing) i.e. inefficient market which creates opportunities.</w:t>
      </w:r>
    </w:p>
    <w:p w:rsidR="00A31DDE" w:rsidRDefault="00E73DCA" w:rsidP="00E73DCA">
      <w:pPr>
        <w:numPr>
          <w:ilvl w:val="0"/>
          <w:numId w:val="8"/>
        </w:numPr>
        <w:spacing w:before="120" w:after="240" w:line="240" w:lineRule="auto"/>
        <w:rPr>
          <w:rFonts w:ascii="Verdana" w:eastAsia="Times New Roman" w:hAnsi="Verdana" w:cs="Times New Roman"/>
          <w:color w:val="393939"/>
          <w:sz w:val="18"/>
          <w:szCs w:val="18"/>
        </w:rPr>
      </w:pPr>
      <w:r w:rsidRPr="00A31DDE">
        <w:rPr>
          <w:rFonts w:ascii="Verdana" w:eastAsia="Times New Roman" w:hAnsi="Verdana" w:cs="Times New Roman"/>
          <w:color w:val="393939"/>
          <w:sz w:val="18"/>
          <w:szCs w:val="18"/>
        </w:rPr>
        <w:t>Higher information costs if investing in different segments.</w:t>
      </w:r>
    </w:p>
    <w:p w:rsidR="00E73DCA" w:rsidRDefault="00E73DCA" w:rsidP="00E73DCA">
      <w:pPr>
        <w:spacing w:before="75" w:after="75" w:line="240" w:lineRule="auto"/>
        <w:outlineLvl w:val="2"/>
        <w:rPr>
          <w:rFonts w:ascii="Verdana" w:eastAsia="Times New Roman" w:hAnsi="Verdana" w:cs="Times New Roman"/>
          <w:b/>
          <w:bCs/>
          <w:color w:val="958616"/>
          <w:sz w:val="24"/>
          <w:szCs w:val="24"/>
        </w:rPr>
      </w:pPr>
    </w:p>
    <w:p w:rsidR="00E73DCA" w:rsidRPr="00E73DCA" w:rsidRDefault="00E73DCA" w:rsidP="00E73DCA">
      <w:pPr>
        <w:spacing w:before="75" w:after="75" w:line="240" w:lineRule="auto"/>
        <w:outlineLvl w:val="2"/>
        <w:rPr>
          <w:rFonts w:ascii="Verdana" w:eastAsia="Times New Roman" w:hAnsi="Verdana" w:cs="Times New Roman"/>
          <w:b/>
          <w:bCs/>
          <w:color w:val="958616"/>
          <w:sz w:val="24"/>
          <w:szCs w:val="24"/>
        </w:rPr>
      </w:pPr>
      <w:r w:rsidRPr="00E73DCA">
        <w:rPr>
          <w:rFonts w:ascii="Verdana" w:eastAsia="Times New Roman" w:hAnsi="Verdana" w:cs="Times New Roman"/>
          <w:b/>
          <w:bCs/>
          <w:color w:val="958616"/>
          <w:sz w:val="24"/>
          <w:szCs w:val="24"/>
        </w:rPr>
        <w:t xml:space="preserve">The Real Estate Pricing Puzzle </w:t>
      </w:r>
    </w:p>
    <w:p w:rsidR="00E73DCA" w:rsidRPr="00E73DCA" w:rsidRDefault="00E73DCA" w:rsidP="00E73DCA">
      <w:pPr>
        <w:spacing w:before="75" w:after="75" w:line="240" w:lineRule="auto"/>
        <w:outlineLvl w:val="3"/>
        <w:rPr>
          <w:rFonts w:ascii="Verdana" w:eastAsia="Times New Roman" w:hAnsi="Verdana" w:cs="Times New Roman"/>
          <w:b/>
          <w:bCs/>
          <w:color w:val="000000"/>
          <w:sz w:val="20"/>
          <w:szCs w:val="20"/>
        </w:rPr>
      </w:pPr>
      <w:r w:rsidRPr="00E73DCA">
        <w:rPr>
          <w:rFonts w:ascii="Verdana" w:eastAsia="Times New Roman" w:hAnsi="Verdana" w:cs="Times New Roman"/>
          <w:b/>
          <w:bCs/>
          <w:color w:val="000000"/>
          <w:sz w:val="20"/>
          <w:szCs w:val="20"/>
        </w:rPr>
        <w:t>Why Is Real Estate a Puzzle?</w:t>
      </w:r>
    </w:p>
    <w:p w:rsidR="00E73DCA" w:rsidRDefault="00E73DCA" w:rsidP="00E73DCA">
      <w:pPr>
        <w:numPr>
          <w:ilvl w:val="0"/>
          <w:numId w:val="12"/>
        </w:numPr>
        <w:spacing w:before="120" w:after="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The present model (Capital Asset Pricing Model – CAPM) being used to value real estate is doing a poor job because it does not consider cash payments. </w:t>
      </w:r>
    </w:p>
    <w:p w:rsidR="00E73DCA" w:rsidRPr="00E73DCA" w:rsidRDefault="00E73DCA" w:rsidP="00E73DCA">
      <w:pPr>
        <w:spacing w:before="120" w:after="0" w:line="240" w:lineRule="auto"/>
        <w:ind w:left="300"/>
        <w:rPr>
          <w:rFonts w:ascii="Verdana" w:eastAsia="Times New Roman" w:hAnsi="Verdana" w:cs="Times New Roman"/>
          <w:color w:val="393939"/>
          <w:sz w:val="18"/>
          <w:szCs w:val="18"/>
        </w:rPr>
      </w:pPr>
    </w:p>
    <w:p w:rsidR="00E73DCA" w:rsidRPr="00E73DCA" w:rsidRDefault="00E73DCA" w:rsidP="00E73DCA">
      <w:pPr>
        <w:spacing w:before="75" w:after="75" w:line="240" w:lineRule="auto"/>
        <w:outlineLvl w:val="3"/>
        <w:rPr>
          <w:rFonts w:ascii="Verdana" w:eastAsia="Times New Roman" w:hAnsi="Verdana" w:cs="Times New Roman"/>
          <w:b/>
          <w:bCs/>
          <w:color w:val="000000"/>
          <w:sz w:val="20"/>
          <w:szCs w:val="20"/>
        </w:rPr>
      </w:pPr>
      <w:r w:rsidRPr="00E73DCA">
        <w:rPr>
          <w:rFonts w:ascii="Verdana" w:eastAsia="Times New Roman" w:hAnsi="Verdana" w:cs="Times New Roman"/>
          <w:b/>
          <w:bCs/>
          <w:color w:val="000000"/>
          <w:sz w:val="20"/>
          <w:szCs w:val="20"/>
        </w:rPr>
        <w:t xml:space="preserve">Performance Justifies the Development of New Models </w:t>
      </w:r>
    </w:p>
    <w:p w:rsidR="00E73DCA" w:rsidRPr="00E73DCA" w:rsidRDefault="00E73DCA" w:rsidP="00E73DCA">
      <w:pPr>
        <w:spacing w:before="75" w:after="75" w:line="288" w:lineRule="auto"/>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The market should develop new models because:</w:t>
      </w:r>
    </w:p>
    <w:p w:rsidR="00E73DCA" w:rsidRPr="00E73DCA" w:rsidRDefault="00E73DCA" w:rsidP="00E73DCA">
      <w:pPr>
        <w:numPr>
          <w:ilvl w:val="0"/>
          <w:numId w:val="13"/>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The performance of real estate compared to the other investments in the market justifies this</w:t>
      </w:r>
    </w:p>
    <w:p w:rsidR="00E73DCA" w:rsidRPr="00E73DCA" w:rsidRDefault="00E73DCA" w:rsidP="00E73DCA">
      <w:pPr>
        <w:numPr>
          <w:ilvl w:val="0"/>
          <w:numId w:val="13"/>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Studies show that companies are including large amounts of money in real estate in their portfolios</w:t>
      </w:r>
    </w:p>
    <w:p w:rsidR="00E73DCA" w:rsidRPr="00E73DCA" w:rsidRDefault="00E73DCA" w:rsidP="00E73DCA">
      <w:pPr>
        <w:numPr>
          <w:ilvl w:val="0"/>
          <w:numId w:val="13"/>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The performance of real estate investments outperforms other investments in the market as many studies have indicated</w:t>
      </w:r>
    </w:p>
    <w:p w:rsidR="00E73DCA" w:rsidRPr="00E73DCA" w:rsidRDefault="00E73DCA" w:rsidP="00E73DCA">
      <w:pPr>
        <w:numPr>
          <w:ilvl w:val="0"/>
          <w:numId w:val="13"/>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There is enough order in the financial market to justify this</w:t>
      </w:r>
    </w:p>
    <w:p w:rsidR="00E73DCA" w:rsidRDefault="00E73DCA" w:rsidP="00E73DCA">
      <w:pPr>
        <w:numPr>
          <w:ilvl w:val="0"/>
          <w:numId w:val="13"/>
        </w:numPr>
        <w:spacing w:before="120" w:after="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Companies hire specialists in real estate for consulting services and to write reports on how good the market is for real estate investments. </w:t>
      </w:r>
    </w:p>
    <w:p w:rsidR="00E73DCA" w:rsidRDefault="00E73DCA" w:rsidP="00E73DCA">
      <w:pPr>
        <w:numPr>
          <w:ilvl w:val="1"/>
          <w:numId w:val="13"/>
        </w:numPr>
        <w:spacing w:before="120" w:after="0" w:line="240" w:lineRule="auto"/>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The companies know that the report will favour investing in real estate prior to acquiring the professional services; they simply need a professional’s name on the report. </w:t>
      </w:r>
    </w:p>
    <w:p w:rsidR="00E73DCA" w:rsidRDefault="00E73DCA" w:rsidP="00E73DCA">
      <w:pPr>
        <w:numPr>
          <w:ilvl w:val="1"/>
          <w:numId w:val="13"/>
        </w:numPr>
        <w:spacing w:before="120" w:after="0" w:line="240" w:lineRule="auto"/>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This is what “studies are done only in good times” implies; it is very rare to find any study conducted when markets are down. </w:t>
      </w:r>
    </w:p>
    <w:p w:rsidR="00E73DCA" w:rsidRDefault="00E73DCA" w:rsidP="00E73DCA">
      <w:pPr>
        <w:numPr>
          <w:ilvl w:val="1"/>
          <w:numId w:val="13"/>
        </w:numPr>
        <w:spacing w:before="120" w:after="0" w:line="240" w:lineRule="auto"/>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Furthermore, inefficiency also exists due to appraisers manipulating the numbers to their advantage and thus increasing rates of return as the above</w:t>
      </w:r>
      <w:r>
        <w:rPr>
          <w:rFonts w:ascii="Verdana" w:eastAsia="Times New Roman" w:hAnsi="Verdana" w:cs="Times New Roman"/>
          <w:color w:val="393939"/>
          <w:sz w:val="18"/>
          <w:szCs w:val="18"/>
        </w:rPr>
        <w:t xml:space="preserve">-mentioned example illustrates. </w:t>
      </w:r>
    </w:p>
    <w:p w:rsidR="00E73DCA" w:rsidRDefault="00E73DCA" w:rsidP="00E73DCA">
      <w:pPr>
        <w:numPr>
          <w:ilvl w:val="1"/>
          <w:numId w:val="13"/>
        </w:numPr>
        <w:spacing w:before="120" w:after="0" w:line="240" w:lineRule="auto"/>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lastRenderedPageBreak/>
        <w:t>Finally, current models do not capture the qualitative aspects that are taken into consideration during a real estate transaction. As mentioned earlier, they only consider risk and return, which is not sufficient.</w:t>
      </w:r>
    </w:p>
    <w:p w:rsidR="00E73DCA" w:rsidRDefault="00E73DCA" w:rsidP="00E73DCA">
      <w:pPr>
        <w:spacing w:before="120" w:after="0" w:line="240" w:lineRule="auto"/>
        <w:rPr>
          <w:rFonts w:ascii="Verdana" w:eastAsia="Times New Roman" w:hAnsi="Verdana" w:cs="Times New Roman"/>
          <w:color w:val="393939"/>
          <w:sz w:val="18"/>
          <w:szCs w:val="18"/>
        </w:rPr>
      </w:pPr>
    </w:p>
    <w:p w:rsidR="00E73DCA" w:rsidRPr="00E73DCA" w:rsidRDefault="00E73DCA" w:rsidP="00E73DCA">
      <w:pPr>
        <w:spacing w:before="75" w:after="75" w:line="240" w:lineRule="auto"/>
        <w:outlineLvl w:val="3"/>
        <w:rPr>
          <w:rFonts w:ascii="Verdana" w:eastAsia="Times New Roman" w:hAnsi="Verdana" w:cs="Times New Roman"/>
          <w:b/>
          <w:bCs/>
          <w:color w:val="000000"/>
          <w:sz w:val="20"/>
          <w:szCs w:val="20"/>
        </w:rPr>
      </w:pPr>
      <w:r w:rsidRPr="00E73DCA">
        <w:rPr>
          <w:rFonts w:ascii="Verdana" w:eastAsia="Times New Roman" w:hAnsi="Verdana" w:cs="Times New Roman"/>
          <w:b/>
          <w:bCs/>
          <w:color w:val="000000"/>
          <w:sz w:val="20"/>
          <w:szCs w:val="20"/>
        </w:rPr>
        <w:t>Problems with Data</w:t>
      </w:r>
    </w:p>
    <w:p w:rsidR="00E73DCA" w:rsidRPr="00E73DCA" w:rsidRDefault="00E73DCA" w:rsidP="00E73DCA">
      <w:pPr>
        <w:numPr>
          <w:ilvl w:val="0"/>
          <w:numId w:val="14"/>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Appraisal values estimated by the appraiser are not the same as the actual values (actual selling price). True market value can only be found when the property is sold; we hire an appraiser to determine a property’s value prior to selling. The value they return is known as a proxy. Appraisers have the habit of downplaying numbers so that when a buyer offers a bid near the true market value one will be pleased with this work. </w:t>
      </w:r>
    </w:p>
    <w:p w:rsidR="00E73DCA" w:rsidRPr="00E73DCA" w:rsidRDefault="00E73DCA" w:rsidP="00E73DCA">
      <w:pPr>
        <w:numPr>
          <w:ilvl w:val="0"/>
          <w:numId w:val="14"/>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Short-run evaluation when real estate investments are long-term investments.</w:t>
      </w:r>
    </w:p>
    <w:p w:rsidR="00E73DCA" w:rsidRPr="00E73DCA" w:rsidRDefault="00E73DCA" w:rsidP="00E73DCA">
      <w:pPr>
        <w:numPr>
          <w:ilvl w:val="0"/>
          <w:numId w:val="14"/>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Sample size will cause sampling errors; i.e., 1/100 compared to 1/99 does not contain much estimation error; however, in real estate the sample size is smaller and therefore the difference between ¼ and ½ is quite significant. </w:t>
      </w:r>
    </w:p>
    <w:p w:rsidR="00E73DCA" w:rsidRPr="00E73DCA" w:rsidRDefault="00E73DCA" w:rsidP="00E73DCA">
      <w:pPr>
        <w:numPr>
          <w:ilvl w:val="0"/>
          <w:numId w:val="14"/>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Un-levered basis (assumed no leverage or debt, 100% down payment). Un-leveled property is that which is purchased with cash only (no loan used). </w:t>
      </w:r>
    </w:p>
    <w:p w:rsidR="00E73DCA" w:rsidRPr="00E73DCA" w:rsidRDefault="00E73DCA" w:rsidP="00E73DCA">
      <w:pPr>
        <w:numPr>
          <w:ilvl w:val="0"/>
          <w:numId w:val="14"/>
        </w:numPr>
        <w:spacing w:before="120" w:after="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Data problems, in addition to the conclusion that real estate gives higher returns and has lower risk compared with other investments, are questionable.</w:t>
      </w:r>
    </w:p>
    <w:p w:rsidR="00E73DCA" w:rsidRDefault="00E73DCA" w:rsidP="00E73DCA">
      <w:pPr>
        <w:spacing w:before="120" w:after="0" w:line="240" w:lineRule="auto"/>
        <w:rPr>
          <w:rFonts w:ascii="Verdana" w:eastAsia="Times New Roman" w:hAnsi="Verdana" w:cs="Times New Roman"/>
          <w:color w:val="393939"/>
          <w:sz w:val="18"/>
          <w:szCs w:val="18"/>
        </w:rPr>
      </w:pPr>
    </w:p>
    <w:p w:rsidR="00E73DCA" w:rsidRPr="00E73DCA" w:rsidRDefault="00E73DCA" w:rsidP="00E73DCA">
      <w:pPr>
        <w:spacing w:before="75" w:after="75" w:line="240" w:lineRule="auto"/>
        <w:outlineLvl w:val="3"/>
        <w:rPr>
          <w:rFonts w:ascii="Verdana" w:eastAsia="Times New Roman" w:hAnsi="Verdana" w:cs="Times New Roman"/>
          <w:b/>
          <w:bCs/>
          <w:color w:val="000000"/>
          <w:sz w:val="20"/>
          <w:szCs w:val="20"/>
        </w:rPr>
      </w:pPr>
      <w:r w:rsidRPr="00E73DCA">
        <w:rPr>
          <w:rFonts w:ascii="Verdana" w:eastAsia="Times New Roman" w:hAnsi="Verdana" w:cs="Times New Roman"/>
          <w:b/>
          <w:bCs/>
          <w:color w:val="000000"/>
          <w:sz w:val="20"/>
          <w:szCs w:val="20"/>
        </w:rPr>
        <w:t>Reasons for Lower Variance</w:t>
      </w:r>
    </w:p>
    <w:p w:rsidR="00E73DCA" w:rsidRPr="00E73DCA" w:rsidRDefault="00E73DCA" w:rsidP="00E73DCA">
      <w:pPr>
        <w:spacing w:before="75" w:after="75" w:line="288" w:lineRule="auto"/>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Three possible reasons for lower risk (or variance)</w:t>
      </w:r>
    </w:p>
    <w:p w:rsidR="00E73DCA" w:rsidRPr="00E73DCA" w:rsidRDefault="00E73DCA" w:rsidP="00E73DCA">
      <w:pPr>
        <w:numPr>
          <w:ilvl w:val="0"/>
          <w:numId w:val="15"/>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Rent income is less risky than other income because of contractual agreements or leases</w:t>
      </w:r>
    </w:p>
    <w:p w:rsidR="00E73DCA" w:rsidRPr="00E73DCA" w:rsidRDefault="00E73DCA" w:rsidP="00E73DCA">
      <w:pPr>
        <w:numPr>
          <w:ilvl w:val="0"/>
          <w:numId w:val="15"/>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Stocks and bonds are affected by other factors such as human resources, lumpy investments, immobility and market segmentation </w:t>
      </w:r>
    </w:p>
    <w:p w:rsidR="00E73DCA" w:rsidRDefault="00E73DCA" w:rsidP="00E73DCA">
      <w:pPr>
        <w:numPr>
          <w:ilvl w:val="0"/>
          <w:numId w:val="15"/>
        </w:numPr>
        <w:spacing w:before="120" w:after="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Management costs are not </w:t>
      </w:r>
      <w:r>
        <w:rPr>
          <w:rFonts w:ascii="Verdana" w:eastAsia="Times New Roman" w:hAnsi="Verdana" w:cs="Times New Roman"/>
          <w:color w:val="393939"/>
          <w:sz w:val="18"/>
          <w:szCs w:val="18"/>
        </w:rPr>
        <w:t>accounted for in the analysis</w:t>
      </w:r>
    </w:p>
    <w:p w:rsidR="00E73DCA" w:rsidRPr="00E73DCA" w:rsidRDefault="00E73DCA" w:rsidP="00E73DCA">
      <w:pPr>
        <w:numPr>
          <w:ilvl w:val="0"/>
          <w:numId w:val="15"/>
        </w:numPr>
        <w:spacing w:before="120" w:after="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So, less risk or variance would be expected. However, less risk or variance does not mean excess return.</w:t>
      </w:r>
    </w:p>
    <w:p w:rsidR="00E73DCA" w:rsidRDefault="00E73DCA" w:rsidP="00E73DCA">
      <w:pPr>
        <w:spacing w:before="120" w:after="0" w:line="240" w:lineRule="auto"/>
        <w:rPr>
          <w:rFonts w:ascii="Verdana" w:eastAsia="Times New Roman" w:hAnsi="Verdana" w:cs="Times New Roman"/>
          <w:color w:val="393939"/>
          <w:sz w:val="18"/>
          <w:szCs w:val="18"/>
        </w:rPr>
      </w:pPr>
    </w:p>
    <w:p w:rsidR="00E73DCA" w:rsidRPr="00E73DCA" w:rsidRDefault="00E73DCA" w:rsidP="00E73DCA">
      <w:pPr>
        <w:spacing w:before="75" w:after="75" w:line="240" w:lineRule="auto"/>
        <w:outlineLvl w:val="3"/>
        <w:rPr>
          <w:rFonts w:ascii="Verdana" w:eastAsia="Times New Roman" w:hAnsi="Verdana" w:cs="Times New Roman"/>
          <w:b/>
          <w:bCs/>
          <w:color w:val="000000"/>
          <w:sz w:val="20"/>
          <w:szCs w:val="20"/>
        </w:rPr>
      </w:pPr>
      <w:r w:rsidRPr="00E73DCA">
        <w:rPr>
          <w:rFonts w:ascii="Verdana" w:eastAsia="Times New Roman" w:hAnsi="Verdana" w:cs="Times New Roman"/>
          <w:b/>
          <w:bCs/>
          <w:color w:val="000000"/>
          <w:sz w:val="20"/>
          <w:szCs w:val="20"/>
        </w:rPr>
        <w:t>Portfolio Implications</w:t>
      </w:r>
    </w:p>
    <w:p w:rsidR="00E73DCA" w:rsidRPr="00E73DCA" w:rsidRDefault="00E73DCA" w:rsidP="00E73DCA">
      <w:pPr>
        <w:numPr>
          <w:ilvl w:val="0"/>
          <w:numId w:val="16"/>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Real estate is negatively correlated compared to the stock market.</w:t>
      </w:r>
    </w:p>
    <w:p w:rsidR="00E73DCA" w:rsidRPr="00E73DCA" w:rsidRDefault="00E73DCA" w:rsidP="00E73DCA">
      <w:pPr>
        <w:numPr>
          <w:ilvl w:val="0"/>
          <w:numId w:val="16"/>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Data problems versus high percentage of portfolio: problems with appraisal values should not stop you from investing in real estate.</w:t>
      </w:r>
    </w:p>
    <w:p w:rsidR="00E73DCA" w:rsidRPr="00E73DCA" w:rsidRDefault="00E73DCA" w:rsidP="00E73DCA">
      <w:pPr>
        <w:numPr>
          <w:ilvl w:val="0"/>
          <w:numId w:val="16"/>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Diversification benefits possible within same market (to reduce information costs), i.e. do not have to evaluate different classes of real estate such as residential, commercial and office. </w:t>
      </w:r>
    </w:p>
    <w:p w:rsidR="00E73DCA" w:rsidRPr="00E73DCA" w:rsidRDefault="00E73DCA" w:rsidP="00E73DCA">
      <w:pPr>
        <w:numPr>
          <w:ilvl w:val="0"/>
          <w:numId w:val="16"/>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Price should reflect mean evaluation of investors.</w:t>
      </w:r>
    </w:p>
    <w:p w:rsidR="00E73DCA" w:rsidRPr="00E73DCA" w:rsidRDefault="00E73DCA" w:rsidP="00E73DCA">
      <w:pPr>
        <w:numPr>
          <w:ilvl w:val="0"/>
          <w:numId w:val="16"/>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Prices should reflect highest and best use, but not true in real estate because a) there is no short selling; b) price adjustment is slower; and c) optimistic opinion (pessimistic will not buy). </w:t>
      </w:r>
    </w:p>
    <w:p w:rsidR="00E73DCA" w:rsidRPr="00E73DCA" w:rsidRDefault="00E73DCA" w:rsidP="00E73DCA">
      <w:pPr>
        <w:numPr>
          <w:ilvl w:val="0"/>
          <w:numId w:val="16"/>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Prices are biased upwards because of the sequential bidding process.</w:t>
      </w:r>
    </w:p>
    <w:p w:rsidR="00E73DCA" w:rsidRPr="00E73DCA" w:rsidRDefault="00E73DCA" w:rsidP="00E73DCA">
      <w:pPr>
        <w:numPr>
          <w:ilvl w:val="0"/>
          <w:numId w:val="16"/>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Real estate prices vary between the average value of potential buyers and the best use of the property.</w:t>
      </w:r>
    </w:p>
    <w:p w:rsidR="00E73DCA" w:rsidRPr="00E73DCA" w:rsidRDefault="00E73DCA" w:rsidP="00E73DCA">
      <w:pPr>
        <w:numPr>
          <w:ilvl w:val="0"/>
          <w:numId w:val="16"/>
        </w:numPr>
        <w:spacing w:before="120" w:after="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lastRenderedPageBreak/>
        <w:t>Some price inefficiency exists: markets are segmented and not everyone has the capital required to conduct a feasibility study; therefore, inefficiency arises.</w:t>
      </w:r>
    </w:p>
    <w:p w:rsidR="00E73DCA" w:rsidRDefault="00E73DCA" w:rsidP="00E73DCA">
      <w:pPr>
        <w:spacing w:before="120" w:after="0" w:line="240" w:lineRule="auto"/>
        <w:rPr>
          <w:rFonts w:ascii="Verdana" w:eastAsia="Times New Roman" w:hAnsi="Verdana" w:cs="Times New Roman"/>
          <w:color w:val="393939"/>
          <w:sz w:val="18"/>
          <w:szCs w:val="18"/>
        </w:rPr>
      </w:pPr>
    </w:p>
    <w:p w:rsidR="00E73DCA" w:rsidRPr="00E73DCA" w:rsidRDefault="00E73DCA" w:rsidP="00E73DCA">
      <w:pPr>
        <w:spacing w:before="75" w:after="75" w:line="240" w:lineRule="auto"/>
        <w:outlineLvl w:val="2"/>
        <w:rPr>
          <w:rFonts w:ascii="Verdana" w:eastAsia="Times New Roman" w:hAnsi="Verdana" w:cs="Times New Roman"/>
          <w:b/>
          <w:bCs/>
          <w:color w:val="958616"/>
          <w:sz w:val="24"/>
          <w:szCs w:val="24"/>
        </w:rPr>
      </w:pPr>
      <w:r w:rsidRPr="00E73DCA">
        <w:rPr>
          <w:rFonts w:ascii="Verdana" w:eastAsia="Times New Roman" w:hAnsi="Verdana" w:cs="Times New Roman"/>
          <w:b/>
          <w:bCs/>
          <w:color w:val="958616"/>
          <w:sz w:val="24"/>
          <w:szCs w:val="24"/>
        </w:rPr>
        <w:t>Conclusion</w:t>
      </w:r>
    </w:p>
    <w:p w:rsidR="00E73DCA" w:rsidRPr="00E73DCA" w:rsidRDefault="00E73DCA" w:rsidP="00E73DCA">
      <w:pPr>
        <w:numPr>
          <w:ilvl w:val="0"/>
          <w:numId w:val="17"/>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Historical models used in the stock market such as the Capital Asset Pricing Model (CAPM) and the Arbitrage Pricing Model (APM) have proved to be unsuccessful in real estate.</w:t>
      </w:r>
    </w:p>
    <w:p w:rsidR="00E73DCA" w:rsidRPr="00E73DCA" w:rsidRDefault="00E73DCA" w:rsidP="00E73DCA">
      <w:pPr>
        <w:numPr>
          <w:ilvl w:val="0"/>
          <w:numId w:val="17"/>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The Summation approach still works best.</w:t>
      </w:r>
    </w:p>
    <w:p w:rsidR="00E73DCA" w:rsidRPr="00E73DCA" w:rsidRDefault="00E73DCA" w:rsidP="00E73DCA">
      <w:pPr>
        <w:numPr>
          <w:ilvl w:val="0"/>
          <w:numId w:val="17"/>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A gap exists (market price versus mean expected).</w:t>
      </w:r>
    </w:p>
    <w:p w:rsidR="00E73DCA" w:rsidRPr="00E73DCA" w:rsidRDefault="00E73DCA" w:rsidP="00E73DCA">
      <w:pPr>
        <w:numPr>
          <w:ilvl w:val="0"/>
          <w:numId w:val="17"/>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Optimists buy and no short selling, i.e., price estimate less than market price.</w:t>
      </w:r>
    </w:p>
    <w:p w:rsidR="00E73DCA" w:rsidRPr="00E73DCA" w:rsidRDefault="00E73DCA" w:rsidP="00E73DCA">
      <w:pPr>
        <w:numPr>
          <w:ilvl w:val="0"/>
          <w:numId w:val="17"/>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The studies provide a balanced view of current issues.</w:t>
      </w:r>
    </w:p>
    <w:p w:rsidR="00E73DCA" w:rsidRPr="00E73DCA" w:rsidRDefault="00E73DCA" w:rsidP="00E73DCA">
      <w:pPr>
        <w:numPr>
          <w:ilvl w:val="0"/>
          <w:numId w:val="17"/>
        </w:numPr>
        <w:spacing w:before="120" w:after="24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There is a need for redefined models.</w:t>
      </w:r>
    </w:p>
    <w:p w:rsidR="00E73DCA" w:rsidRPr="00E73DCA" w:rsidRDefault="00E73DCA" w:rsidP="00E73DCA">
      <w:pPr>
        <w:numPr>
          <w:ilvl w:val="0"/>
          <w:numId w:val="17"/>
        </w:numPr>
        <w:spacing w:before="120" w:after="0" w:line="240" w:lineRule="auto"/>
        <w:ind w:left="300"/>
        <w:rPr>
          <w:rFonts w:ascii="Verdana" w:eastAsia="Times New Roman" w:hAnsi="Verdana" w:cs="Times New Roman"/>
          <w:color w:val="393939"/>
          <w:sz w:val="18"/>
          <w:szCs w:val="18"/>
        </w:rPr>
      </w:pPr>
      <w:r w:rsidRPr="00E73DCA">
        <w:rPr>
          <w:rFonts w:ascii="Verdana" w:eastAsia="Times New Roman" w:hAnsi="Verdana" w:cs="Times New Roman"/>
          <w:color w:val="393939"/>
          <w:sz w:val="18"/>
          <w:szCs w:val="18"/>
        </w:rPr>
        <w:t xml:space="preserve">Future studies should show or explain how a qualitative variable (i.e., a house is on a corner, pay is in cash, etc.) affects the property value. </w:t>
      </w:r>
    </w:p>
    <w:p w:rsidR="00E73DCA" w:rsidRPr="00E73DCA" w:rsidRDefault="00E73DCA" w:rsidP="00E73DCA">
      <w:pPr>
        <w:spacing w:before="120" w:after="0" w:line="240" w:lineRule="auto"/>
        <w:rPr>
          <w:rFonts w:ascii="Verdana" w:eastAsia="Times New Roman" w:hAnsi="Verdana" w:cs="Times New Roman"/>
          <w:color w:val="393939"/>
          <w:sz w:val="18"/>
          <w:szCs w:val="18"/>
        </w:rPr>
      </w:pPr>
      <w:bookmarkStart w:id="0" w:name="_GoBack"/>
      <w:bookmarkEnd w:id="0"/>
    </w:p>
    <w:p w:rsidR="00E73DCA" w:rsidRPr="00A31DDE" w:rsidRDefault="00E73DCA" w:rsidP="00E73DCA">
      <w:pPr>
        <w:spacing w:before="120" w:after="240" w:line="240" w:lineRule="auto"/>
        <w:rPr>
          <w:rFonts w:ascii="Verdana" w:eastAsia="Times New Roman" w:hAnsi="Verdana" w:cs="Times New Roman"/>
          <w:color w:val="393939"/>
          <w:sz w:val="18"/>
          <w:szCs w:val="18"/>
        </w:rPr>
      </w:pPr>
    </w:p>
    <w:sectPr w:rsidR="00E73DCA" w:rsidRPr="00A31D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9698B"/>
    <w:multiLevelType w:val="multilevel"/>
    <w:tmpl w:val="AB4E73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6C54BA"/>
    <w:multiLevelType w:val="multilevel"/>
    <w:tmpl w:val="680AD5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4072F2"/>
    <w:multiLevelType w:val="multilevel"/>
    <w:tmpl w:val="E7E870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9A2462"/>
    <w:multiLevelType w:val="multilevel"/>
    <w:tmpl w:val="955A2616"/>
    <w:lvl w:ilvl="0">
      <w:start w:val="1"/>
      <w:numFmt w:val="bullet"/>
      <w:lvlText w:val=""/>
      <w:lvlJc w:val="left"/>
      <w:pPr>
        <w:tabs>
          <w:tab w:val="num" w:pos="720"/>
        </w:tabs>
        <w:ind w:left="720" w:hanging="360"/>
      </w:pPr>
      <w:rPr>
        <w:rFonts w:ascii="Wingdings" w:hAnsi="Wingdings" w:hint="default"/>
        <w:color w:val="auto"/>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845EED"/>
    <w:multiLevelType w:val="multilevel"/>
    <w:tmpl w:val="EC4EF0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3C6E1B"/>
    <w:multiLevelType w:val="hybridMultilevel"/>
    <w:tmpl w:val="D44AD46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D945B2A"/>
    <w:multiLevelType w:val="hybridMultilevel"/>
    <w:tmpl w:val="780E1F2E"/>
    <w:lvl w:ilvl="0" w:tplc="10090003">
      <w:start w:val="1"/>
      <w:numFmt w:val="bullet"/>
      <w:lvlText w:val="o"/>
      <w:lvlJc w:val="left"/>
      <w:pPr>
        <w:ind w:left="1211" w:hanging="360"/>
      </w:pPr>
      <w:rPr>
        <w:rFonts w:ascii="Courier New" w:hAnsi="Courier New" w:cs="Courier New"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7">
    <w:nsid w:val="4F332F06"/>
    <w:multiLevelType w:val="multilevel"/>
    <w:tmpl w:val="5E88E1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B428CD"/>
    <w:multiLevelType w:val="multilevel"/>
    <w:tmpl w:val="164261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52343A"/>
    <w:multiLevelType w:val="multilevel"/>
    <w:tmpl w:val="F09067E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211"/>
        </w:tabs>
        <w:ind w:left="1211"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E661E2"/>
    <w:multiLevelType w:val="hybridMultilevel"/>
    <w:tmpl w:val="D08412D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5C7D6D69"/>
    <w:multiLevelType w:val="multilevel"/>
    <w:tmpl w:val="5AF4A1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9B046EC"/>
    <w:multiLevelType w:val="multilevel"/>
    <w:tmpl w:val="00FE73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A087171"/>
    <w:multiLevelType w:val="multilevel"/>
    <w:tmpl w:val="A5E60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71E18AD"/>
    <w:multiLevelType w:val="multilevel"/>
    <w:tmpl w:val="C61E14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BB47E5"/>
    <w:multiLevelType w:val="multilevel"/>
    <w:tmpl w:val="9E6C21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D76D1B"/>
    <w:multiLevelType w:val="multilevel"/>
    <w:tmpl w:val="DA6A97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15"/>
  </w:num>
  <w:num w:numId="5">
    <w:abstractNumId w:val="13"/>
  </w:num>
  <w:num w:numId="6">
    <w:abstractNumId w:val="16"/>
  </w:num>
  <w:num w:numId="7">
    <w:abstractNumId w:val="7"/>
  </w:num>
  <w:num w:numId="8">
    <w:abstractNumId w:val="9"/>
  </w:num>
  <w:num w:numId="9">
    <w:abstractNumId w:val="11"/>
  </w:num>
  <w:num w:numId="10">
    <w:abstractNumId w:val="6"/>
  </w:num>
  <w:num w:numId="11">
    <w:abstractNumId w:val="10"/>
  </w:num>
  <w:num w:numId="12">
    <w:abstractNumId w:val="12"/>
  </w:num>
  <w:num w:numId="13">
    <w:abstractNumId w:val="0"/>
  </w:num>
  <w:num w:numId="14">
    <w:abstractNumId w:val="1"/>
  </w:num>
  <w:num w:numId="15">
    <w:abstractNumId w:val="14"/>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DDE"/>
    <w:rsid w:val="006A016E"/>
    <w:rsid w:val="00A31DDE"/>
    <w:rsid w:val="00D111C1"/>
    <w:rsid w:val="00E73DCA"/>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31DDE"/>
    <w:pPr>
      <w:spacing w:before="75" w:after="75" w:line="240" w:lineRule="auto"/>
      <w:outlineLvl w:val="2"/>
    </w:pPr>
    <w:rPr>
      <w:rFonts w:ascii="Verdana" w:eastAsia="Times New Roman" w:hAnsi="Verdana" w:cs="Times New Roman"/>
      <w:b/>
      <w:bCs/>
      <w:color w:val="958616"/>
      <w:sz w:val="24"/>
      <w:szCs w:val="24"/>
    </w:rPr>
  </w:style>
  <w:style w:type="paragraph" w:styleId="Heading4">
    <w:name w:val="heading 4"/>
    <w:basedOn w:val="Normal"/>
    <w:link w:val="Heading4Char"/>
    <w:uiPriority w:val="9"/>
    <w:qFormat/>
    <w:rsid w:val="00A31DDE"/>
    <w:pPr>
      <w:spacing w:before="75" w:after="75" w:line="240" w:lineRule="auto"/>
      <w:outlineLvl w:val="3"/>
    </w:pPr>
    <w:rPr>
      <w:rFonts w:ascii="Verdana" w:eastAsia="Times New Roman" w:hAnsi="Verdana" w:cs="Times New Roman"/>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1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DDE"/>
    <w:rPr>
      <w:rFonts w:ascii="Tahoma" w:hAnsi="Tahoma" w:cs="Tahoma"/>
      <w:sz w:val="16"/>
      <w:szCs w:val="16"/>
    </w:rPr>
  </w:style>
  <w:style w:type="paragraph" w:styleId="ListParagraph">
    <w:name w:val="List Paragraph"/>
    <w:basedOn w:val="Normal"/>
    <w:uiPriority w:val="34"/>
    <w:qFormat/>
    <w:rsid w:val="00A31DDE"/>
    <w:pPr>
      <w:ind w:left="720"/>
      <w:contextualSpacing/>
    </w:pPr>
  </w:style>
  <w:style w:type="character" w:customStyle="1" w:styleId="Heading3Char">
    <w:name w:val="Heading 3 Char"/>
    <w:basedOn w:val="DefaultParagraphFont"/>
    <w:link w:val="Heading3"/>
    <w:uiPriority w:val="9"/>
    <w:rsid w:val="00A31DDE"/>
    <w:rPr>
      <w:rFonts w:ascii="Verdana" w:eastAsia="Times New Roman" w:hAnsi="Verdana" w:cs="Times New Roman"/>
      <w:b/>
      <w:bCs/>
      <w:color w:val="958616"/>
      <w:sz w:val="24"/>
      <w:szCs w:val="24"/>
    </w:rPr>
  </w:style>
  <w:style w:type="character" w:customStyle="1" w:styleId="Heading4Char">
    <w:name w:val="Heading 4 Char"/>
    <w:basedOn w:val="DefaultParagraphFont"/>
    <w:link w:val="Heading4"/>
    <w:uiPriority w:val="9"/>
    <w:rsid w:val="00A31DDE"/>
    <w:rPr>
      <w:rFonts w:ascii="Verdana" w:eastAsia="Times New Roman" w:hAnsi="Verdana" w:cs="Times New Roman"/>
      <w:b/>
      <w:bCs/>
      <w:color w:val="000000"/>
      <w:sz w:val="20"/>
      <w:szCs w:val="20"/>
    </w:rPr>
  </w:style>
  <w:style w:type="character" w:styleId="Strong">
    <w:name w:val="Strong"/>
    <w:basedOn w:val="DefaultParagraphFont"/>
    <w:uiPriority w:val="22"/>
    <w:qFormat/>
    <w:rsid w:val="00A31DDE"/>
    <w:rPr>
      <w:b/>
      <w:bCs/>
      <w:i w:val="0"/>
      <w:iCs w:val="0"/>
    </w:rPr>
  </w:style>
  <w:style w:type="paragraph" w:styleId="NormalWeb">
    <w:name w:val="Normal (Web)"/>
    <w:basedOn w:val="Normal"/>
    <w:uiPriority w:val="99"/>
    <w:semiHidden/>
    <w:unhideWhenUsed/>
    <w:rsid w:val="00A31DDE"/>
    <w:pPr>
      <w:spacing w:before="75" w:after="75" w:line="240" w:lineRule="auto"/>
    </w:pPr>
    <w:rPr>
      <w:rFonts w:ascii="Times New Roman" w:eastAsia="Times New Roman" w:hAnsi="Times New Roman" w:cs="Times New Roman"/>
      <w:sz w:val="24"/>
      <w:szCs w:val="24"/>
    </w:rPr>
  </w:style>
  <w:style w:type="character" w:customStyle="1" w:styleId="note1">
    <w:name w:val="note1"/>
    <w:basedOn w:val="DefaultParagraphFont"/>
    <w:rsid w:val="00A31DDE"/>
    <w:rPr>
      <w:color w:val="39393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31DDE"/>
    <w:pPr>
      <w:spacing w:before="75" w:after="75" w:line="240" w:lineRule="auto"/>
      <w:outlineLvl w:val="2"/>
    </w:pPr>
    <w:rPr>
      <w:rFonts w:ascii="Verdana" w:eastAsia="Times New Roman" w:hAnsi="Verdana" w:cs="Times New Roman"/>
      <w:b/>
      <w:bCs/>
      <w:color w:val="958616"/>
      <w:sz w:val="24"/>
      <w:szCs w:val="24"/>
    </w:rPr>
  </w:style>
  <w:style w:type="paragraph" w:styleId="Heading4">
    <w:name w:val="heading 4"/>
    <w:basedOn w:val="Normal"/>
    <w:link w:val="Heading4Char"/>
    <w:uiPriority w:val="9"/>
    <w:qFormat/>
    <w:rsid w:val="00A31DDE"/>
    <w:pPr>
      <w:spacing w:before="75" w:after="75" w:line="240" w:lineRule="auto"/>
      <w:outlineLvl w:val="3"/>
    </w:pPr>
    <w:rPr>
      <w:rFonts w:ascii="Verdana" w:eastAsia="Times New Roman" w:hAnsi="Verdana" w:cs="Times New Roman"/>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1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DDE"/>
    <w:rPr>
      <w:rFonts w:ascii="Tahoma" w:hAnsi="Tahoma" w:cs="Tahoma"/>
      <w:sz w:val="16"/>
      <w:szCs w:val="16"/>
    </w:rPr>
  </w:style>
  <w:style w:type="paragraph" w:styleId="ListParagraph">
    <w:name w:val="List Paragraph"/>
    <w:basedOn w:val="Normal"/>
    <w:uiPriority w:val="34"/>
    <w:qFormat/>
    <w:rsid w:val="00A31DDE"/>
    <w:pPr>
      <w:ind w:left="720"/>
      <w:contextualSpacing/>
    </w:pPr>
  </w:style>
  <w:style w:type="character" w:customStyle="1" w:styleId="Heading3Char">
    <w:name w:val="Heading 3 Char"/>
    <w:basedOn w:val="DefaultParagraphFont"/>
    <w:link w:val="Heading3"/>
    <w:uiPriority w:val="9"/>
    <w:rsid w:val="00A31DDE"/>
    <w:rPr>
      <w:rFonts w:ascii="Verdana" w:eastAsia="Times New Roman" w:hAnsi="Verdana" w:cs="Times New Roman"/>
      <w:b/>
      <w:bCs/>
      <w:color w:val="958616"/>
      <w:sz w:val="24"/>
      <w:szCs w:val="24"/>
    </w:rPr>
  </w:style>
  <w:style w:type="character" w:customStyle="1" w:styleId="Heading4Char">
    <w:name w:val="Heading 4 Char"/>
    <w:basedOn w:val="DefaultParagraphFont"/>
    <w:link w:val="Heading4"/>
    <w:uiPriority w:val="9"/>
    <w:rsid w:val="00A31DDE"/>
    <w:rPr>
      <w:rFonts w:ascii="Verdana" w:eastAsia="Times New Roman" w:hAnsi="Verdana" w:cs="Times New Roman"/>
      <w:b/>
      <w:bCs/>
      <w:color w:val="000000"/>
      <w:sz w:val="20"/>
      <w:szCs w:val="20"/>
    </w:rPr>
  </w:style>
  <w:style w:type="character" w:styleId="Strong">
    <w:name w:val="Strong"/>
    <w:basedOn w:val="DefaultParagraphFont"/>
    <w:uiPriority w:val="22"/>
    <w:qFormat/>
    <w:rsid w:val="00A31DDE"/>
    <w:rPr>
      <w:b/>
      <w:bCs/>
      <w:i w:val="0"/>
      <w:iCs w:val="0"/>
    </w:rPr>
  </w:style>
  <w:style w:type="paragraph" w:styleId="NormalWeb">
    <w:name w:val="Normal (Web)"/>
    <w:basedOn w:val="Normal"/>
    <w:uiPriority w:val="99"/>
    <w:semiHidden/>
    <w:unhideWhenUsed/>
    <w:rsid w:val="00A31DDE"/>
    <w:pPr>
      <w:spacing w:before="75" w:after="75" w:line="240" w:lineRule="auto"/>
    </w:pPr>
    <w:rPr>
      <w:rFonts w:ascii="Times New Roman" w:eastAsia="Times New Roman" w:hAnsi="Times New Roman" w:cs="Times New Roman"/>
      <w:sz w:val="24"/>
      <w:szCs w:val="24"/>
    </w:rPr>
  </w:style>
  <w:style w:type="character" w:customStyle="1" w:styleId="note1">
    <w:name w:val="note1"/>
    <w:basedOn w:val="DefaultParagraphFont"/>
    <w:rsid w:val="00A31DDE"/>
    <w:rPr>
      <w:color w:val="39393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11151">
      <w:bodyDiv w:val="1"/>
      <w:marLeft w:val="0"/>
      <w:marRight w:val="0"/>
      <w:marTop w:val="0"/>
      <w:marBottom w:val="0"/>
      <w:divBdr>
        <w:top w:val="none" w:sz="0" w:space="0" w:color="auto"/>
        <w:left w:val="none" w:sz="0" w:space="0" w:color="auto"/>
        <w:bottom w:val="none" w:sz="0" w:space="0" w:color="auto"/>
        <w:right w:val="none" w:sz="0" w:space="0" w:color="auto"/>
      </w:divBdr>
      <w:divsChild>
        <w:div w:id="1668434606">
          <w:marLeft w:val="0"/>
          <w:marRight w:val="0"/>
          <w:marTop w:val="0"/>
          <w:marBottom w:val="0"/>
          <w:divBdr>
            <w:top w:val="none" w:sz="0" w:space="0" w:color="auto"/>
            <w:left w:val="none" w:sz="0" w:space="0" w:color="auto"/>
            <w:bottom w:val="none" w:sz="0" w:space="0" w:color="auto"/>
            <w:right w:val="none" w:sz="0" w:space="0" w:color="auto"/>
          </w:divBdr>
          <w:divsChild>
            <w:div w:id="724109749">
              <w:marLeft w:val="0"/>
              <w:marRight w:val="0"/>
              <w:marTop w:val="0"/>
              <w:marBottom w:val="0"/>
              <w:divBdr>
                <w:top w:val="none" w:sz="0" w:space="0" w:color="auto"/>
                <w:left w:val="none" w:sz="0" w:space="0" w:color="auto"/>
                <w:bottom w:val="none" w:sz="0" w:space="0" w:color="auto"/>
                <w:right w:val="none" w:sz="0" w:space="0" w:color="auto"/>
              </w:divBdr>
              <w:divsChild>
                <w:div w:id="392198497">
                  <w:marLeft w:val="0"/>
                  <w:marRight w:val="0"/>
                  <w:marTop w:val="0"/>
                  <w:marBottom w:val="0"/>
                  <w:divBdr>
                    <w:top w:val="none" w:sz="0" w:space="0" w:color="auto"/>
                    <w:left w:val="none" w:sz="0" w:space="0" w:color="auto"/>
                    <w:bottom w:val="none" w:sz="0" w:space="0" w:color="auto"/>
                    <w:right w:val="none" w:sz="0" w:space="0" w:color="auto"/>
                  </w:divBdr>
                  <w:divsChild>
                    <w:div w:id="511534101">
                      <w:marLeft w:val="0"/>
                      <w:marRight w:val="0"/>
                      <w:marTop w:val="0"/>
                      <w:marBottom w:val="0"/>
                      <w:divBdr>
                        <w:top w:val="none" w:sz="0" w:space="0" w:color="auto"/>
                        <w:left w:val="none" w:sz="0" w:space="0" w:color="auto"/>
                        <w:bottom w:val="none" w:sz="0" w:space="0" w:color="auto"/>
                        <w:right w:val="none" w:sz="0" w:space="0" w:color="auto"/>
                      </w:divBdr>
                      <w:divsChild>
                        <w:div w:id="483282590">
                          <w:marLeft w:val="0"/>
                          <w:marRight w:val="0"/>
                          <w:marTop w:val="0"/>
                          <w:marBottom w:val="0"/>
                          <w:divBdr>
                            <w:top w:val="none" w:sz="0" w:space="0" w:color="auto"/>
                            <w:left w:val="none" w:sz="0" w:space="0" w:color="auto"/>
                            <w:bottom w:val="none" w:sz="0" w:space="0" w:color="auto"/>
                            <w:right w:val="none" w:sz="0" w:space="0" w:color="auto"/>
                          </w:divBdr>
                          <w:divsChild>
                            <w:div w:id="1717848970">
                              <w:marLeft w:val="0"/>
                              <w:marRight w:val="0"/>
                              <w:marTop w:val="0"/>
                              <w:marBottom w:val="0"/>
                              <w:divBdr>
                                <w:top w:val="none" w:sz="0" w:space="0" w:color="auto"/>
                                <w:left w:val="none" w:sz="0" w:space="0" w:color="auto"/>
                                <w:bottom w:val="none" w:sz="0" w:space="0" w:color="auto"/>
                                <w:right w:val="none" w:sz="0" w:space="0" w:color="auto"/>
                              </w:divBdr>
                              <w:divsChild>
                                <w:div w:id="1906643074">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1671742">
      <w:bodyDiv w:val="1"/>
      <w:marLeft w:val="0"/>
      <w:marRight w:val="0"/>
      <w:marTop w:val="0"/>
      <w:marBottom w:val="0"/>
      <w:divBdr>
        <w:top w:val="none" w:sz="0" w:space="0" w:color="auto"/>
        <w:left w:val="none" w:sz="0" w:space="0" w:color="auto"/>
        <w:bottom w:val="none" w:sz="0" w:space="0" w:color="auto"/>
        <w:right w:val="none" w:sz="0" w:space="0" w:color="auto"/>
      </w:divBdr>
      <w:divsChild>
        <w:div w:id="1276979003">
          <w:marLeft w:val="0"/>
          <w:marRight w:val="0"/>
          <w:marTop w:val="0"/>
          <w:marBottom w:val="0"/>
          <w:divBdr>
            <w:top w:val="none" w:sz="0" w:space="0" w:color="auto"/>
            <w:left w:val="none" w:sz="0" w:space="0" w:color="auto"/>
            <w:bottom w:val="none" w:sz="0" w:space="0" w:color="auto"/>
            <w:right w:val="none" w:sz="0" w:space="0" w:color="auto"/>
          </w:divBdr>
          <w:divsChild>
            <w:div w:id="1501002265">
              <w:marLeft w:val="0"/>
              <w:marRight w:val="0"/>
              <w:marTop w:val="0"/>
              <w:marBottom w:val="0"/>
              <w:divBdr>
                <w:top w:val="none" w:sz="0" w:space="0" w:color="auto"/>
                <w:left w:val="none" w:sz="0" w:space="0" w:color="auto"/>
                <w:bottom w:val="none" w:sz="0" w:space="0" w:color="auto"/>
                <w:right w:val="none" w:sz="0" w:space="0" w:color="auto"/>
              </w:divBdr>
              <w:divsChild>
                <w:div w:id="1466971762">
                  <w:marLeft w:val="0"/>
                  <w:marRight w:val="0"/>
                  <w:marTop w:val="0"/>
                  <w:marBottom w:val="0"/>
                  <w:divBdr>
                    <w:top w:val="none" w:sz="0" w:space="0" w:color="auto"/>
                    <w:left w:val="none" w:sz="0" w:space="0" w:color="auto"/>
                    <w:bottom w:val="none" w:sz="0" w:space="0" w:color="auto"/>
                    <w:right w:val="none" w:sz="0" w:space="0" w:color="auto"/>
                  </w:divBdr>
                  <w:divsChild>
                    <w:div w:id="801046543">
                      <w:marLeft w:val="0"/>
                      <w:marRight w:val="0"/>
                      <w:marTop w:val="0"/>
                      <w:marBottom w:val="0"/>
                      <w:divBdr>
                        <w:top w:val="none" w:sz="0" w:space="0" w:color="auto"/>
                        <w:left w:val="none" w:sz="0" w:space="0" w:color="auto"/>
                        <w:bottom w:val="none" w:sz="0" w:space="0" w:color="auto"/>
                        <w:right w:val="none" w:sz="0" w:space="0" w:color="auto"/>
                      </w:divBdr>
                      <w:divsChild>
                        <w:div w:id="1259096140">
                          <w:marLeft w:val="0"/>
                          <w:marRight w:val="0"/>
                          <w:marTop w:val="0"/>
                          <w:marBottom w:val="0"/>
                          <w:divBdr>
                            <w:top w:val="none" w:sz="0" w:space="0" w:color="auto"/>
                            <w:left w:val="none" w:sz="0" w:space="0" w:color="auto"/>
                            <w:bottom w:val="none" w:sz="0" w:space="0" w:color="auto"/>
                            <w:right w:val="none" w:sz="0" w:space="0" w:color="auto"/>
                          </w:divBdr>
                          <w:divsChild>
                            <w:div w:id="1853450743">
                              <w:marLeft w:val="0"/>
                              <w:marRight w:val="0"/>
                              <w:marTop w:val="0"/>
                              <w:marBottom w:val="0"/>
                              <w:divBdr>
                                <w:top w:val="none" w:sz="0" w:space="0" w:color="auto"/>
                                <w:left w:val="none" w:sz="0" w:space="0" w:color="auto"/>
                                <w:bottom w:val="none" w:sz="0" w:space="0" w:color="auto"/>
                                <w:right w:val="none" w:sz="0" w:space="0" w:color="auto"/>
                              </w:divBdr>
                              <w:divsChild>
                                <w:div w:id="431439229">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9487050">
      <w:bodyDiv w:val="1"/>
      <w:marLeft w:val="0"/>
      <w:marRight w:val="0"/>
      <w:marTop w:val="0"/>
      <w:marBottom w:val="0"/>
      <w:divBdr>
        <w:top w:val="none" w:sz="0" w:space="0" w:color="auto"/>
        <w:left w:val="none" w:sz="0" w:space="0" w:color="auto"/>
        <w:bottom w:val="none" w:sz="0" w:space="0" w:color="auto"/>
        <w:right w:val="none" w:sz="0" w:space="0" w:color="auto"/>
      </w:divBdr>
      <w:divsChild>
        <w:div w:id="563226490">
          <w:marLeft w:val="0"/>
          <w:marRight w:val="0"/>
          <w:marTop w:val="0"/>
          <w:marBottom w:val="0"/>
          <w:divBdr>
            <w:top w:val="none" w:sz="0" w:space="0" w:color="auto"/>
            <w:left w:val="none" w:sz="0" w:space="0" w:color="auto"/>
            <w:bottom w:val="none" w:sz="0" w:space="0" w:color="auto"/>
            <w:right w:val="none" w:sz="0" w:space="0" w:color="auto"/>
          </w:divBdr>
          <w:divsChild>
            <w:div w:id="1182207712">
              <w:marLeft w:val="0"/>
              <w:marRight w:val="0"/>
              <w:marTop w:val="0"/>
              <w:marBottom w:val="0"/>
              <w:divBdr>
                <w:top w:val="none" w:sz="0" w:space="0" w:color="auto"/>
                <w:left w:val="none" w:sz="0" w:space="0" w:color="auto"/>
                <w:bottom w:val="none" w:sz="0" w:space="0" w:color="auto"/>
                <w:right w:val="none" w:sz="0" w:space="0" w:color="auto"/>
              </w:divBdr>
              <w:divsChild>
                <w:div w:id="471826386">
                  <w:marLeft w:val="0"/>
                  <w:marRight w:val="0"/>
                  <w:marTop w:val="0"/>
                  <w:marBottom w:val="0"/>
                  <w:divBdr>
                    <w:top w:val="none" w:sz="0" w:space="0" w:color="auto"/>
                    <w:left w:val="none" w:sz="0" w:space="0" w:color="auto"/>
                    <w:bottom w:val="none" w:sz="0" w:space="0" w:color="auto"/>
                    <w:right w:val="none" w:sz="0" w:space="0" w:color="auto"/>
                  </w:divBdr>
                  <w:divsChild>
                    <w:div w:id="1213037010">
                      <w:marLeft w:val="0"/>
                      <w:marRight w:val="0"/>
                      <w:marTop w:val="0"/>
                      <w:marBottom w:val="0"/>
                      <w:divBdr>
                        <w:top w:val="none" w:sz="0" w:space="0" w:color="auto"/>
                        <w:left w:val="none" w:sz="0" w:space="0" w:color="auto"/>
                        <w:bottom w:val="none" w:sz="0" w:space="0" w:color="auto"/>
                        <w:right w:val="none" w:sz="0" w:space="0" w:color="auto"/>
                      </w:divBdr>
                      <w:divsChild>
                        <w:div w:id="629551209">
                          <w:marLeft w:val="0"/>
                          <w:marRight w:val="0"/>
                          <w:marTop w:val="0"/>
                          <w:marBottom w:val="0"/>
                          <w:divBdr>
                            <w:top w:val="none" w:sz="0" w:space="0" w:color="auto"/>
                            <w:left w:val="none" w:sz="0" w:space="0" w:color="auto"/>
                            <w:bottom w:val="none" w:sz="0" w:space="0" w:color="auto"/>
                            <w:right w:val="none" w:sz="0" w:space="0" w:color="auto"/>
                          </w:divBdr>
                          <w:divsChild>
                            <w:div w:id="35350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467397">
      <w:bodyDiv w:val="1"/>
      <w:marLeft w:val="0"/>
      <w:marRight w:val="0"/>
      <w:marTop w:val="0"/>
      <w:marBottom w:val="0"/>
      <w:divBdr>
        <w:top w:val="none" w:sz="0" w:space="0" w:color="auto"/>
        <w:left w:val="none" w:sz="0" w:space="0" w:color="auto"/>
        <w:bottom w:val="none" w:sz="0" w:space="0" w:color="auto"/>
        <w:right w:val="none" w:sz="0" w:space="0" w:color="auto"/>
      </w:divBdr>
      <w:divsChild>
        <w:div w:id="1479418606">
          <w:marLeft w:val="0"/>
          <w:marRight w:val="0"/>
          <w:marTop w:val="0"/>
          <w:marBottom w:val="0"/>
          <w:divBdr>
            <w:top w:val="none" w:sz="0" w:space="0" w:color="auto"/>
            <w:left w:val="none" w:sz="0" w:space="0" w:color="auto"/>
            <w:bottom w:val="none" w:sz="0" w:space="0" w:color="auto"/>
            <w:right w:val="none" w:sz="0" w:space="0" w:color="auto"/>
          </w:divBdr>
          <w:divsChild>
            <w:div w:id="1451627036">
              <w:marLeft w:val="0"/>
              <w:marRight w:val="0"/>
              <w:marTop w:val="0"/>
              <w:marBottom w:val="0"/>
              <w:divBdr>
                <w:top w:val="none" w:sz="0" w:space="0" w:color="auto"/>
                <w:left w:val="none" w:sz="0" w:space="0" w:color="auto"/>
                <w:bottom w:val="none" w:sz="0" w:space="0" w:color="auto"/>
                <w:right w:val="none" w:sz="0" w:space="0" w:color="auto"/>
              </w:divBdr>
              <w:divsChild>
                <w:div w:id="1059132146">
                  <w:marLeft w:val="0"/>
                  <w:marRight w:val="0"/>
                  <w:marTop w:val="0"/>
                  <w:marBottom w:val="0"/>
                  <w:divBdr>
                    <w:top w:val="none" w:sz="0" w:space="0" w:color="auto"/>
                    <w:left w:val="none" w:sz="0" w:space="0" w:color="auto"/>
                    <w:bottom w:val="none" w:sz="0" w:space="0" w:color="auto"/>
                    <w:right w:val="none" w:sz="0" w:space="0" w:color="auto"/>
                  </w:divBdr>
                  <w:divsChild>
                    <w:div w:id="1676223305">
                      <w:marLeft w:val="0"/>
                      <w:marRight w:val="0"/>
                      <w:marTop w:val="0"/>
                      <w:marBottom w:val="0"/>
                      <w:divBdr>
                        <w:top w:val="none" w:sz="0" w:space="0" w:color="auto"/>
                        <w:left w:val="none" w:sz="0" w:space="0" w:color="auto"/>
                        <w:bottom w:val="none" w:sz="0" w:space="0" w:color="auto"/>
                        <w:right w:val="none" w:sz="0" w:space="0" w:color="auto"/>
                      </w:divBdr>
                      <w:divsChild>
                        <w:div w:id="1741832269">
                          <w:marLeft w:val="0"/>
                          <w:marRight w:val="0"/>
                          <w:marTop w:val="0"/>
                          <w:marBottom w:val="0"/>
                          <w:divBdr>
                            <w:top w:val="none" w:sz="0" w:space="0" w:color="auto"/>
                            <w:left w:val="none" w:sz="0" w:space="0" w:color="auto"/>
                            <w:bottom w:val="none" w:sz="0" w:space="0" w:color="auto"/>
                            <w:right w:val="none" w:sz="0" w:space="0" w:color="auto"/>
                          </w:divBdr>
                          <w:divsChild>
                            <w:div w:id="87190758">
                              <w:marLeft w:val="0"/>
                              <w:marRight w:val="0"/>
                              <w:marTop w:val="0"/>
                              <w:marBottom w:val="0"/>
                              <w:divBdr>
                                <w:top w:val="none" w:sz="0" w:space="0" w:color="auto"/>
                                <w:left w:val="none" w:sz="0" w:space="0" w:color="auto"/>
                                <w:bottom w:val="none" w:sz="0" w:space="0" w:color="auto"/>
                                <w:right w:val="none" w:sz="0" w:space="0" w:color="auto"/>
                              </w:divBdr>
                              <w:divsChild>
                                <w:div w:id="1970934051">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136770">
      <w:bodyDiv w:val="1"/>
      <w:marLeft w:val="0"/>
      <w:marRight w:val="0"/>
      <w:marTop w:val="0"/>
      <w:marBottom w:val="0"/>
      <w:divBdr>
        <w:top w:val="none" w:sz="0" w:space="0" w:color="auto"/>
        <w:left w:val="none" w:sz="0" w:space="0" w:color="auto"/>
        <w:bottom w:val="none" w:sz="0" w:space="0" w:color="auto"/>
        <w:right w:val="none" w:sz="0" w:space="0" w:color="auto"/>
      </w:divBdr>
      <w:divsChild>
        <w:div w:id="1403260279">
          <w:marLeft w:val="0"/>
          <w:marRight w:val="0"/>
          <w:marTop w:val="0"/>
          <w:marBottom w:val="0"/>
          <w:divBdr>
            <w:top w:val="none" w:sz="0" w:space="0" w:color="auto"/>
            <w:left w:val="none" w:sz="0" w:space="0" w:color="auto"/>
            <w:bottom w:val="none" w:sz="0" w:space="0" w:color="auto"/>
            <w:right w:val="none" w:sz="0" w:space="0" w:color="auto"/>
          </w:divBdr>
          <w:divsChild>
            <w:div w:id="1261596458">
              <w:marLeft w:val="0"/>
              <w:marRight w:val="0"/>
              <w:marTop w:val="0"/>
              <w:marBottom w:val="0"/>
              <w:divBdr>
                <w:top w:val="none" w:sz="0" w:space="0" w:color="auto"/>
                <w:left w:val="none" w:sz="0" w:space="0" w:color="auto"/>
                <w:bottom w:val="none" w:sz="0" w:space="0" w:color="auto"/>
                <w:right w:val="none" w:sz="0" w:space="0" w:color="auto"/>
              </w:divBdr>
              <w:divsChild>
                <w:div w:id="283656061">
                  <w:marLeft w:val="0"/>
                  <w:marRight w:val="0"/>
                  <w:marTop w:val="0"/>
                  <w:marBottom w:val="0"/>
                  <w:divBdr>
                    <w:top w:val="none" w:sz="0" w:space="0" w:color="auto"/>
                    <w:left w:val="none" w:sz="0" w:space="0" w:color="auto"/>
                    <w:bottom w:val="none" w:sz="0" w:space="0" w:color="auto"/>
                    <w:right w:val="none" w:sz="0" w:space="0" w:color="auto"/>
                  </w:divBdr>
                  <w:divsChild>
                    <w:div w:id="1276668672">
                      <w:marLeft w:val="0"/>
                      <w:marRight w:val="0"/>
                      <w:marTop w:val="0"/>
                      <w:marBottom w:val="0"/>
                      <w:divBdr>
                        <w:top w:val="none" w:sz="0" w:space="0" w:color="auto"/>
                        <w:left w:val="none" w:sz="0" w:space="0" w:color="auto"/>
                        <w:bottom w:val="none" w:sz="0" w:space="0" w:color="auto"/>
                        <w:right w:val="none" w:sz="0" w:space="0" w:color="auto"/>
                      </w:divBdr>
                      <w:divsChild>
                        <w:div w:id="1755199847">
                          <w:marLeft w:val="0"/>
                          <w:marRight w:val="0"/>
                          <w:marTop w:val="0"/>
                          <w:marBottom w:val="0"/>
                          <w:divBdr>
                            <w:top w:val="none" w:sz="0" w:space="0" w:color="auto"/>
                            <w:left w:val="none" w:sz="0" w:space="0" w:color="auto"/>
                            <w:bottom w:val="none" w:sz="0" w:space="0" w:color="auto"/>
                            <w:right w:val="none" w:sz="0" w:space="0" w:color="auto"/>
                          </w:divBdr>
                          <w:divsChild>
                            <w:div w:id="200242177">
                              <w:marLeft w:val="0"/>
                              <w:marRight w:val="0"/>
                              <w:marTop w:val="0"/>
                              <w:marBottom w:val="0"/>
                              <w:divBdr>
                                <w:top w:val="none" w:sz="0" w:space="0" w:color="auto"/>
                                <w:left w:val="none" w:sz="0" w:space="0" w:color="auto"/>
                                <w:bottom w:val="none" w:sz="0" w:space="0" w:color="auto"/>
                                <w:right w:val="none" w:sz="0" w:space="0" w:color="auto"/>
                              </w:divBdr>
                              <w:divsChild>
                                <w:div w:id="1043870846">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7057638">
      <w:bodyDiv w:val="1"/>
      <w:marLeft w:val="0"/>
      <w:marRight w:val="0"/>
      <w:marTop w:val="0"/>
      <w:marBottom w:val="0"/>
      <w:divBdr>
        <w:top w:val="none" w:sz="0" w:space="0" w:color="auto"/>
        <w:left w:val="none" w:sz="0" w:space="0" w:color="auto"/>
        <w:bottom w:val="none" w:sz="0" w:space="0" w:color="auto"/>
        <w:right w:val="none" w:sz="0" w:space="0" w:color="auto"/>
      </w:divBdr>
      <w:divsChild>
        <w:div w:id="266885564">
          <w:marLeft w:val="0"/>
          <w:marRight w:val="0"/>
          <w:marTop w:val="0"/>
          <w:marBottom w:val="0"/>
          <w:divBdr>
            <w:top w:val="none" w:sz="0" w:space="0" w:color="auto"/>
            <w:left w:val="none" w:sz="0" w:space="0" w:color="auto"/>
            <w:bottom w:val="none" w:sz="0" w:space="0" w:color="auto"/>
            <w:right w:val="none" w:sz="0" w:space="0" w:color="auto"/>
          </w:divBdr>
          <w:divsChild>
            <w:div w:id="223371865">
              <w:marLeft w:val="0"/>
              <w:marRight w:val="0"/>
              <w:marTop w:val="0"/>
              <w:marBottom w:val="0"/>
              <w:divBdr>
                <w:top w:val="none" w:sz="0" w:space="0" w:color="auto"/>
                <w:left w:val="none" w:sz="0" w:space="0" w:color="auto"/>
                <w:bottom w:val="none" w:sz="0" w:space="0" w:color="auto"/>
                <w:right w:val="none" w:sz="0" w:space="0" w:color="auto"/>
              </w:divBdr>
              <w:divsChild>
                <w:div w:id="1473405926">
                  <w:marLeft w:val="0"/>
                  <w:marRight w:val="0"/>
                  <w:marTop w:val="0"/>
                  <w:marBottom w:val="0"/>
                  <w:divBdr>
                    <w:top w:val="none" w:sz="0" w:space="0" w:color="auto"/>
                    <w:left w:val="none" w:sz="0" w:space="0" w:color="auto"/>
                    <w:bottom w:val="none" w:sz="0" w:space="0" w:color="auto"/>
                    <w:right w:val="none" w:sz="0" w:space="0" w:color="auto"/>
                  </w:divBdr>
                  <w:divsChild>
                    <w:div w:id="1515342488">
                      <w:marLeft w:val="0"/>
                      <w:marRight w:val="0"/>
                      <w:marTop w:val="0"/>
                      <w:marBottom w:val="0"/>
                      <w:divBdr>
                        <w:top w:val="none" w:sz="0" w:space="0" w:color="auto"/>
                        <w:left w:val="none" w:sz="0" w:space="0" w:color="auto"/>
                        <w:bottom w:val="none" w:sz="0" w:space="0" w:color="auto"/>
                        <w:right w:val="none" w:sz="0" w:space="0" w:color="auto"/>
                      </w:divBdr>
                      <w:divsChild>
                        <w:div w:id="919143316">
                          <w:marLeft w:val="0"/>
                          <w:marRight w:val="0"/>
                          <w:marTop w:val="0"/>
                          <w:marBottom w:val="0"/>
                          <w:divBdr>
                            <w:top w:val="none" w:sz="0" w:space="0" w:color="auto"/>
                            <w:left w:val="none" w:sz="0" w:space="0" w:color="auto"/>
                            <w:bottom w:val="none" w:sz="0" w:space="0" w:color="auto"/>
                            <w:right w:val="none" w:sz="0" w:space="0" w:color="auto"/>
                          </w:divBdr>
                          <w:divsChild>
                            <w:div w:id="2016303011">
                              <w:marLeft w:val="0"/>
                              <w:marRight w:val="0"/>
                              <w:marTop w:val="0"/>
                              <w:marBottom w:val="0"/>
                              <w:divBdr>
                                <w:top w:val="none" w:sz="0" w:space="0" w:color="auto"/>
                                <w:left w:val="none" w:sz="0" w:space="0" w:color="auto"/>
                                <w:bottom w:val="none" w:sz="0" w:space="0" w:color="auto"/>
                                <w:right w:val="none" w:sz="0" w:space="0" w:color="auto"/>
                              </w:divBdr>
                              <w:divsChild>
                                <w:div w:id="536967037">
                                  <w:marLeft w:val="150"/>
                                  <w:marRight w:val="30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2507750">
      <w:bodyDiv w:val="1"/>
      <w:marLeft w:val="0"/>
      <w:marRight w:val="0"/>
      <w:marTop w:val="0"/>
      <w:marBottom w:val="0"/>
      <w:divBdr>
        <w:top w:val="none" w:sz="0" w:space="0" w:color="auto"/>
        <w:left w:val="none" w:sz="0" w:space="0" w:color="auto"/>
        <w:bottom w:val="none" w:sz="0" w:space="0" w:color="auto"/>
        <w:right w:val="none" w:sz="0" w:space="0" w:color="auto"/>
      </w:divBdr>
      <w:divsChild>
        <w:div w:id="967975774">
          <w:marLeft w:val="0"/>
          <w:marRight w:val="0"/>
          <w:marTop w:val="0"/>
          <w:marBottom w:val="0"/>
          <w:divBdr>
            <w:top w:val="none" w:sz="0" w:space="0" w:color="auto"/>
            <w:left w:val="none" w:sz="0" w:space="0" w:color="auto"/>
            <w:bottom w:val="none" w:sz="0" w:space="0" w:color="auto"/>
            <w:right w:val="none" w:sz="0" w:space="0" w:color="auto"/>
          </w:divBdr>
          <w:divsChild>
            <w:div w:id="2027557364">
              <w:marLeft w:val="0"/>
              <w:marRight w:val="0"/>
              <w:marTop w:val="0"/>
              <w:marBottom w:val="0"/>
              <w:divBdr>
                <w:top w:val="none" w:sz="0" w:space="0" w:color="auto"/>
                <w:left w:val="none" w:sz="0" w:space="0" w:color="auto"/>
                <w:bottom w:val="none" w:sz="0" w:space="0" w:color="auto"/>
                <w:right w:val="none" w:sz="0" w:space="0" w:color="auto"/>
              </w:divBdr>
              <w:divsChild>
                <w:div w:id="784543280">
                  <w:marLeft w:val="0"/>
                  <w:marRight w:val="0"/>
                  <w:marTop w:val="0"/>
                  <w:marBottom w:val="0"/>
                  <w:divBdr>
                    <w:top w:val="none" w:sz="0" w:space="0" w:color="auto"/>
                    <w:left w:val="none" w:sz="0" w:space="0" w:color="auto"/>
                    <w:bottom w:val="none" w:sz="0" w:space="0" w:color="auto"/>
                    <w:right w:val="none" w:sz="0" w:space="0" w:color="auto"/>
                  </w:divBdr>
                  <w:divsChild>
                    <w:div w:id="1672563969">
                      <w:marLeft w:val="0"/>
                      <w:marRight w:val="0"/>
                      <w:marTop w:val="0"/>
                      <w:marBottom w:val="0"/>
                      <w:divBdr>
                        <w:top w:val="none" w:sz="0" w:space="0" w:color="auto"/>
                        <w:left w:val="none" w:sz="0" w:space="0" w:color="auto"/>
                        <w:bottom w:val="none" w:sz="0" w:space="0" w:color="auto"/>
                        <w:right w:val="none" w:sz="0" w:space="0" w:color="auto"/>
                      </w:divBdr>
                      <w:divsChild>
                        <w:div w:id="449133264">
                          <w:marLeft w:val="0"/>
                          <w:marRight w:val="0"/>
                          <w:marTop w:val="0"/>
                          <w:marBottom w:val="0"/>
                          <w:divBdr>
                            <w:top w:val="none" w:sz="0" w:space="0" w:color="auto"/>
                            <w:left w:val="none" w:sz="0" w:space="0" w:color="auto"/>
                            <w:bottom w:val="none" w:sz="0" w:space="0" w:color="auto"/>
                            <w:right w:val="none" w:sz="0" w:space="0" w:color="auto"/>
                          </w:divBdr>
                          <w:divsChild>
                            <w:div w:id="1393430066">
                              <w:marLeft w:val="0"/>
                              <w:marRight w:val="0"/>
                              <w:marTop w:val="0"/>
                              <w:marBottom w:val="0"/>
                              <w:divBdr>
                                <w:top w:val="none" w:sz="0" w:space="0" w:color="auto"/>
                                <w:left w:val="none" w:sz="0" w:space="0" w:color="auto"/>
                                <w:bottom w:val="none" w:sz="0" w:space="0" w:color="auto"/>
                                <w:right w:val="none" w:sz="0" w:space="0" w:color="auto"/>
                              </w:divBdr>
                              <w:divsChild>
                                <w:div w:id="625164603">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620208">
      <w:bodyDiv w:val="1"/>
      <w:marLeft w:val="0"/>
      <w:marRight w:val="0"/>
      <w:marTop w:val="0"/>
      <w:marBottom w:val="0"/>
      <w:divBdr>
        <w:top w:val="none" w:sz="0" w:space="0" w:color="auto"/>
        <w:left w:val="none" w:sz="0" w:space="0" w:color="auto"/>
        <w:bottom w:val="none" w:sz="0" w:space="0" w:color="auto"/>
        <w:right w:val="none" w:sz="0" w:space="0" w:color="auto"/>
      </w:divBdr>
      <w:divsChild>
        <w:div w:id="823014747">
          <w:marLeft w:val="0"/>
          <w:marRight w:val="0"/>
          <w:marTop w:val="0"/>
          <w:marBottom w:val="0"/>
          <w:divBdr>
            <w:top w:val="none" w:sz="0" w:space="0" w:color="auto"/>
            <w:left w:val="none" w:sz="0" w:space="0" w:color="auto"/>
            <w:bottom w:val="none" w:sz="0" w:space="0" w:color="auto"/>
            <w:right w:val="none" w:sz="0" w:space="0" w:color="auto"/>
          </w:divBdr>
          <w:divsChild>
            <w:div w:id="1601569590">
              <w:marLeft w:val="0"/>
              <w:marRight w:val="0"/>
              <w:marTop w:val="0"/>
              <w:marBottom w:val="0"/>
              <w:divBdr>
                <w:top w:val="none" w:sz="0" w:space="0" w:color="auto"/>
                <w:left w:val="none" w:sz="0" w:space="0" w:color="auto"/>
                <w:bottom w:val="none" w:sz="0" w:space="0" w:color="auto"/>
                <w:right w:val="none" w:sz="0" w:space="0" w:color="auto"/>
              </w:divBdr>
              <w:divsChild>
                <w:div w:id="841164668">
                  <w:marLeft w:val="0"/>
                  <w:marRight w:val="0"/>
                  <w:marTop w:val="0"/>
                  <w:marBottom w:val="0"/>
                  <w:divBdr>
                    <w:top w:val="none" w:sz="0" w:space="0" w:color="auto"/>
                    <w:left w:val="none" w:sz="0" w:space="0" w:color="auto"/>
                    <w:bottom w:val="none" w:sz="0" w:space="0" w:color="auto"/>
                    <w:right w:val="none" w:sz="0" w:space="0" w:color="auto"/>
                  </w:divBdr>
                  <w:divsChild>
                    <w:div w:id="1383746323">
                      <w:marLeft w:val="0"/>
                      <w:marRight w:val="0"/>
                      <w:marTop w:val="0"/>
                      <w:marBottom w:val="0"/>
                      <w:divBdr>
                        <w:top w:val="none" w:sz="0" w:space="0" w:color="auto"/>
                        <w:left w:val="none" w:sz="0" w:space="0" w:color="auto"/>
                        <w:bottom w:val="none" w:sz="0" w:space="0" w:color="auto"/>
                        <w:right w:val="none" w:sz="0" w:space="0" w:color="auto"/>
                      </w:divBdr>
                      <w:divsChild>
                        <w:div w:id="355741675">
                          <w:marLeft w:val="0"/>
                          <w:marRight w:val="0"/>
                          <w:marTop w:val="0"/>
                          <w:marBottom w:val="0"/>
                          <w:divBdr>
                            <w:top w:val="none" w:sz="0" w:space="0" w:color="auto"/>
                            <w:left w:val="none" w:sz="0" w:space="0" w:color="auto"/>
                            <w:bottom w:val="none" w:sz="0" w:space="0" w:color="auto"/>
                            <w:right w:val="none" w:sz="0" w:space="0" w:color="auto"/>
                          </w:divBdr>
                          <w:divsChild>
                            <w:div w:id="1417900314">
                              <w:marLeft w:val="0"/>
                              <w:marRight w:val="0"/>
                              <w:marTop w:val="0"/>
                              <w:marBottom w:val="0"/>
                              <w:divBdr>
                                <w:top w:val="none" w:sz="0" w:space="0" w:color="auto"/>
                                <w:left w:val="none" w:sz="0" w:space="0" w:color="auto"/>
                                <w:bottom w:val="none" w:sz="0" w:space="0" w:color="auto"/>
                                <w:right w:val="none" w:sz="0" w:space="0" w:color="auto"/>
                              </w:divBdr>
                              <w:divsChild>
                                <w:div w:id="1822694075">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2921001">
      <w:bodyDiv w:val="1"/>
      <w:marLeft w:val="0"/>
      <w:marRight w:val="0"/>
      <w:marTop w:val="0"/>
      <w:marBottom w:val="0"/>
      <w:divBdr>
        <w:top w:val="none" w:sz="0" w:space="0" w:color="auto"/>
        <w:left w:val="none" w:sz="0" w:space="0" w:color="auto"/>
        <w:bottom w:val="none" w:sz="0" w:space="0" w:color="auto"/>
        <w:right w:val="none" w:sz="0" w:space="0" w:color="auto"/>
      </w:divBdr>
      <w:divsChild>
        <w:div w:id="2073499629">
          <w:marLeft w:val="0"/>
          <w:marRight w:val="0"/>
          <w:marTop w:val="0"/>
          <w:marBottom w:val="0"/>
          <w:divBdr>
            <w:top w:val="none" w:sz="0" w:space="0" w:color="auto"/>
            <w:left w:val="none" w:sz="0" w:space="0" w:color="auto"/>
            <w:bottom w:val="none" w:sz="0" w:space="0" w:color="auto"/>
            <w:right w:val="none" w:sz="0" w:space="0" w:color="auto"/>
          </w:divBdr>
          <w:divsChild>
            <w:div w:id="1784574100">
              <w:marLeft w:val="0"/>
              <w:marRight w:val="0"/>
              <w:marTop w:val="0"/>
              <w:marBottom w:val="0"/>
              <w:divBdr>
                <w:top w:val="none" w:sz="0" w:space="0" w:color="auto"/>
                <w:left w:val="none" w:sz="0" w:space="0" w:color="auto"/>
                <w:bottom w:val="none" w:sz="0" w:space="0" w:color="auto"/>
                <w:right w:val="none" w:sz="0" w:space="0" w:color="auto"/>
              </w:divBdr>
              <w:divsChild>
                <w:div w:id="1410617999">
                  <w:marLeft w:val="0"/>
                  <w:marRight w:val="0"/>
                  <w:marTop w:val="0"/>
                  <w:marBottom w:val="0"/>
                  <w:divBdr>
                    <w:top w:val="none" w:sz="0" w:space="0" w:color="auto"/>
                    <w:left w:val="none" w:sz="0" w:space="0" w:color="auto"/>
                    <w:bottom w:val="none" w:sz="0" w:space="0" w:color="auto"/>
                    <w:right w:val="none" w:sz="0" w:space="0" w:color="auto"/>
                  </w:divBdr>
                  <w:divsChild>
                    <w:div w:id="1454402413">
                      <w:marLeft w:val="0"/>
                      <w:marRight w:val="0"/>
                      <w:marTop w:val="0"/>
                      <w:marBottom w:val="0"/>
                      <w:divBdr>
                        <w:top w:val="none" w:sz="0" w:space="0" w:color="auto"/>
                        <w:left w:val="none" w:sz="0" w:space="0" w:color="auto"/>
                        <w:bottom w:val="none" w:sz="0" w:space="0" w:color="auto"/>
                        <w:right w:val="none" w:sz="0" w:space="0" w:color="auto"/>
                      </w:divBdr>
                      <w:divsChild>
                        <w:div w:id="476915707">
                          <w:marLeft w:val="0"/>
                          <w:marRight w:val="0"/>
                          <w:marTop w:val="0"/>
                          <w:marBottom w:val="0"/>
                          <w:divBdr>
                            <w:top w:val="none" w:sz="0" w:space="0" w:color="auto"/>
                            <w:left w:val="none" w:sz="0" w:space="0" w:color="auto"/>
                            <w:bottom w:val="none" w:sz="0" w:space="0" w:color="auto"/>
                            <w:right w:val="none" w:sz="0" w:space="0" w:color="auto"/>
                          </w:divBdr>
                          <w:divsChild>
                            <w:div w:id="219024025">
                              <w:marLeft w:val="0"/>
                              <w:marRight w:val="0"/>
                              <w:marTop w:val="0"/>
                              <w:marBottom w:val="0"/>
                              <w:divBdr>
                                <w:top w:val="none" w:sz="0" w:space="0" w:color="auto"/>
                                <w:left w:val="none" w:sz="0" w:space="0" w:color="auto"/>
                                <w:bottom w:val="none" w:sz="0" w:space="0" w:color="auto"/>
                                <w:right w:val="none" w:sz="0" w:space="0" w:color="auto"/>
                              </w:divBdr>
                              <w:divsChild>
                                <w:div w:id="2021614854">
                                  <w:marLeft w:val="0"/>
                                  <w:marRight w:val="0"/>
                                  <w:marTop w:val="0"/>
                                  <w:marBottom w:val="0"/>
                                  <w:divBdr>
                                    <w:top w:val="none" w:sz="0" w:space="0" w:color="auto"/>
                                    <w:left w:val="none" w:sz="0" w:space="0" w:color="auto"/>
                                    <w:bottom w:val="none" w:sz="0" w:space="0" w:color="auto"/>
                                    <w:right w:val="none" w:sz="0" w:space="0" w:color="auto"/>
                                  </w:divBdr>
                                </w:div>
                                <w:div w:id="1862627953">
                                  <w:marLeft w:val="0"/>
                                  <w:marRight w:val="0"/>
                                  <w:marTop w:val="0"/>
                                  <w:marBottom w:val="0"/>
                                  <w:divBdr>
                                    <w:top w:val="single" w:sz="6" w:space="9" w:color="E9E3AE"/>
                                    <w:left w:val="single" w:sz="6" w:space="9" w:color="E9E3AE"/>
                                    <w:bottom w:val="single" w:sz="6" w:space="9" w:color="E9E3AE"/>
                                    <w:right w:val="single" w:sz="6" w:space="9" w:color="E9E3AE"/>
                                  </w:divBdr>
                                  <w:divsChild>
                                    <w:div w:id="2438401">
                                      <w:marLeft w:val="0"/>
                                      <w:marRight w:val="0"/>
                                      <w:marTop w:val="0"/>
                                      <w:marBottom w:val="0"/>
                                      <w:divBdr>
                                        <w:top w:val="none" w:sz="0" w:space="0" w:color="auto"/>
                                        <w:left w:val="none" w:sz="0" w:space="0" w:color="auto"/>
                                        <w:bottom w:val="none" w:sz="0" w:space="0" w:color="auto"/>
                                        <w:right w:val="none" w:sz="0" w:space="0" w:color="auto"/>
                                      </w:divBdr>
                                      <w:divsChild>
                                        <w:div w:id="830220221">
                                          <w:marLeft w:val="150"/>
                                          <w:marRight w:val="15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0084685">
      <w:bodyDiv w:val="1"/>
      <w:marLeft w:val="0"/>
      <w:marRight w:val="0"/>
      <w:marTop w:val="0"/>
      <w:marBottom w:val="0"/>
      <w:divBdr>
        <w:top w:val="none" w:sz="0" w:space="0" w:color="auto"/>
        <w:left w:val="none" w:sz="0" w:space="0" w:color="auto"/>
        <w:bottom w:val="none" w:sz="0" w:space="0" w:color="auto"/>
        <w:right w:val="none" w:sz="0" w:space="0" w:color="auto"/>
      </w:divBdr>
      <w:divsChild>
        <w:div w:id="1350720592">
          <w:marLeft w:val="0"/>
          <w:marRight w:val="0"/>
          <w:marTop w:val="0"/>
          <w:marBottom w:val="0"/>
          <w:divBdr>
            <w:top w:val="none" w:sz="0" w:space="0" w:color="auto"/>
            <w:left w:val="none" w:sz="0" w:space="0" w:color="auto"/>
            <w:bottom w:val="none" w:sz="0" w:space="0" w:color="auto"/>
            <w:right w:val="none" w:sz="0" w:space="0" w:color="auto"/>
          </w:divBdr>
          <w:divsChild>
            <w:div w:id="674263427">
              <w:marLeft w:val="0"/>
              <w:marRight w:val="0"/>
              <w:marTop w:val="0"/>
              <w:marBottom w:val="0"/>
              <w:divBdr>
                <w:top w:val="none" w:sz="0" w:space="0" w:color="auto"/>
                <w:left w:val="none" w:sz="0" w:space="0" w:color="auto"/>
                <w:bottom w:val="none" w:sz="0" w:space="0" w:color="auto"/>
                <w:right w:val="none" w:sz="0" w:space="0" w:color="auto"/>
              </w:divBdr>
              <w:divsChild>
                <w:div w:id="995568804">
                  <w:marLeft w:val="0"/>
                  <w:marRight w:val="0"/>
                  <w:marTop w:val="0"/>
                  <w:marBottom w:val="0"/>
                  <w:divBdr>
                    <w:top w:val="none" w:sz="0" w:space="0" w:color="auto"/>
                    <w:left w:val="none" w:sz="0" w:space="0" w:color="auto"/>
                    <w:bottom w:val="none" w:sz="0" w:space="0" w:color="auto"/>
                    <w:right w:val="none" w:sz="0" w:space="0" w:color="auto"/>
                  </w:divBdr>
                  <w:divsChild>
                    <w:div w:id="374618127">
                      <w:marLeft w:val="0"/>
                      <w:marRight w:val="0"/>
                      <w:marTop w:val="0"/>
                      <w:marBottom w:val="0"/>
                      <w:divBdr>
                        <w:top w:val="none" w:sz="0" w:space="0" w:color="auto"/>
                        <w:left w:val="none" w:sz="0" w:space="0" w:color="auto"/>
                        <w:bottom w:val="none" w:sz="0" w:space="0" w:color="auto"/>
                        <w:right w:val="none" w:sz="0" w:space="0" w:color="auto"/>
                      </w:divBdr>
                      <w:divsChild>
                        <w:div w:id="1137719564">
                          <w:marLeft w:val="0"/>
                          <w:marRight w:val="0"/>
                          <w:marTop w:val="0"/>
                          <w:marBottom w:val="0"/>
                          <w:divBdr>
                            <w:top w:val="none" w:sz="0" w:space="0" w:color="auto"/>
                            <w:left w:val="none" w:sz="0" w:space="0" w:color="auto"/>
                            <w:bottom w:val="none" w:sz="0" w:space="0" w:color="auto"/>
                            <w:right w:val="none" w:sz="0" w:space="0" w:color="auto"/>
                          </w:divBdr>
                          <w:divsChild>
                            <w:div w:id="88548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2016-02-29T21:09:00Z</cp:lastPrinted>
  <dcterms:created xsi:type="dcterms:W3CDTF">2016-02-29T20:52:00Z</dcterms:created>
  <dcterms:modified xsi:type="dcterms:W3CDTF">2016-02-29T21:14:00Z</dcterms:modified>
</cp:coreProperties>
</file>