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16E" w:rsidRDefault="00D756BA">
      <w:r>
        <w:t>FINA 210 LESSON 8 NOTES</w:t>
      </w:r>
    </w:p>
    <w:p w:rsidR="00D756BA" w:rsidRPr="00D756BA" w:rsidRDefault="00D756BA" w:rsidP="00D756BA">
      <w:pPr>
        <w:spacing w:before="75" w:after="75" w:line="240" w:lineRule="auto"/>
        <w:outlineLvl w:val="2"/>
        <w:rPr>
          <w:rFonts w:ascii="Verdana" w:eastAsia="Times New Roman" w:hAnsi="Verdana" w:cs="Times New Roman"/>
          <w:b/>
          <w:bCs/>
          <w:color w:val="958616"/>
          <w:sz w:val="24"/>
          <w:szCs w:val="24"/>
        </w:rPr>
      </w:pPr>
      <w:r w:rsidRPr="00D756BA">
        <w:rPr>
          <w:rFonts w:ascii="Verdana" w:eastAsia="Times New Roman" w:hAnsi="Verdana" w:cs="Times New Roman"/>
          <w:b/>
          <w:bCs/>
          <w:color w:val="958616"/>
          <w:sz w:val="24"/>
          <w:szCs w:val="24"/>
        </w:rPr>
        <w:t>Traditional Valuation Techniques</w:t>
      </w:r>
    </w:p>
    <w:p w:rsidR="00D756BA" w:rsidRPr="00D756BA" w:rsidRDefault="00D756BA" w:rsidP="00D756BA">
      <w:pPr>
        <w:spacing w:after="0" w:line="240" w:lineRule="auto"/>
        <w:rPr>
          <w:rFonts w:ascii="Verdana" w:eastAsia="Times New Roman" w:hAnsi="Verdana" w:cs="Times New Roman"/>
          <w:color w:val="393939"/>
          <w:sz w:val="18"/>
          <w:szCs w:val="18"/>
        </w:rPr>
      </w:pPr>
    </w:p>
    <w:p w:rsidR="00D756BA" w:rsidRPr="00D756BA" w:rsidRDefault="00D756BA" w:rsidP="00D756BA">
      <w:pPr>
        <w:shd w:val="clear" w:color="auto" w:fill="E9E3AE"/>
        <w:spacing w:before="75" w:after="75" w:line="240" w:lineRule="auto"/>
        <w:outlineLvl w:val="2"/>
        <w:rPr>
          <w:rFonts w:ascii="Verdana" w:eastAsia="Times New Roman" w:hAnsi="Verdana" w:cs="Times New Roman"/>
          <w:b/>
          <w:bCs/>
          <w:color w:val="958616"/>
          <w:sz w:val="24"/>
          <w:szCs w:val="24"/>
        </w:rPr>
      </w:pPr>
      <w:r w:rsidRPr="00D756BA">
        <w:rPr>
          <w:rFonts w:ascii="Verdana" w:eastAsia="Times New Roman" w:hAnsi="Verdana" w:cs="Times New Roman"/>
          <w:b/>
          <w:bCs/>
          <w:color w:val="958616"/>
          <w:sz w:val="24"/>
          <w:szCs w:val="24"/>
        </w:rPr>
        <w:t>Definition</w:t>
      </w:r>
    </w:p>
    <w:p w:rsidR="00D756BA" w:rsidRPr="00D756BA" w:rsidRDefault="00D756BA" w:rsidP="00D756BA">
      <w:pPr>
        <w:shd w:val="clear" w:color="auto" w:fill="FFFFFF"/>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Traditional Valuation Techniques</w:t>
      </w:r>
      <w:r w:rsidRPr="00D756BA">
        <w:rPr>
          <w:rFonts w:ascii="Verdana" w:eastAsia="Times New Roman" w:hAnsi="Verdana" w:cs="Times New Roman"/>
          <w:color w:val="393939"/>
          <w:sz w:val="18"/>
          <w:szCs w:val="18"/>
        </w:rPr>
        <w:t xml:space="preserve"> are used to calculate the value of a property.</w:t>
      </w:r>
    </w:p>
    <w:p w:rsidR="00D756BA" w:rsidRPr="00D756BA" w:rsidRDefault="00D756BA" w:rsidP="00D756BA">
      <w:pPr>
        <w:shd w:val="clear" w:color="auto" w:fill="FFFFFF"/>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p w:rsidR="00D756BA" w:rsidRPr="00D756BA" w:rsidRDefault="00D756BA" w:rsidP="00D756BA">
      <w:pPr>
        <w:shd w:val="clear" w:color="auto" w:fill="FFFFFF"/>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They consist of three approaches:</w:t>
      </w:r>
    </w:p>
    <w:p w:rsidR="00D756BA" w:rsidRPr="00D756BA" w:rsidRDefault="00D756BA" w:rsidP="00D756BA">
      <w:pPr>
        <w:numPr>
          <w:ilvl w:val="0"/>
          <w:numId w:val="1"/>
        </w:numPr>
        <w:shd w:val="clear" w:color="auto" w:fill="FFFFFF"/>
        <w:spacing w:before="120" w:after="0" w:line="240" w:lineRule="auto"/>
        <w:ind w:left="300"/>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Cost Approach</w:t>
      </w:r>
    </w:p>
    <w:p w:rsidR="00D756BA" w:rsidRPr="00D756BA" w:rsidRDefault="00D756BA" w:rsidP="00D756BA">
      <w:pPr>
        <w:numPr>
          <w:ilvl w:val="0"/>
          <w:numId w:val="1"/>
        </w:numPr>
        <w:shd w:val="clear" w:color="auto" w:fill="FFFFFF"/>
        <w:spacing w:before="120" w:after="0" w:line="240" w:lineRule="auto"/>
        <w:ind w:left="300"/>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Net Income Approach (NOI)</w:t>
      </w:r>
    </w:p>
    <w:p w:rsidR="00D756BA" w:rsidRPr="00D756BA" w:rsidRDefault="00D756BA" w:rsidP="00D756BA">
      <w:pPr>
        <w:numPr>
          <w:ilvl w:val="0"/>
          <w:numId w:val="1"/>
        </w:numPr>
        <w:shd w:val="clear" w:color="auto" w:fill="FFFFFF"/>
        <w:spacing w:before="120" w:after="0" w:line="240" w:lineRule="auto"/>
        <w:ind w:left="300"/>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Sales Comparable Approach</w:t>
      </w:r>
    </w:p>
    <w:p w:rsidR="00D756BA" w:rsidRDefault="00D756BA"/>
    <w:p w:rsidR="00D756BA" w:rsidRPr="00D756BA" w:rsidRDefault="00D756BA" w:rsidP="00D756BA">
      <w:pPr>
        <w:spacing w:before="75" w:after="75" w:line="240" w:lineRule="auto"/>
        <w:outlineLvl w:val="2"/>
        <w:rPr>
          <w:rFonts w:ascii="Verdana" w:eastAsia="Times New Roman" w:hAnsi="Verdana" w:cs="Times New Roman"/>
          <w:b/>
          <w:bCs/>
          <w:color w:val="958616"/>
          <w:sz w:val="24"/>
          <w:szCs w:val="24"/>
        </w:rPr>
      </w:pPr>
      <w:r w:rsidRPr="00D756BA">
        <w:rPr>
          <w:rFonts w:ascii="Verdana" w:eastAsia="Times New Roman" w:hAnsi="Verdana" w:cs="Times New Roman"/>
          <w:b/>
          <w:bCs/>
          <w:color w:val="958616"/>
          <w:sz w:val="24"/>
          <w:szCs w:val="24"/>
        </w:rPr>
        <w:t xml:space="preserve">When to Use the Cost Approach </w:t>
      </w:r>
    </w:p>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xml:space="preserve">The Cost Approach is used: </w:t>
      </w:r>
    </w:p>
    <w:p w:rsidR="00D756BA" w:rsidRPr="00D756BA" w:rsidRDefault="00D756BA" w:rsidP="00D756BA">
      <w:pPr>
        <w:numPr>
          <w:ilvl w:val="0"/>
          <w:numId w:val="2"/>
        </w:numPr>
        <w:spacing w:before="120" w:after="240" w:line="240" w:lineRule="auto"/>
        <w:ind w:left="300"/>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To value unique real estate investments.</w:t>
      </w:r>
    </w:p>
    <w:p w:rsidR="00D756BA" w:rsidRPr="00D756BA" w:rsidRDefault="00D756BA" w:rsidP="00D756BA">
      <w:pPr>
        <w:numPr>
          <w:ilvl w:val="0"/>
          <w:numId w:val="2"/>
        </w:numPr>
        <w:spacing w:before="120" w:after="240" w:line="240" w:lineRule="auto"/>
        <w:ind w:left="300"/>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To value real estate projects with little or no depreciation.</w:t>
      </w:r>
    </w:p>
    <w:p w:rsidR="00D756BA" w:rsidRPr="00D756BA" w:rsidRDefault="00D756BA" w:rsidP="00D756BA">
      <w:pPr>
        <w:numPr>
          <w:ilvl w:val="0"/>
          <w:numId w:val="2"/>
        </w:numPr>
        <w:spacing w:before="120" w:after="240" w:line="240" w:lineRule="auto"/>
        <w:ind w:left="300"/>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When real estate investments do not produce income, i.e. when the Net Income Approach cannot be applied.</w:t>
      </w:r>
    </w:p>
    <w:p w:rsidR="00D756BA" w:rsidRPr="00D756BA" w:rsidRDefault="00D756BA" w:rsidP="00D756BA">
      <w:pPr>
        <w:numPr>
          <w:ilvl w:val="0"/>
          <w:numId w:val="2"/>
        </w:numPr>
        <w:spacing w:before="120" w:after="240" w:line="240" w:lineRule="auto"/>
        <w:ind w:left="300"/>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When real estate investments do not have any comparables, i.e. when the Sales or Market Comparable Approach cannot be applied.</w:t>
      </w:r>
    </w:p>
    <w:p w:rsidR="00D756BA" w:rsidRPr="00D756BA" w:rsidRDefault="00D756BA" w:rsidP="00D756BA">
      <w:pPr>
        <w:numPr>
          <w:ilvl w:val="0"/>
          <w:numId w:val="2"/>
        </w:numPr>
        <w:spacing w:before="120" w:after="0" w:line="240" w:lineRule="auto"/>
        <w:ind w:left="300"/>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xml:space="preserve">By municipalities or local governments to calculate property taxes. </w:t>
      </w:r>
    </w:p>
    <w:p w:rsidR="00D756BA" w:rsidRDefault="00D756BA"/>
    <w:p w:rsidR="00D756BA" w:rsidRPr="00D756BA" w:rsidRDefault="00D756BA" w:rsidP="00D756BA">
      <w:pPr>
        <w:spacing w:before="75" w:after="75" w:line="240" w:lineRule="auto"/>
        <w:outlineLvl w:val="2"/>
        <w:rPr>
          <w:rFonts w:ascii="Verdana" w:eastAsia="Times New Roman" w:hAnsi="Verdana" w:cs="Times New Roman"/>
          <w:b/>
          <w:bCs/>
          <w:color w:val="958616"/>
          <w:sz w:val="24"/>
          <w:szCs w:val="24"/>
        </w:rPr>
      </w:pPr>
      <w:r w:rsidRPr="00D756BA">
        <w:rPr>
          <w:rFonts w:ascii="Verdana" w:eastAsia="Times New Roman" w:hAnsi="Verdana" w:cs="Times New Roman"/>
          <w:b/>
          <w:bCs/>
          <w:color w:val="958616"/>
          <w:sz w:val="24"/>
          <w:szCs w:val="24"/>
        </w:rPr>
        <w:t>Advantages and Disadvantages of the Cost Approach</w:t>
      </w:r>
    </w:p>
    <w:p w:rsidR="00D756BA" w:rsidRPr="00D756BA" w:rsidRDefault="00D756BA" w:rsidP="00D756BA">
      <w:pPr>
        <w:spacing w:after="0" w:line="240" w:lineRule="auto"/>
        <w:rPr>
          <w:rFonts w:ascii="Verdana" w:eastAsia="Times New Roman" w:hAnsi="Verdana" w:cs="Times New Roman"/>
          <w:color w:val="393939"/>
          <w:sz w:val="18"/>
          <w:szCs w:val="18"/>
        </w:rPr>
      </w:pPr>
    </w:p>
    <w:tbl>
      <w:tblPr>
        <w:tblW w:w="7500" w:type="dxa"/>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3750"/>
        <w:gridCol w:w="3750"/>
      </w:tblGrid>
      <w:tr w:rsidR="00D756BA" w:rsidRPr="00D756BA" w:rsidTr="00D756BA">
        <w:trPr>
          <w:jc w:val="center"/>
        </w:trPr>
        <w:tc>
          <w:tcPr>
            <w:tcW w:w="3750" w:type="dxa"/>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Advantage</w:t>
            </w:r>
          </w:p>
        </w:tc>
        <w:tc>
          <w:tcPr>
            <w:tcW w:w="3750" w:type="dxa"/>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Disadvantages</w:t>
            </w:r>
          </w:p>
        </w:tc>
      </w:tr>
      <w:tr w:rsidR="00D756BA" w:rsidRPr="00D756BA" w:rsidTr="00D756BA">
        <w:trPr>
          <w:jc w:val="center"/>
        </w:trPr>
        <w:tc>
          <w:tcPr>
            <w:tcW w:w="3750" w:type="dxa"/>
            <w:tcBorders>
              <w:bottom w:val="single" w:sz="6" w:space="0" w:color="88A8AE"/>
            </w:tcBorders>
            <w:shd w:val="clear" w:color="auto" w:fill="FFFFFF"/>
            <w:tcMar>
              <w:top w:w="90" w:type="dxa"/>
              <w:left w:w="90" w:type="dxa"/>
              <w:bottom w:w="90" w:type="dxa"/>
              <w:right w:w="90" w:type="dxa"/>
            </w:tcMar>
            <w:hideMark/>
          </w:tcPr>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Easy to apply the procedures if the information is available.</w:t>
            </w:r>
          </w:p>
        </w:tc>
        <w:tc>
          <w:tcPr>
            <w:tcW w:w="3750" w:type="dxa"/>
            <w:tcBorders>
              <w:bottom w:val="single" w:sz="6" w:space="0" w:color="88A8AE"/>
            </w:tcBorders>
            <w:shd w:val="clear" w:color="auto" w:fill="FFFFFF"/>
            <w:tcMar>
              <w:top w:w="90" w:type="dxa"/>
              <w:left w:w="90" w:type="dxa"/>
              <w:bottom w:w="90" w:type="dxa"/>
              <w:right w:w="90" w:type="dxa"/>
            </w:tcMar>
            <w:hideMark/>
          </w:tcPr>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Difficult to evaluate depreciation.</w:t>
            </w:r>
          </w:p>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Depreciation calculations are very subjective.</w:t>
            </w:r>
          </w:p>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Different variables used to calculate value of new building, i.e.  generates different answers.</w:t>
            </w:r>
          </w:p>
        </w:tc>
      </w:tr>
    </w:tbl>
    <w:p w:rsidR="00D756BA" w:rsidRDefault="00D756BA"/>
    <w:p w:rsidR="00D756BA" w:rsidRDefault="00D756BA" w:rsidP="00D756BA">
      <w:pPr>
        <w:spacing w:before="75" w:after="75" w:line="240" w:lineRule="auto"/>
        <w:outlineLvl w:val="2"/>
        <w:rPr>
          <w:rFonts w:ascii="Verdana" w:eastAsia="Times New Roman" w:hAnsi="Verdana" w:cs="Times New Roman"/>
          <w:b/>
          <w:bCs/>
          <w:color w:val="958616"/>
          <w:sz w:val="24"/>
          <w:szCs w:val="24"/>
        </w:rPr>
      </w:pPr>
    </w:p>
    <w:p w:rsidR="00D756BA" w:rsidRDefault="00D756BA" w:rsidP="00D756BA">
      <w:pPr>
        <w:spacing w:before="75" w:after="75" w:line="240" w:lineRule="auto"/>
        <w:outlineLvl w:val="2"/>
        <w:rPr>
          <w:rFonts w:ascii="Verdana" w:eastAsia="Times New Roman" w:hAnsi="Verdana" w:cs="Times New Roman"/>
          <w:b/>
          <w:bCs/>
          <w:color w:val="958616"/>
          <w:sz w:val="24"/>
          <w:szCs w:val="24"/>
        </w:rPr>
      </w:pPr>
    </w:p>
    <w:p w:rsidR="00D756BA" w:rsidRDefault="00D756BA" w:rsidP="00D756BA">
      <w:pPr>
        <w:spacing w:before="75" w:after="75" w:line="240" w:lineRule="auto"/>
        <w:outlineLvl w:val="2"/>
        <w:rPr>
          <w:rFonts w:ascii="Verdana" w:eastAsia="Times New Roman" w:hAnsi="Verdana" w:cs="Times New Roman"/>
          <w:b/>
          <w:bCs/>
          <w:color w:val="958616"/>
          <w:sz w:val="24"/>
          <w:szCs w:val="24"/>
        </w:rPr>
      </w:pPr>
    </w:p>
    <w:p w:rsidR="00D756BA" w:rsidRDefault="00D756BA" w:rsidP="00D756BA">
      <w:pPr>
        <w:spacing w:before="75" w:after="75" w:line="240" w:lineRule="auto"/>
        <w:outlineLvl w:val="2"/>
        <w:rPr>
          <w:rFonts w:ascii="Verdana" w:eastAsia="Times New Roman" w:hAnsi="Verdana" w:cs="Times New Roman"/>
          <w:b/>
          <w:bCs/>
          <w:color w:val="958616"/>
          <w:sz w:val="24"/>
          <w:szCs w:val="24"/>
        </w:rPr>
      </w:pPr>
    </w:p>
    <w:p w:rsidR="00D756BA" w:rsidRPr="00D756BA" w:rsidRDefault="00D756BA" w:rsidP="00D756BA">
      <w:pPr>
        <w:spacing w:before="75" w:after="75" w:line="240" w:lineRule="auto"/>
        <w:outlineLvl w:val="2"/>
        <w:rPr>
          <w:rFonts w:ascii="Verdana" w:eastAsia="Times New Roman" w:hAnsi="Verdana" w:cs="Times New Roman"/>
          <w:b/>
          <w:bCs/>
          <w:color w:val="958616"/>
          <w:sz w:val="24"/>
          <w:szCs w:val="24"/>
        </w:rPr>
      </w:pPr>
      <w:r w:rsidRPr="00D756BA">
        <w:rPr>
          <w:rFonts w:ascii="Verdana" w:eastAsia="Times New Roman" w:hAnsi="Verdana" w:cs="Times New Roman"/>
          <w:b/>
          <w:bCs/>
          <w:color w:val="958616"/>
          <w:sz w:val="24"/>
          <w:szCs w:val="24"/>
        </w:rPr>
        <w:lastRenderedPageBreak/>
        <w:t>How to Apply the Cost Approach</w:t>
      </w:r>
    </w:p>
    <w:p w:rsidR="00D756BA" w:rsidRPr="00D756BA" w:rsidRDefault="00D756BA" w:rsidP="00D756BA">
      <w:pPr>
        <w:spacing w:before="75" w:after="75" w:line="240" w:lineRule="auto"/>
        <w:outlineLvl w:val="2"/>
        <w:rPr>
          <w:rFonts w:ascii="Verdana" w:eastAsia="Times New Roman" w:hAnsi="Verdana" w:cs="Times New Roman"/>
          <w:b/>
          <w:bCs/>
          <w:vanish/>
          <w:color w:val="958616"/>
          <w:sz w:val="24"/>
          <w:szCs w:val="24"/>
        </w:rPr>
      </w:pPr>
      <w:r w:rsidRPr="00D756BA">
        <w:rPr>
          <w:rFonts w:ascii="Verdana" w:eastAsia="Times New Roman" w:hAnsi="Verdana" w:cs="Times New Roman"/>
          <w:b/>
          <w:bCs/>
          <w:vanish/>
          <w:color w:val="958616"/>
          <w:sz w:val="24"/>
          <w:szCs w:val="24"/>
        </w:rPr>
        <w:t>Professor's Comments (audio)</w:t>
      </w:r>
    </w:p>
    <w:p w:rsidR="00D756BA" w:rsidRPr="00D756BA" w:rsidRDefault="00D756BA" w:rsidP="00D756BA">
      <w:pPr>
        <w:spacing w:after="0" w:line="240" w:lineRule="auto"/>
        <w:rPr>
          <w:rFonts w:ascii="Verdana" w:eastAsia="Times New Roman" w:hAnsi="Verdana" w:cs="Times New Roman"/>
          <w:color w:val="393939"/>
          <w:sz w:val="18"/>
          <w:szCs w:val="18"/>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33"/>
        <w:gridCol w:w="7691"/>
        <w:gridCol w:w="1106"/>
      </w:tblGrid>
      <w:tr w:rsidR="00D756BA" w:rsidRPr="00D756BA" w:rsidTr="00D756BA">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Formula</w:t>
            </w:r>
          </w:p>
        </w:tc>
      </w:tr>
      <w:tr w:rsidR="00D756BA" w:rsidRPr="00D756BA" w:rsidTr="00D756BA">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of the building</w:t>
            </w:r>
            <w:r w:rsidRPr="00D756BA">
              <w:rPr>
                <w:rFonts w:ascii="Verdana" w:eastAsia="Times New Roman" w:hAnsi="Verdana" w:cs="Times New Roman"/>
                <w:color w:val="393939"/>
                <w:sz w:val="18"/>
                <w:szCs w:val="18"/>
              </w:rPr>
              <w:t xml:space="preserve"> </w:t>
            </w:r>
            <w:r w:rsidRPr="00D756BA">
              <w:rPr>
                <w:rFonts w:ascii="Verdana" w:eastAsia="Times New Roman" w:hAnsi="Verdana" w:cs="Times New Roman"/>
                <w:color w:val="393939"/>
                <w:sz w:val="18"/>
                <w:szCs w:val="18"/>
              </w:rPr>
              <w:br/>
              <w:t xml:space="preserve">Calculate this value, as if the building were new, using any </w:t>
            </w:r>
            <w:r w:rsidRPr="00D756BA">
              <w:rPr>
                <w:rFonts w:ascii="Verdana" w:eastAsia="Times New Roman" w:hAnsi="Verdana" w:cs="Times New Roman"/>
                <w:b/>
                <w:bCs/>
                <w:color w:val="393939"/>
                <w:sz w:val="18"/>
                <w:szCs w:val="18"/>
              </w:rPr>
              <w:t>one</w:t>
            </w:r>
            <w:r w:rsidRPr="00D756BA">
              <w:rPr>
                <w:rFonts w:ascii="Verdana" w:eastAsia="Times New Roman" w:hAnsi="Verdana" w:cs="Times New Roman"/>
                <w:color w:val="393939"/>
                <w:sz w:val="18"/>
                <w:szCs w:val="18"/>
              </w:rPr>
              <w:t xml:space="preserve"> of the following methods:</w:t>
            </w:r>
          </w:p>
          <w:p w:rsidR="00D756BA" w:rsidRPr="00D756BA" w:rsidRDefault="00D756BA" w:rsidP="00D756BA">
            <w:pPr>
              <w:numPr>
                <w:ilvl w:val="0"/>
                <w:numId w:val="3"/>
              </w:numPr>
              <w:spacing w:before="120" w:after="0" w:line="240" w:lineRule="auto"/>
              <w:ind w:left="300"/>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Per square foot basis</w:t>
            </w:r>
          </w:p>
          <w:p w:rsidR="00D756BA" w:rsidRPr="00D756BA" w:rsidRDefault="00D756BA" w:rsidP="00D756BA">
            <w:pPr>
              <w:numPr>
                <w:ilvl w:val="0"/>
                <w:numId w:val="3"/>
              </w:numPr>
              <w:spacing w:before="120" w:after="0" w:line="240" w:lineRule="auto"/>
              <w:ind w:left="300"/>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Quantitative survey basis</w:t>
            </w:r>
          </w:p>
          <w:p w:rsidR="00D756BA" w:rsidRPr="00D756BA" w:rsidRDefault="00D756BA" w:rsidP="00D756BA">
            <w:pPr>
              <w:numPr>
                <w:ilvl w:val="0"/>
                <w:numId w:val="3"/>
              </w:numPr>
              <w:spacing w:before="120" w:after="0" w:line="240" w:lineRule="auto"/>
              <w:ind w:left="300"/>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Put-in-place basis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A</w:t>
            </w:r>
          </w:p>
        </w:tc>
      </w:tr>
      <w:tr w:rsidR="00D756BA" w:rsidRPr="00D756BA" w:rsidTr="00D756BA">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Depreciation</w:t>
            </w:r>
          </w:p>
          <w:p w:rsidR="00D756BA" w:rsidRPr="00D756BA" w:rsidRDefault="00D756BA" w:rsidP="00D756BA">
            <w:pPr>
              <w:numPr>
                <w:ilvl w:val="0"/>
                <w:numId w:val="4"/>
              </w:numPr>
              <w:spacing w:before="120" w:after="0" w:line="240" w:lineRule="auto"/>
              <w:ind w:left="300"/>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Physical depreciation</w:t>
            </w:r>
          </w:p>
          <w:p w:rsidR="00D756BA" w:rsidRPr="00D756BA" w:rsidRDefault="00D756BA" w:rsidP="00D756BA">
            <w:pPr>
              <w:numPr>
                <w:ilvl w:val="0"/>
                <w:numId w:val="4"/>
              </w:numPr>
              <w:spacing w:before="120" w:after="0" w:line="240" w:lineRule="auto"/>
              <w:ind w:left="300"/>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Functional depreciation</w:t>
            </w:r>
          </w:p>
          <w:p w:rsidR="00D756BA" w:rsidRPr="00D756BA" w:rsidRDefault="00D756BA" w:rsidP="00D756BA">
            <w:pPr>
              <w:numPr>
                <w:ilvl w:val="0"/>
                <w:numId w:val="4"/>
              </w:numPr>
              <w:spacing w:before="120" w:after="0" w:line="240" w:lineRule="auto"/>
              <w:ind w:left="300"/>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Location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B</w:t>
            </w:r>
          </w:p>
        </w:tc>
      </w:tr>
      <w:tr w:rsidR="00D756BA" w:rsidRPr="00D756BA" w:rsidTr="00D756BA">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Net cost of building or book value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xml:space="preserve">A - B = C </w:t>
            </w:r>
          </w:p>
        </w:tc>
      </w:tr>
      <w:tr w:rsidR="00D756BA" w:rsidRPr="00D756BA" w:rsidTr="00D756BA">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the land as if it is vacant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D</w:t>
            </w:r>
          </w:p>
        </w:tc>
      </w:tr>
      <w:tr w:rsidR="00D756BA" w:rsidRPr="00D756BA" w:rsidTr="00D756BA">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of the real estate investment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xml:space="preserve">C + D = E </w:t>
            </w:r>
          </w:p>
        </w:tc>
      </w:tr>
    </w:tbl>
    <w:p w:rsidR="00D756BA" w:rsidRDefault="00D756BA"/>
    <w:p w:rsidR="00D756BA" w:rsidRPr="00D756BA" w:rsidRDefault="00D756BA" w:rsidP="00D756BA">
      <w:pPr>
        <w:spacing w:before="75" w:after="75" w:line="240" w:lineRule="auto"/>
        <w:outlineLvl w:val="2"/>
        <w:rPr>
          <w:rFonts w:ascii="Verdana" w:eastAsia="Times New Roman" w:hAnsi="Verdana" w:cs="Times New Roman"/>
          <w:b/>
          <w:bCs/>
          <w:color w:val="958616"/>
          <w:sz w:val="24"/>
          <w:szCs w:val="24"/>
        </w:rPr>
      </w:pPr>
      <w:r w:rsidRPr="00D756BA">
        <w:rPr>
          <w:rFonts w:ascii="Verdana" w:eastAsia="Times New Roman" w:hAnsi="Verdana" w:cs="Times New Roman"/>
          <w:b/>
          <w:bCs/>
          <w:color w:val="958616"/>
          <w:sz w:val="24"/>
          <w:szCs w:val="24"/>
        </w:rPr>
        <w:t>Cost Approach - Example</w:t>
      </w:r>
    </w:p>
    <w:p w:rsidR="00D756BA" w:rsidRPr="00D756BA" w:rsidRDefault="00D756BA" w:rsidP="00D756BA">
      <w:pPr>
        <w:spacing w:before="75" w:after="75" w:line="240" w:lineRule="auto"/>
        <w:outlineLvl w:val="3"/>
        <w:rPr>
          <w:rFonts w:ascii="Verdana" w:eastAsia="Times New Roman" w:hAnsi="Verdana" w:cs="Times New Roman"/>
          <w:b/>
          <w:bCs/>
          <w:color w:val="000000"/>
          <w:sz w:val="20"/>
          <w:szCs w:val="20"/>
        </w:rPr>
      </w:pPr>
      <w:r w:rsidRPr="00D756BA">
        <w:rPr>
          <w:rFonts w:ascii="Verdana" w:eastAsia="Times New Roman" w:hAnsi="Verdana" w:cs="Times New Roman"/>
          <w:b/>
          <w:bCs/>
          <w:color w:val="000000"/>
          <w:sz w:val="20"/>
          <w:szCs w:val="20"/>
        </w:rPr>
        <w:t xml:space="preserve">Example 1 </w:t>
      </w:r>
    </w:p>
    <w:p w:rsid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xml:space="preserve">You are given the assignment of appraising a property. This property has 28,000 square feet (sqft) of usable space. Analysis of construction costs indicate a per square-foot cost of $27 for the first 18,000 square feet of space and $5 </w:t>
      </w:r>
      <w:r w:rsidRPr="00D756BA">
        <w:rPr>
          <w:rFonts w:ascii="Verdana" w:eastAsia="Times New Roman" w:hAnsi="Verdana" w:cs="Times New Roman"/>
          <w:b/>
          <w:bCs/>
          <w:color w:val="393939"/>
          <w:sz w:val="18"/>
          <w:szCs w:val="18"/>
        </w:rPr>
        <w:t>more</w:t>
      </w:r>
      <w:r w:rsidRPr="00D756BA">
        <w:rPr>
          <w:rFonts w:ascii="Verdana" w:eastAsia="Times New Roman" w:hAnsi="Verdana" w:cs="Times New Roman"/>
          <w:color w:val="393939"/>
          <w:sz w:val="18"/>
          <w:szCs w:val="18"/>
        </w:rPr>
        <w:t xml:space="preserve"> per square foot for the remaining space. The property is twenty years old with an estimated economic life of eighty years. Changing neighbourhood (location depreciation) characteristics have had a </w:t>
      </w:r>
      <w:r w:rsidRPr="00D756BA">
        <w:rPr>
          <w:rFonts w:ascii="Verdana" w:eastAsia="Times New Roman" w:hAnsi="Verdana" w:cs="Times New Roman"/>
          <w:b/>
          <w:bCs/>
          <w:color w:val="393939"/>
          <w:sz w:val="18"/>
          <w:szCs w:val="18"/>
        </w:rPr>
        <w:t>negative</w:t>
      </w:r>
      <w:r w:rsidRPr="00D756BA">
        <w:rPr>
          <w:rFonts w:ascii="Verdana" w:eastAsia="Times New Roman" w:hAnsi="Verdana" w:cs="Times New Roman"/>
          <w:color w:val="393939"/>
          <w:sz w:val="18"/>
          <w:szCs w:val="18"/>
        </w:rPr>
        <w:t xml:space="preserve"> influence on the property of approximately 14% of building (construction) costs. An examination of similar lots indicates a land value of $17.50 per square foot and this property is on 55,000 square feet of land. </w:t>
      </w:r>
    </w:p>
    <w:p w:rsidR="00D756BA" w:rsidRDefault="00D756BA" w:rsidP="00D756BA">
      <w:pPr>
        <w:spacing w:before="75" w:after="75" w:line="288" w:lineRule="auto"/>
        <w:jc w:val="center"/>
        <w:rPr>
          <w:rFonts w:ascii="Verdana" w:eastAsia="Times New Roman" w:hAnsi="Verdana" w:cs="Times New Roman"/>
          <w:b/>
          <w:bCs/>
          <w:color w:val="393939"/>
          <w:sz w:val="18"/>
          <w:szCs w:val="18"/>
        </w:rPr>
      </w:pPr>
    </w:p>
    <w:p w:rsidR="00D756BA" w:rsidRDefault="00D756BA" w:rsidP="00D756BA">
      <w:pPr>
        <w:spacing w:before="75" w:after="75" w:line="288" w:lineRule="auto"/>
        <w:jc w:val="center"/>
        <w:rPr>
          <w:rFonts w:ascii="Verdana" w:eastAsia="Times New Roman" w:hAnsi="Verdana" w:cs="Times New Roman"/>
          <w:b/>
          <w:bCs/>
          <w:color w:val="393939"/>
          <w:sz w:val="18"/>
          <w:szCs w:val="18"/>
        </w:rPr>
      </w:pPr>
    </w:p>
    <w:p w:rsidR="00D756BA" w:rsidRDefault="00D756BA" w:rsidP="00D756BA">
      <w:pPr>
        <w:spacing w:before="75" w:after="75" w:line="288" w:lineRule="auto"/>
        <w:jc w:val="center"/>
        <w:rPr>
          <w:rFonts w:ascii="Verdana" w:eastAsia="Times New Roman" w:hAnsi="Verdana" w:cs="Times New Roman"/>
          <w:b/>
          <w:bCs/>
          <w:color w:val="393939"/>
          <w:sz w:val="18"/>
          <w:szCs w:val="18"/>
        </w:rPr>
      </w:pPr>
    </w:p>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Question:</w:t>
      </w:r>
    </w:p>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b/>
          <w:bCs/>
          <w:color w:val="958616"/>
          <w:sz w:val="24"/>
          <w:szCs w:val="24"/>
        </w:rPr>
        <w:t>What is the estimated market value of this property based on the Cost Approach?</w:t>
      </w:r>
    </w:p>
    <w:p w:rsid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p w:rsidR="00D756BA" w:rsidRDefault="00D756BA" w:rsidP="00D756BA">
      <w:pPr>
        <w:spacing w:before="75" w:after="75" w:line="288" w:lineRule="auto"/>
        <w:rPr>
          <w:rFonts w:ascii="Verdana" w:eastAsia="Times New Roman" w:hAnsi="Verdana" w:cs="Times New Roman"/>
          <w:color w:val="393939"/>
          <w:sz w:val="18"/>
          <w:szCs w:val="18"/>
        </w:rPr>
      </w:pPr>
    </w:p>
    <w:p w:rsidR="00D756BA" w:rsidRDefault="00D756BA" w:rsidP="00D756BA">
      <w:pPr>
        <w:spacing w:before="75" w:after="75" w:line="288" w:lineRule="auto"/>
        <w:rPr>
          <w:rFonts w:ascii="Verdana" w:eastAsia="Times New Roman" w:hAnsi="Verdana" w:cs="Times New Roman"/>
          <w:color w:val="393939"/>
          <w:sz w:val="18"/>
          <w:szCs w:val="18"/>
        </w:rPr>
      </w:pPr>
    </w:p>
    <w:p w:rsidR="00D756BA" w:rsidRPr="00D756BA" w:rsidRDefault="00D756BA" w:rsidP="00D756BA">
      <w:pPr>
        <w:spacing w:before="75" w:after="75" w:line="288" w:lineRule="auto"/>
        <w:rPr>
          <w:rFonts w:ascii="Verdana" w:eastAsia="Times New Roman" w:hAnsi="Verdana" w:cs="Times New Roman"/>
          <w:color w:val="393939"/>
          <w:sz w:val="18"/>
          <w:szCs w:val="18"/>
        </w:rPr>
      </w:pPr>
    </w:p>
    <w:tbl>
      <w:tblPr>
        <w:tblW w:w="5369" w:type="pct"/>
        <w:tblInd w:w="-90" w:type="dxa"/>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0244"/>
      </w:tblGrid>
      <w:tr w:rsidR="00D756BA" w:rsidRPr="00D756BA" w:rsidTr="00D756BA">
        <w:tc>
          <w:tcPr>
            <w:tcW w:w="5000" w:type="pct"/>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outlineLvl w:val="1"/>
              <w:rPr>
                <w:rFonts w:ascii="Verdana" w:eastAsia="Times New Roman" w:hAnsi="Verdana" w:cs="Times New Roman"/>
                <w:b/>
                <w:bCs/>
                <w:color w:val="000000"/>
                <w:sz w:val="24"/>
                <w:szCs w:val="24"/>
              </w:rPr>
            </w:pPr>
            <w:r w:rsidRPr="00D756BA">
              <w:rPr>
                <w:rFonts w:ascii="Verdana" w:eastAsia="Times New Roman" w:hAnsi="Verdana" w:cs="Times New Roman"/>
                <w:b/>
                <w:bCs/>
                <w:color w:val="000000"/>
                <w:sz w:val="24"/>
                <w:szCs w:val="24"/>
              </w:rPr>
              <w:lastRenderedPageBreak/>
              <w:t xml:space="preserve">Answer </w:t>
            </w:r>
          </w:p>
          <w:p w:rsidR="00D756BA" w:rsidRPr="00D756BA" w:rsidRDefault="00D756BA" w:rsidP="00D756BA">
            <w:pPr>
              <w:spacing w:before="75" w:after="75" w:line="240" w:lineRule="auto"/>
              <w:outlineLvl w:val="2"/>
              <w:rPr>
                <w:rFonts w:ascii="Verdana" w:eastAsia="Times New Roman" w:hAnsi="Verdana" w:cs="Times New Roman"/>
                <w:b/>
                <w:bCs/>
                <w:vanish/>
                <w:color w:val="958616"/>
                <w:sz w:val="24"/>
                <w:szCs w:val="24"/>
              </w:rPr>
            </w:pPr>
            <w:r w:rsidRPr="00D756BA">
              <w:rPr>
                <w:rFonts w:ascii="Verdana" w:eastAsia="Times New Roman" w:hAnsi="Verdana" w:cs="Times New Roman"/>
                <w:b/>
                <w:bCs/>
                <w:vanish/>
                <w:color w:val="958616"/>
                <w:sz w:val="24"/>
                <w:szCs w:val="24"/>
              </w:rPr>
              <w:t>Professor's Comments (audio)</w:t>
            </w:r>
          </w:p>
          <w:p w:rsidR="00D756BA" w:rsidRPr="00D756BA" w:rsidRDefault="00D756BA" w:rsidP="00D756BA">
            <w:pPr>
              <w:spacing w:after="0" w:line="240" w:lineRule="auto"/>
              <w:rPr>
                <w:rFonts w:ascii="Verdana" w:eastAsia="Times New Roman" w:hAnsi="Verdana" w:cs="Times New Roman"/>
                <w:color w:val="393939"/>
                <w:sz w:val="18"/>
                <w:szCs w:val="18"/>
              </w:rPr>
            </w:pPr>
          </w:p>
          <w:tbl>
            <w:tblPr>
              <w:tblW w:w="9975" w:type="dxa"/>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953"/>
              <w:gridCol w:w="2694"/>
              <w:gridCol w:w="3073"/>
              <w:gridCol w:w="1499"/>
              <w:gridCol w:w="1756"/>
            </w:tblGrid>
            <w:tr w:rsidR="00D756BA" w:rsidRPr="00D756BA" w:rsidTr="00D756BA">
              <w:tc>
                <w:tcPr>
                  <w:tcW w:w="945" w:type="dxa"/>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Steps</w:t>
                  </w:r>
                </w:p>
              </w:tc>
              <w:tc>
                <w:tcPr>
                  <w:tcW w:w="0" w:type="auto"/>
                  <w:gridSpan w:val="3"/>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Calculate</w:t>
                  </w:r>
                </w:p>
              </w:tc>
              <w:tc>
                <w:tcPr>
                  <w:tcW w:w="1740" w:type="dxa"/>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Result</w:t>
                  </w:r>
                </w:p>
              </w:tc>
            </w:tr>
            <w:tr w:rsidR="00D756BA" w:rsidRPr="00D756BA" w:rsidTr="00D756BA">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A</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of the building</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2670" w:type="dxa"/>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First 18,000</w:t>
                  </w:r>
                </w:p>
              </w:tc>
              <w:tc>
                <w:tcPr>
                  <w:tcW w:w="3045" w:type="dxa"/>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18,000 sqft × $27/sqft =</w:t>
                  </w:r>
                </w:p>
              </w:tc>
              <w:tc>
                <w:tcPr>
                  <w:tcW w:w="1485" w:type="dxa"/>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486,000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Remaining 10,000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10,000 sqft × $32/sqft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320,000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806,000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806,000</w:t>
                  </w:r>
                </w:p>
              </w:tc>
            </w:tr>
            <w:tr w:rsidR="00D756BA" w:rsidRPr="00D756BA" w:rsidTr="00D756BA">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B</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Depreciation</w:t>
                  </w:r>
                </w:p>
              </w:tc>
              <w:tc>
                <w:tcPr>
                  <w:tcW w:w="0" w:type="auto"/>
                  <w:vMerge w:val="restart"/>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(314,340)</w:t>
                  </w: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xml:space="preserve">Physical and </w:t>
                  </w:r>
                  <w:r w:rsidRPr="00D756BA">
                    <w:rPr>
                      <w:rFonts w:ascii="Verdana" w:eastAsia="Times New Roman" w:hAnsi="Verdana" w:cs="Times New Roman"/>
                      <w:color w:val="393939"/>
                      <w:sz w:val="18"/>
                      <w:szCs w:val="18"/>
                    </w:rPr>
                    <w:br/>
                    <w:t>functional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20/80 × 806,000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201,500</w:t>
                  </w:r>
                </w:p>
              </w:tc>
              <w:tc>
                <w:tcPr>
                  <w:tcW w:w="0" w:type="auto"/>
                  <w:vMerge/>
                  <w:tcBorders>
                    <w:bottom w:val="single" w:sz="6" w:space="0" w:color="88A8AE"/>
                  </w:tcBorders>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Location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14% × 806,000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112,840</w:t>
                  </w:r>
                </w:p>
              </w:tc>
              <w:tc>
                <w:tcPr>
                  <w:tcW w:w="0" w:type="auto"/>
                  <w:vMerge/>
                  <w:tcBorders>
                    <w:bottom w:val="single" w:sz="6" w:space="0" w:color="88A8AE"/>
                  </w:tcBorders>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314,340</w:t>
                  </w:r>
                </w:p>
              </w:tc>
              <w:tc>
                <w:tcPr>
                  <w:tcW w:w="0" w:type="auto"/>
                  <w:vMerge/>
                  <w:tcBorders>
                    <w:bottom w:val="single" w:sz="6" w:space="0" w:color="88A8AE"/>
                  </w:tcBorders>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C</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Net cost of building or book value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491, 660</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D</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the land as if it is vacant</w:t>
                  </w:r>
                  <w:r w:rsidRPr="00D756BA">
                    <w:rPr>
                      <w:rFonts w:ascii="Verdana" w:eastAsia="Times New Roman" w:hAnsi="Verdana" w:cs="Times New Roman"/>
                      <w:color w:val="393939"/>
                      <w:sz w:val="18"/>
                      <w:szCs w:val="18"/>
                    </w:rPr>
                    <w:t> </w:t>
                  </w:r>
                  <w:r w:rsidRPr="00D756BA">
                    <w:rPr>
                      <w:rFonts w:ascii="Verdana" w:eastAsia="Times New Roman" w:hAnsi="Verdana" w:cs="Times New Roman"/>
                      <w:color w:val="393939"/>
                      <w:sz w:val="18"/>
                      <w:szCs w:val="18"/>
                    </w:rPr>
                    <w:br/>
                    <w:t>55,000 sqft × $17.50/sqft</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962,500</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E</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of this real estate investment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1,454,160</w:t>
                  </w:r>
                </w:p>
              </w:tc>
            </w:tr>
          </w:tbl>
          <w:p w:rsidR="00D756BA" w:rsidRPr="00D756BA" w:rsidRDefault="00D756BA" w:rsidP="00D756BA">
            <w:pPr>
              <w:spacing w:after="0" w:line="240" w:lineRule="auto"/>
              <w:rPr>
                <w:rFonts w:ascii="Verdana" w:eastAsia="Times New Roman" w:hAnsi="Verdana" w:cs="Times New Roman"/>
                <w:color w:val="393939"/>
                <w:sz w:val="18"/>
                <w:szCs w:val="18"/>
              </w:rPr>
            </w:pPr>
          </w:p>
        </w:tc>
      </w:tr>
    </w:tbl>
    <w:p w:rsidR="00D756BA" w:rsidRDefault="00D756BA"/>
    <w:p w:rsidR="00D756BA" w:rsidRDefault="00D756BA" w:rsidP="00D756BA">
      <w:pPr>
        <w:pStyle w:val="Heading3"/>
      </w:pPr>
      <w:r>
        <w:t>Practice the Application of the Cost Approach</w:t>
      </w:r>
    </w:p>
    <w:p w:rsidR="00D756BA" w:rsidRDefault="00D756BA" w:rsidP="00D756BA">
      <w:pPr>
        <w:pStyle w:val="NormalWeb"/>
        <w:spacing w:line="288" w:lineRule="auto"/>
        <w:rPr>
          <w:rFonts w:ascii="Verdana" w:hAnsi="Verdana"/>
          <w:color w:val="393939"/>
          <w:sz w:val="18"/>
          <w:szCs w:val="18"/>
        </w:rPr>
      </w:pPr>
      <w:r>
        <w:rPr>
          <w:rFonts w:ascii="Verdana" w:hAnsi="Verdana"/>
          <w:color w:val="393939"/>
          <w:sz w:val="18"/>
          <w:szCs w:val="18"/>
        </w:rPr>
        <w:t xml:space="preserve">Using the </w:t>
      </w:r>
      <w:hyperlink r:id="rId6" w:tgtFrame="_blank" w:history="1">
        <w:r>
          <w:rPr>
            <w:rStyle w:val="Hyperlink"/>
            <w:rFonts w:ascii="Verdana" w:hAnsi="Verdana"/>
            <w:sz w:val="18"/>
            <w:szCs w:val="18"/>
          </w:rPr>
          <w:t>sample problem</w:t>
        </w:r>
      </w:hyperlink>
      <w:r>
        <w:rPr>
          <w:rFonts w:ascii="Verdana" w:hAnsi="Verdana"/>
          <w:color w:val="393939"/>
          <w:sz w:val="18"/>
          <w:szCs w:val="18"/>
        </w:rPr>
        <w:t xml:space="preserve"> from the previous slide, what is the estimated market value of the property based on the Cost Approach if: </w:t>
      </w:r>
    </w:p>
    <w:p w:rsidR="00D756BA" w:rsidRDefault="00D756BA"/>
    <w:p w:rsidR="00D756BA" w:rsidRDefault="00D756BA">
      <w:r>
        <w:t>Scenario 1</w:t>
      </w:r>
    </w:p>
    <w:p w:rsidR="00D756BA" w:rsidRDefault="00D756BA" w:rsidP="00D756BA">
      <w:pPr>
        <w:pStyle w:val="NormalWeb"/>
        <w:spacing w:line="288" w:lineRule="auto"/>
        <w:jc w:val="center"/>
        <w:rPr>
          <w:rFonts w:ascii="Verdana" w:hAnsi="Verdana"/>
          <w:color w:val="393939"/>
          <w:sz w:val="18"/>
          <w:szCs w:val="18"/>
        </w:rPr>
      </w:pPr>
      <w:r>
        <w:rPr>
          <w:rStyle w:val="Strong"/>
          <w:rFonts w:ascii="Verdana" w:hAnsi="Verdana"/>
          <w:color w:val="393939"/>
          <w:sz w:val="18"/>
          <w:szCs w:val="18"/>
        </w:rPr>
        <w:t>Question:</w:t>
      </w:r>
    </w:p>
    <w:p w:rsidR="00D756BA" w:rsidRDefault="00D756BA" w:rsidP="00D756BA">
      <w:pPr>
        <w:pStyle w:val="NormalWeb"/>
        <w:spacing w:line="288" w:lineRule="auto"/>
        <w:jc w:val="center"/>
        <w:rPr>
          <w:rFonts w:ascii="Verdana" w:hAnsi="Verdana"/>
          <w:color w:val="393939"/>
          <w:sz w:val="18"/>
          <w:szCs w:val="18"/>
        </w:rPr>
      </w:pPr>
      <w:r>
        <w:rPr>
          <w:rFonts w:ascii="Verdana" w:hAnsi="Verdana"/>
          <w:color w:val="393939"/>
          <w:sz w:val="18"/>
          <w:szCs w:val="18"/>
        </w:rPr>
        <w:t> </w:t>
      </w:r>
    </w:p>
    <w:p w:rsidR="00D756BA" w:rsidRDefault="00D756BA" w:rsidP="00D756BA">
      <w:pPr>
        <w:pStyle w:val="Heading3"/>
        <w:jc w:val="center"/>
      </w:pPr>
      <w:r>
        <w:t xml:space="preserve">The construction costs </w:t>
      </w:r>
      <w:r>
        <w:rPr>
          <w:rStyle w:val="note1"/>
        </w:rPr>
        <w:t>$25.00</w:t>
      </w:r>
      <w:r>
        <w:t xml:space="preserve"> per square foot and</w:t>
      </w:r>
      <w:r>
        <w:rPr>
          <w:rStyle w:val="note1"/>
        </w:rPr>
        <w:t xml:space="preserve"> $7.00</w:t>
      </w:r>
      <w:r>
        <w:t xml:space="preserve"> </w:t>
      </w:r>
      <w:r>
        <w:rPr>
          <w:rStyle w:val="Strong"/>
          <w:b/>
          <w:bCs/>
        </w:rPr>
        <w:t>more</w:t>
      </w:r>
      <w:r>
        <w:t xml:space="preserve"> per square foot for the remaining space?</w:t>
      </w:r>
    </w:p>
    <w:p w:rsidR="00D756BA" w:rsidRDefault="00D756BA"/>
    <w:p w:rsidR="00D756BA" w:rsidRDefault="00D756BA"/>
    <w:p w:rsidR="00D756BA" w:rsidRPr="00D756BA" w:rsidRDefault="00D756BA" w:rsidP="00D756BA">
      <w:pPr>
        <w:spacing w:before="75" w:after="75" w:line="240" w:lineRule="auto"/>
        <w:jc w:val="center"/>
        <w:outlineLvl w:val="1"/>
        <w:rPr>
          <w:rFonts w:ascii="Verdana" w:eastAsia="Times New Roman" w:hAnsi="Verdana" w:cs="Times New Roman"/>
          <w:b/>
          <w:bCs/>
          <w:color w:val="000000"/>
          <w:sz w:val="24"/>
          <w:szCs w:val="24"/>
        </w:rPr>
      </w:pPr>
      <w:r w:rsidRPr="00D756BA">
        <w:rPr>
          <w:rFonts w:ascii="Verdana" w:eastAsia="Times New Roman" w:hAnsi="Verdana" w:cs="Times New Roman"/>
          <w:b/>
          <w:bCs/>
          <w:color w:val="000000"/>
          <w:sz w:val="24"/>
          <w:szCs w:val="24"/>
        </w:rPr>
        <w:lastRenderedPageBreak/>
        <w:t xml:space="preserve">Answer </w:t>
      </w:r>
    </w:p>
    <w:tbl>
      <w:tblPr>
        <w:tblW w:w="9855" w:type="dxa"/>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40"/>
        <w:gridCol w:w="2723"/>
        <w:gridCol w:w="3131"/>
        <w:gridCol w:w="1588"/>
        <w:gridCol w:w="1573"/>
      </w:tblGrid>
      <w:tr w:rsidR="00D756BA" w:rsidRPr="00D756BA" w:rsidTr="00D756BA">
        <w:tc>
          <w:tcPr>
            <w:tcW w:w="825" w:type="dxa"/>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Steps</w:t>
            </w:r>
          </w:p>
        </w:tc>
        <w:tc>
          <w:tcPr>
            <w:tcW w:w="0" w:type="auto"/>
            <w:gridSpan w:val="3"/>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Calculate</w:t>
            </w:r>
          </w:p>
        </w:tc>
        <w:tc>
          <w:tcPr>
            <w:tcW w:w="1560" w:type="dxa"/>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Result</w:t>
            </w:r>
          </w:p>
        </w:tc>
      </w:tr>
      <w:tr w:rsidR="00D756BA" w:rsidRPr="00D756BA" w:rsidTr="00D756BA">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A</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of the building</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2700" w:type="dxa"/>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First 18,000</w:t>
            </w:r>
          </w:p>
        </w:tc>
        <w:tc>
          <w:tcPr>
            <w:tcW w:w="3105" w:type="dxa"/>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18,000 sqft × $25/sqft =</w:t>
            </w:r>
          </w:p>
        </w:tc>
        <w:tc>
          <w:tcPr>
            <w:tcW w:w="1575" w:type="dxa"/>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450,000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Remaining 10,000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10,000 sqft × $32/sqft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320,000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770,000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770,000</w:t>
            </w:r>
          </w:p>
        </w:tc>
      </w:tr>
      <w:tr w:rsidR="00D756BA" w:rsidRPr="00D756BA" w:rsidTr="00D756BA">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B</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Depreciation</w:t>
            </w:r>
          </w:p>
        </w:tc>
        <w:tc>
          <w:tcPr>
            <w:tcW w:w="0" w:type="auto"/>
            <w:vMerge w:val="restart"/>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(300,300)</w:t>
            </w: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xml:space="preserve">Physical and </w:t>
            </w:r>
            <w:r w:rsidRPr="00D756BA">
              <w:rPr>
                <w:rFonts w:ascii="Verdana" w:eastAsia="Times New Roman" w:hAnsi="Verdana" w:cs="Times New Roman"/>
                <w:color w:val="393939"/>
                <w:sz w:val="18"/>
                <w:szCs w:val="18"/>
              </w:rPr>
              <w:br/>
              <w:t>functional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20/80 × 770,000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192,500</w:t>
            </w:r>
          </w:p>
        </w:tc>
        <w:tc>
          <w:tcPr>
            <w:tcW w:w="0" w:type="auto"/>
            <w:vMerge/>
            <w:tcBorders>
              <w:bottom w:val="single" w:sz="6" w:space="0" w:color="88A8AE"/>
            </w:tcBorders>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Location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14% × 770,000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107,800</w:t>
            </w:r>
          </w:p>
        </w:tc>
        <w:tc>
          <w:tcPr>
            <w:tcW w:w="0" w:type="auto"/>
            <w:vMerge/>
            <w:tcBorders>
              <w:bottom w:val="single" w:sz="6" w:space="0" w:color="88A8AE"/>
            </w:tcBorders>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300,300</w:t>
            </w:r>
          </w:p>
        </w:tc>
        <w:tc>
          <w:tcPr>
            <w:tcW w:w="0" w:type="auto"/>
            <w:vMerge/>
            <w:tcBorders>
              <w:bottom w:val="single" w:sz="6" w:space="0" w:color="88A8AE"/>
            </w:tcBorders>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C</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Net cost of building or book value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469,700</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D</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the land as if it is vacant</w:t>
            </w:r>
            <w:r w:rsidRPr="00D756BA">
              <w:rPr>
                <w:rFonts w:ascii="Verdana" w:eastAsia="Times New Roman" w:hAnsi="Verdana" w:cs="Times New Roman"/>
                <w:color w:val="393939"/>
                <w:sz w:val="18"/>
                <w:szCs w:val="18"/>
              </w:rPr>
              <w:t> </w:t>
            </w:r>
            <w:r w:rsidRPr="00D756BA">
              <w:rPr>
                <w:rFonts w:ascii="Verdana" w:eastAsia="Times New Roman" w:hAnsi="Verdana" w:cs="Times New Roman"/>
                <w:color w:val="393939"/>
                <w:sz w:val="18"/>
                <w:szCs w:val="18"/>
              </w:rPr>
              <w:br/>
              <w:t>55,000 sqft × $17.50/sqft</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962,500</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E</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of this real estate investment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$1,432,200</w:t>
            </w:r>
          </w:p>
        </w:tc>
      </w:tr>
    </w:tbl>
    <w:p w:rsidR="00D756BA" w:rsidRDefault="00D756BA"/>
    <w:p w:rsidR="00D756BA" w:rsidRDefault="00D756BA"/>
    <w:p w:rsidR="00D756BA" w:rsidRDefault="00D756BA"/>
    <w:p w:rsidR="00D756BA" w:rsidRDefault="00D756BA">
      <w:r>
        <w:t>Scenario 2</w:t>
      </w:r>
    </w:p>
    <w:p w:rsidR="00D756BA" w:rsidRDefault="00D756BA" w:rsidP="00D756BA">
      <w:pPr>
        <w:pStyle w:val="NormalWeb"/>
        <w:spacing w:line="288" w:lineRule="auto"/>
        <w:jc w:val="center"/>
        <w:rPr>
          <w:rFonts w:ascii="Verdana" w:hAnsi="Verdana"/>
          <w:color w:val="393939"/>
          <w:sz w:val="18"/>
          <w:szCs w:val="18"/>
        </w:rPr>
      </w:pPr>
      <w:r>
        <w:rPr>
          <w:rStyle w:val="Strong"/>
          <w:rFonts w:ascii="Verdana" w:hAnsi="Verdana"/>
          <w:color w:val="393939"/>
          <w:sz w:val="18"/>
          <w:szCs w:val="18"/>
        </w:rPr>
        <w:t>Question:</w:t>
      </w:r>
    </w:p>
    <w:p w:rsidR="00D756BA" w:rsidRDefault="00D756BA" w:rsidP="00D756BA">
      <w:pPr>
        <w:pStyle w:val="NormalWeb"/>
        <w:spacing w:line="288" w:lineRule="auto"/>
        <w:jc w:val="center"/>
        <w:rPr>
          <w:rFonts w:ascii="Verdana" w:hAnsi="Verdana"/>
          <w:color w:val="393939"/>
          <w:sz w:val="18"/>
          <w:szCs w:val="18"/>
        </w:rPr>
      </w:pPr>
      <w:r>
        <w:rPr>
          <w:rFonts w:ascii="Verdana" w:hAnsi="Verdana"/>
          <w:color w:val="393939"/>
          <w:sz w:val="18"/>
          <w:szCs w:val="18"/>
        </w:rPr>
        <w:t> </w:t>
      </w:r>
    </w:p>
    <w:p w:rsidR="00D756BA" w:rsidRDefault="00D756BA" w:rsidP="00D756BA">
      <w:pPr>
        <w:pStyle w:val="Heading3"/>
        <w:jc w:val="center"/>
      </w:pPr>
      <w:r>
        <w:t xml:space="preserve">The property is </w:t>
      </w:r>
      <w:r>
        <w:rPr>
          <w:rStyle w:val="note1"/>
        </w:rPr>
        <w:t>25</w:t>
      </w:r>
      <w:r>
        <w:t xml:space="preserve"> years old with an estimated economic life of </w:t>
      </w:r>
      <w:r>
        <w:rPr>
          <w:rStyle w:val="note1"/>
        </w:rPr>
        <w:t>75</w:t>
      </w:r>
      <w:r>
        <w:t xml:space="preserve"> years. Changing neighbourhood (location depreciation) characteristics have had a </w:t>
      </w:r>
      <w:r>
        <w:rPr>
          <w:rStyle w:val="Strong"/>
          <w:b/>
          <w:bCs/>
        </w:rPr>
        <w:t>negative</w:t>
      </w:r>
      <w:r>
        <w:t xml:space="preserve"> influence on the property of approximately </w:t>
      </w:r>
      <w:r>
        <w:rPr>
          <w:rStyle w:val="note1"/>
        </w:rPr>
        <w:t>12%</w:t>
      </w:r>
      <w:r>
        <w:t xml:space="preserve"> of building (construction) costs.</w:t>
      </w:r>
    </w:p>
    <w:p w:rsidR="00D756BA" w:rsidRDefault="00D756BA"/>
    <w:p w:rsidR="00D756BA" w:rsidRDefault="00D756BA"/>
    <w:p w:rsidR="00D756BA" w:rsidRDefault="00D756BA"/>
    <w:p w:rsidR="00D756BA" w:rsidRPr="00D756BA" w:rsidRDefault="00D756BA" w:rsidP="00D756BA">
      <w:pPr>
        <w:spacing w:before="75" w:after="75" w:line="240" w:lineRule="auto"/>
        <w:jc w:val="center"/>
        <w:outlineLvl w:val="1"/>
        <w:rPr>
          <w:rFonts w:ascii="Verdana" w:eastAsia="Times New Roman" w:hAnsi="Verdana" w:cs="Times New Roman"/>
          <w:b/>
          <w:bCs/>
          <w:color w:val="000000"/>
          <w:sz w:val="24"/>
          <w:szCs w:val="24"/>
        </w:rPr>
      </w:pPr>
      <w:r w:rsidRPr="00D756BA">
        <w:rPr>
          <w:rFonts w:ascii="Verdana" w:eastAsia="Times New Roman" w:hAnsi="Verdana" w:cs="Times New Roman"/>
          <w:b/>
          <w:bCs/>
          <w:color w:val="000000"/>
          <w:sz w:val="24"/>
          <w:szCs w:val="24"/>
        </w:rPr>
        <w:lastRenderedPageBreak/>
        <w:t xml:space="preserve">Answer </w:t>
      </w:r>
    </w:p>
    <w:tbl>
      <w:tblPr>
        <w:tblW w:w="9900" w:type="dxa"/>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39"/>
        <w:gridCol w:w="2658"/>
        <w:gridCol w:w="3322"/>
        <w:gridCol w:w="1601"/>
        <w:gridCol w:w="1480"/>
      </w:tblGrid>
      <w:tr w:rsidR="00D756BA" w:rsidRPr="00D756BA" w:rsidTr="00D756BA">
        <w:tc>
          <w:tcPr>
            <w:tcW w:w="810" w:type="dxa"/>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Steps</w:t>
            </w:r>
          </w:p>
        </w:tc>
        <w:tc>
          <w:tcPr>
            <w:tcW w:w="0" w:type="auto"/>
            <w:gridSpan w:val="3"/>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Calculate</w:t>
            </w:r>
          </w:p>
        </w:tc>
        <w:tc>
          <w:tcPr>
            <w:tcW w:w="1470" w:type="dxa"/>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Result</w:t>
            </w:r>
          </w:p>
        </w:tc>
      </w:tr>
      <w:tr w:rsidR="00D756BA" w:rsidRPr="00D756BA" w:rsidTr="00D756BA">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A</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of the building</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2640" w:type="dxa"/>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First 18,000</w:t>
            </w:r>
          </w:p>
        </w:tc>
        <w:tc>
          <w:tcPr>
            <w:tcW w:w="3300" w:type="dxa"/>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18,000 sqft × $27/sqft =</w:t>
            </w:r>
          </w:p>
        </w:tc>
        <w:tc>
          <w:tcPr>
            <w:tcW w:w="1590" w:type="dxa"/>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486,000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Remaining 10,000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10,000 sqft × $32/sqft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320,000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806,000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806,000</w:t>
            </w:r>
          </w:p>
        </w:tc>
      </w:tr>
      <w:tr w:rsidR="00D756BA" w:rsidRPr="00D756BA" w:rsidTr="00D756BA">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B</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Depreciation</w:t>
            </w:r>
          </w:p>
        </w:tc>
        <w:tc>
          <w:tcPr>
            <w:tcW w:w="0" w:type="auto"/>
            <w:vMerge w:val="restart"/>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(365,387)</w:t>
            </w: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xml:space="preserve">Physical and </w:t>
            </w:r>
            <w:r w:rsidRPr="00D756BA">
              <w:rPr>
                <w:rFonts w:ascii="Verdana" w:eastAsia="Times New Roman" w:hAnsi="Verdana" w:cs="Times New Roman"/>
                <w:color w:val="393939"/>
                <w:sz w:val="18"/>
                <w:szCs w:val="18"/>
              </w:rPr>
              <w:br/>
              <w:t>functional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25/75 × 806,000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268,667</w:t>
            </w:r>
          </w:p>
        </w:tc>
        <w:tc>
          <w:tcPr>
            <w:tcW w:w="0" w:type="auto"/>
            <w:vMerge/>
            <w:tcBorders>
              <w:bottom w:val="single" w:sz="6" w:space="0" w:color="88A8AE"/>
            </w:tcBorders>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Location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12% × 806,000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96,720</w:t>
            </w:r>
          </w:p>
        </w:tc>
        <w:tc>
          <w:tcPr>
            <w:tcW w:w="0" w:type="auto"/>
            <w:vMerge/>
            <w:tcBorders>
              <w:bottom w:val="single" w:sz="6" w:space="0" w:color="88A8AE"/>
            </w:tcBorders>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365,387</w:t>
            </w:r>
          </w:p>
        </w:tc>
        <w:tc>
          <w:tcPr>
            <w:tcW w:w="0" w:type="auto"/>
            <w:vMerge/>
            <w:tcBorders>
              <w:bottom w:val="single" w:sz="6" w:space="0" w:color="88A8AE"/>
            </w:tcBorders>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C</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Net cost of building or book value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440,613</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D</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the land as if it is vacant</w:t>
            </w:r>
            <w:r w:rsidRPr="00D756BA">
              <w:rPr>
                <w:rFonts w:ascii="Verdana" w:eastAsia="Times New Roman" w:hAnsi="Verdana" w:cs="Times New Roman"/>
                <w:color w:val="393939"/>
                <w:sz w:val="18"/>
                <w:szCs w:val="18"/>
              </w:rPr>
              <w:t> </w:t>
            </w:r>
            <w:r w:rsidRPr="00D756BA">
              <w:rPr>
                <w:rFonts w:ascii="Verdana" w:eastAsia="Times New Roman" w:hAnsi="Verdana" w:cs="Times New Roman"/>
                <w:color w:val="393939"/>
                <w:sz w:val="18"/>
                <w:szCs w:val="18"/>
              </w:rPr>
              <w:br/>
              <w:t>55,000 sqft × $17.50/sqft</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962,500</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E</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of this real estate investment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$1,403,113</w:t>
            </w:r>
          </w:p>
        </w:tc>
      </w:tr>
    </w:tbl>
    <w:p w:rsidR="00D756BA" w:rsidRDefault="00D756BA"/>
    <w:p w:rsidR="00D756BA" w:rsidRDefault="00D756BA">
      <w:r>
        <w:t>Scenario 3</w:t>
      </w:r>
    </w:p>
    <w:p w:rsidR="00D756BA" w:rsidRDefault="00D756BA" w:rsidP="00D756BA">
      <w:pPr>
        <w:pStyle w:val="NormalWeb"/>
        <w:spacing w:line="288" w:lineRule="auto"/>
        <w:jc w:val="center"/>
        <w:rPr>
          <w:rFonts w:ascii="Verdana" w:hAnsi="Verdana"/>
          <w:color w:val="393939"/>
          <w:sz w:val="18"/>
          <w:szCs w:val="18"/>
        </w:rPr>
      </w:pPr>
      <w:r>
        <w:rPr>
          <w:rStyle w:val="Strong"/>
          <w:rFonts w:ascii="Verdana" w:hAnsi="Verdana"/>
          <w:color w:val="393939"/>
          <w:sz w:val="18"/>
          <w:szCs w:val="18"/>
        </w:rPr>
        <w:t>Question:</w:t>
      </w:r>
    </w:p>
    <w:p w:rsidR="00D756BA" w:rsidRDefault="00D756BA" w:rsidP="00D756BA">
      <w:pPr>
        <w:pStyle w:val="NormalWeb"/>
        <w:spacing w:line="288" w:lineRule="auto"/>
        <w:jc w:val="center"/>
        <w:rPr>
          <w:rFonts w:ascii="Verdana" w:hAnsi="Verdana"/>
          <w:color w:val="393939"/>
          <w:sz w:val="18"/>
          <w:szCs w:val="18"/>
        </w:rPr>
      </w:pPr>
      <w:r>
        <w:rPr>
          <w:rFonts w:ascii="Verdana" w:hAnsi="Verdana"/>
          <w:color w:val="393939"/>
          <w:sz w:val="18"/>
          <w:szCs w:val="18"/>
        </w:rPr>
        <w:t> </w:t>
      </w:r>
    </w:p>
    <w:p w:rsidR="00D756BA" w:rsidRDefault="00D756BA" w:rsidP="00D756BA">
      <w:pPr>
        <w:pStyle w:val="Heading3"/>
        <w:jc w:val="center"/>
      </w:pPr>
      <w:r>
        <w:t xml:space="preserve">The property is </w:t>
      </w:r>
      <w:r>
        <w:rPr>
          <w:rStyle w:val="note1"/>
        </w:rPr>
        <w:t>16</w:t>
      </w:r>
      <w:r>
        <w:t xml:space="preserve"> years old with an estimated economic life of </w:t>
      </w:r>
      <w:r>
        <w:rPr>
          <w:rStyle w:val="note1"/>
        </w:rPr>
        <w:t>80</w:t>
      </w:r>
      <w:r>
        <w:t xml:space="preserve"> years. Changing neighbourhood (location depreciation) characteristics have had a </w:t>
      </w:r>
      <w:r>
        <w:rPr>
          <w:rStyle w:val="Strong"/>
          <w:b/>
          <w:bCs/>
        </w:rPr>
        <w:t>negative</w:t>
      </w:r>
      <w:r>
        <w:t xml:space="preserve"> influence on the property of approximately </w:t>
      </w:r>
      <w:r>
        <w:rPr>
          <w:rStyle w:val="note1"/>
        </w:rPr>
        <w:t>12%</w:t>
      </w:r>
      <w:r>
        <w:t xml:space="preserve"> of building (construction) costs. The land costs </w:t>
      </w:r>
      <w:r>
        <w:rPr>
          <w:rStyle w:val="note1"/>
        </w:rPr>
        <w:t>$21.00</w:t>
      </w:r>
      <w:r>
        <w:t xml:space="preserve"> per square foot and this property is </w:t>
      </w:r>
      <w:r>
        <w:rPr>
          <w:rStyle w:val="note1"/>
        </w:rPr>
        <w:t>60,000</w:t>
      </w:r>
      <w:r>
        <w:t xml:space="preserve"> square feet on land. </w:t>
      </w:r>
    </w:p>
    <w:p w:rsidR="00D756BA" w:rsidRDefault="00D756BA"/>
    <w:p w:rsidR="00D756BA" w:rsidRDefault="00D756BA"/>
    <w:p w:rsidR="00D756BA" w:rsidRDefault="00D756BA"/>
    <w:p w:rsidR="00D756BA" w:rsidRDefault="00D756BA"/>
    <w:p w:rsidR="00D756BA" w:rsidRPr="00D756BA" w:rsidRDefault="00D756BA" w:rsidP="00D756BA">
      <w:pPr>
        <w:spacing w:before="75" w:after="75" w:line="240" w:lineRule="auto"/>
        <w:jc w:val="center"/>
        <w:outlineLvl w:val="1"/>
        <w:rPr>
          <w:rFonts w:ascii="Verdana" w:eastAsia="Times New Roman" w:hAnsi="Verdana" w:cs="Times New Roman"/>
          <w:b/>
          <w:bCs/>
          <w:color w:val="000000"/>
          <w:sz w:val="24"/>
          <w:szCs w:val="24"/>
        </w:rPr>
      </w:pPr>
      <w:r w:rsidRPr="00D756BA">
        <w:rPr>
          <w:rFonts w:ascii="Verdana" w:eastAsia="Times New Roman" w:hAnsi="Verdana" w:cs="Times New Roman"/>
          <w:b/>
          <w:bCs/>
          <w:color w:val="000000"/>
          <w:sz w:val="24"/>
          <w:szCs w:val="24"/>
        </w:rPr>
        <w:lastRenderedPageBreak/>
        <w:t xml:space="preserve">Answer </w:t>
      </w:r>
    </w:p>
    <w:tbl>
      <w:tblPr>
        <w:tblW w:w="9810" w:type="dxa"/>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39"/>
        <w:gridCol w:w="2658"/>
        <w:gridCol w:w="3579"/>
        <w:gridCol w:w="1254"/>
        <w:gridCol w:w="1480"/>
      </w:tblGrid>
      <w:tr w:rsidR="00D756BA" w:rsidRPr="00D756BA" w:rsidTr="00D756BA">
        <w:tc>
          <w:tcPr>
            <w:tcW w:w="810" w:type="dxa"/>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Steps</w:t>
            </w:r>
          </w:p>
        </w:tc>
        <w:tc>
          <w:tcPr>
            <w:tcW w:w="0" w:type="auto"/>
            <w:gridSpan w:val="3"/>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Calculate</w:t>
            </w:r>
          </w:p>
        </w:tc>
        <w:tc>
          <w:tcPr>
            <w:tcW w:w="1470" w:type="dxa"/>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Result</w:t>
            </w:r>
          </w:p>
        </w:tc>
      </w:tr>
      <w:tr w:rsidR="00D756BA" w:rsidRPr="00D756BA" w:rsidTr="00D756BA">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A</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of the building</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2640" w:type="dxa"/>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First 18,000</w:t>
            </w:r>
          </w:p>
        </w:tc>
        <w:tc>
          <w:tcPr>
            <w:tcW w:w="3555" w:type="dxa"/>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18,000 sqft × $27/sqft =</w:t>
            </w:r>
          </w:p>
        </w:tc>
        <w:tc>
          <w:tcPr>
            <w:tcW w:w="1245" w:type="dxa"/>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486,000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Remaining 10,000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10,000 sqft × $32/sqft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320,000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806,000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806,000</w:t>
            </w:r>
          </w:p>
        </w:tc>
      </w:tr>
      <w:tr w:rsidR="00D756BA" w:rsidRPr="00D756BA" w:rsidTr="00D756BA">
        <w:tc>
          <w:tcPr>
            <w:tcW w:w="0" w:type="auto"/>
            <w:vMerge w:val="restart"/>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B</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Depreciation</w:t>
            </w:r>
          </w:p>
        </w:tc>
        <w:tc>
          <w:tcPr>
            <w:tcW w:w="0" w:type="auto"/>
            <w:vMerge w:val="restart"/>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(257,920)</w:t>
            </w: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xml:space="preserve">Physical and </w:t>
            </w:r>
            <w:r w:rsidRPr="00D756BA">
              <w:rPr>
                <w:rFonts w:ascii="Verdana" w:eastAsia="Times New Roman" w:hAnsi="Verdana" w:cs="Times New Roman"/>
                <w:color w:val="393939"/>
                <w:sz w:val="18"/>
                <w:szCs w:val="18"/>
              </w:rPr>
              <w:br/>
              <w:t>functional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16/80 × 806,000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161,200</w:t>
            </w:r>
          </w:p>
        </w:tc>
        <w:tc>
          <w:tcPr>
            <w:tcW w:w="0" w:type="auto"/>
            <w:vMerge/>
            <w:tcBorders>
              <w:bottom w:val="single" w:sz="6" w:space="0" w:color="88A8AE"/>
            </w:tcBorders>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Location depreciation: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right"/>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12% × 806,000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96,720</w:t>
            </w:r>
          </w:p>
        </w:tc>
        <w:tc>
          <w:tcPr>
            <w:tcW w:w="0" w:type="auto"/>
            <w:vMerge/>
            <w:tcBorders>
              <w:bottom w:val="single" w:sz="6" w:space="0" w:color="88A8AE"/>
            </w:tcBorders>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p>
        </w:tc>
      </w:tr>
      <w:tr w:rsidR="00D756BA" w:rsidRPr="00D756BA" w:rsidTr="00D756BA">
        <w:tc>
          <w:tcPr>
            <w:tcW w:w="0" w:type="auto"/>
            <w:vMerge/>
            <w:tcBorders>
              <w:bottom w:val="single" w:sz="6" w:space="0" w:color="C0C0C0"/>
            </w:tcBorders>
            <w:vAlign w:val="center"/>
            <w:hideMark/>
          </w:tcPr>
          <w:p w:rsidR="00D756BA" w:rsidRPr="00D756BA" w:rsidRDefault="00D756BA" w:rsidP="00D756BA">
            <w:pPr>
              <w:spacing w:after="0" w:line="240" w:lineRule="auto"/>
              <w:rPr>
                <w:rFonts w:ascii="Verdana" w:eastAsia="Times New Roman" w:hAnsi="Verdana" w:cs="Times New Roman"/>
                <w:b/>
                <w:bCs/>
                <w:color w:val="9E9E9E"/>
                <w:sz w:val="18"/>
                <w:szCs w:val="18"/>
              </w:rPr>
            </w:pP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257,920</w:t>
            </w:r>
          </w:p>
        </w:tc>
        <w:tc>
          <w:tcPr>
            <w:tcW w:w="0" w:type="auto"/>
            <w:vMerge/>
            <w:tcBorders>
              <w:bottom w:val="single" w:sz="6" w:space="0" w:color="88A8AE"/>
            </w:tcBorders>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C</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Net cost of building or book value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548,080</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D</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the land as if it is vacant</w:t>
            </w:r>
            <w:r w:rsidRPr="00D756BA">
              <w:rPr>
                <w:rFonts w:ascii="Verdana" w:eastAsia="Times New Roman" w:hAnsi="Verdana" w:cs="Times New Roman"/>
                <w:color w:val="393939"/>
                <w:sz w:val="18"/>
                <w:szCs w:val="18"/>
              </w:rPr>
              <w:t> </w:t>
            </w:r>
            <w:r w:rsidRPr="00D756BA">
              <w:rPr>
                <w:rFonts w:ascii="Verdana" w:eastAsia="Times New Roman" w:hAnsi="Verdana" w:cs="Times New Roman"/>
                <w:color w:val="393939"/>
                <w:sz w:val="18"/>
                <w:szCs w:val="18"/>
              </w:rPr>
              <w:br/>
              <w:t>60,000 sqft × $21.00/sqft</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1,260,000</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E</w:t>
            </w:r>
          </w:p>
        </w:tc>
        <w:tc>
          <w:tcPr>
            <w:tcW w:w="0" w:type="auto"/>
            <w:gridSpan w:val="3"/>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Value of this real estate investment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1,808,080</w:t>
            </w:r>
          </w:p>
        </w:tc>
      </w:tr>
    </w:tbl>
    <w:p w:rsidR="00D756BA" w:rsidRDefault="00D756BA"/>
    <w:p w:rsidR="00D756BA" w:rsidRPr="00D756BA" w:rsidRDefault="00D756BA" w:rsidP="00D756BA">
      <w:pPr>
        <w:pStyle w:val="Heading3"/>
      </w:pPr>
      <w:r>
        <w:t>When to Use the Net Income Approach</w:t>
      </w:r>
    </w:p>
    <w:p w:rsidR="00D756BA" w:rsidRDefault="00D756BA" w:rsidP="00D756BA">
      <w:pPr>
        <w:pStyle w:val="NormalWeb"/>
        <w:spacing w:line="288" w:lineRule="auto"/>
        <w:rPr>
          <w:rFonts w:ascii="Verdana" w:hAnsi="Verdana"/>
          <w:color w:val="393939"/>
          <w:sz w:val="18"/>
          <w:szCs w:val="18"/>
        </w:rPr>
      </w:pPr>
      <w:r>
        <w:rPr>
          <w:rFonts w:ascii="Verdana" w:hAnsi="Verdana"/>
          <w:color w:val="393939"/>
          <w:sz w:val="18"/>
          <w:szCs w:val="18"/>
        </w:rPr>
        <w:t> </w:t>
      </w:r>
    </w:p>
    <w:p w:rsidR="00D756BA" w:rsidRDefault="00D756BA" w:rsidP="00D756BA">
      <w:pPr>
        <w:pStyle w:val="NormalWeb"/>
        <w:spacing w:line="288" w:lineRule="auto"/>
        <w:rPr>
          <w:rFonts w:ascii="Verdana" w:hAnsi="Verdana"/>
          <w:color w:val="393939"/>
          <w:sz w:val="18"/>
          <w:szCs w:val="18"/>
        </w:rPr>
      </w:pPr>
      <w:r>
        <w:rPr>
          <w:rFonts w:ascii="Verdana" w:hAnsi="Verdana"/>
          <w:color w:val="393939"/>
          <w:sz w:val="18"/>
          <w:szCs w:val="18"/>
        </w:rPr>
        <w:t xml:space="preserve">The Net Income Approach is used: </w:t>
      </w:r>
    </w:p>
    <w:p w:rsidR="00D756BA" w:rsidRDefault="00D756BA" w:rsidP="00D756BA">
      <w:pPr>
        <w:pStyle w:val="NormalWeb"/>
        <w:spacing w:line="288" w:lineRule="auto"/>
        <w:rPr>
          <w:rFonts w:ascii="Verdana" w:hAnsi="Verdana"/>
          <w:color w:val="393939"/>
          <w:sz w:val="18"/>
          <w:szCs w:val="18"/>
        </w:rPr>
      </w:pPr>
      <w:r>
        <w:rPr>
          <w:rFonts w:ascii="Verdana" w:hAnsi="Verdana"/>
          <w:color w:val="393939"/>
          <w:sz w:val="18"/>
          <w:szCs w:val="18"/>
        </w:rPr>
        <w:t> </w:t>
      </w:r>
    </w:p>
    <w:p w:rsidR="00D756BA" w:rsidRDefault="00D756BA" w:rsidP="00D756BA">
      <w:pPr>
        <w:numPr>
          <w:ilvl w:val="0"/>
          <w:numId w:val="5"/>
        </w:numPr>
        <w:spacing w:before="120" w:after="240" w:line="240" w:lineRule="auto"/>
        <w:ind w:left="300"/>
        <w:rPr>
          <w:rFonts w:ascii="Verdana" w:hAnsi="Verdana"/>
          <w:color w:val="393939"/>
          <w:sz w:val="18"/>
          <w:szCs w:val="18"/>
        </w:rPr>
      </w:pPr>
      <w:r>
        <w:rPr>
          <w:rFonts w:ascii="Verdana" w:hAnsi="Verdana"/>
          <w:color w:val="393939"/>
          <w:sz w:val="18"/>
          <w:szCs w:val="18"/>
        </w:rPr>
        <w:t>To value real estate investments that generate income.</w:t>
      </w:r>
    </w:p>
    <w:p w:rsidR="00D756BA" w:rsidRDefault="00D756BA" w:rsidP="00D756BA">
      <w:pPr>
        <w:numPr>
          <w:ilvl w:val="0"/>
          <w:numId w:val="5"/>
        </w:numPr>
        <w:spacing w:before="120" w:after="240" w:line="240" w:lineRule="auto"/>
        <w:ind w:left="300"/>
        <w:rPr>
          <w:rFonts w:ascii="Verdana" w:hAnsi="Verdana"/>
          <w:color w:val="393939"/>
          <w:sz w:val="18"/>
          <w:szCs w:val="18"/>
        </w:rPr>
      </w:pPr>
      <w:r>
        <w:rPr>
          <w:rFonts w:ascii="Verdana" w:hAnsi="Verdana"/>
          <w:color w:val="393939"/>
          <w:sz w:val="18"/>
          <w:szCs w:val="18"/>
        </w:rPr>
        <w:t>To value real estate investments when the Cost Approach is difficult to apply.</w:t>
      </w:r>
    </w:p>
    <w:p w:rsidR="00D756BA" w:rsidRDefault="00D756BA" w:rsidP="00D756BA">
      <w:pPr>
        <w:numPr>
          <w:ilvl w:val="0"/>
          <w:numId w:val="5"/>
        </w:numPr>
        <w:spacing w:before="120" w:after="0" w:line="240" w:lineRule="auto"/>
        <w:ind w:left="300"/>
        <w:rPr>
          <w:rFonts w:ascii="Verdana" w:hAnsi="Verdana"/>
          <w:color w:val="393939"/>
          <w:sz w:val="18"/>
          <w:szCs w:val="18"/>
        </w:rPr>
      </w:pPr>
      <w:r>
        <w:rPr>
          <w:rFonts w:ascii="Verdana" w:hAnsi="Verdana"/>
          <w:color w:val="393939"/>
          <w:sz w:val="18"/>
          <w:szCs w:val="18"/>
        </w:rPr>
        <w:t xml:space="preserve">To value real estate investments when there are few or no comparables on the market, i.e. when Sales Comparable cannot be applied. </w:t>
      </w:r>
    </w:p>
    <w:p w:rsidR="00D756BA" w:rsidRDefault="00D756BA"/>
    <w:p w:rsidR="00D756BA" w:rsidRDefault="00D756BA" w:rsidP="00D756BA">
      <w:pPr>
        <w:pStyle w:val="Heading3"/>
      </w:pPr>
    </w:p>
    <w:p w:rsidR="00D756BA" w:rsidRDefault="00D756BA" w:rsidP="00D756BA">
      <w:pPr>
        <w:pStyle w:val="Heading3"/>
      </w:pPr>
    </w:p>
    <w:p w:rsidR="00D756BA" w:rsidRDefault="00D756BA" w:rsidP="00D756BA">
      <w:pPr>
        <w:pStyle w:val="Heading3"/>
      </w:pPr>
    </w:p>
    <w:p w:rsidR="00D756BA" w:rsidRDefault="00D756BA" w:rsidP="00D756BA">
      <w:pPr>
        <w:pStyle w:val="Heading3"/>
      </w:pPr>
    </w:p>
    <w:p w:rsidR="00D756BA" w:rsidRPr="00D756BA" w:rsidRDefault="00D756BA" w:rsidP="00D756BA">
      <w:pPr>
        <w:pStyle w:val="Heading3"/>
      </w:pPr>
      <w:r>
        <w:lastRenderedPageBreak/>
        <w:t>Advantages and Disadvantages of the Net Income Approach</w:t>
      </w:r>
    </w:p>
    <w:tbl>
      <w:tblPr>
        <w:tblW w:w="7500" w:type="dxa"/>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3750"/>
        <w:gridCol w:w="3750"/>
      </w:tblGrid>
      <w:tr w:rsidR="00D756BA" w:rsidTr="00D756BA">
        <w:trPr>
          <w:jc w:val="center"/>
        </w:trPr>
        <w:tc>
          <w:tcPr>
            <w:tcW w:w="3750" w:type="dxa"/>
            <w:tcBorders>
              <w:bottom w:val="single" w:sz="6" w:space="0" w:color="C0C0C0"/>
            </w:tcBorders>
            <w:shd w:val="clear" w:color="auto" w:fill="202020"/>
            <w:tcMar>
              <w:top w:w="90" w:type="dxa"/>
              <w:left w:w="180" w:type="dxa"/>
              <w:bottom w:w="90" w:type="dxa"/>
              <w:right w:w="90" w:type="dxa"/>
            </w:tcMar>
            <w:vAlign w:val="center"/>
            <w:hideMark/>
          </w:tcPr>
          <w:p w:rsidR="00D756BA" w:rsidRDefault="00D756BA">
            <w:pPr>
              <w:jc w:val="center"/>
              <w:rPr>
                <w:rFonts w:ascii="Verdana" w:hAnsi="Verdana"/>
                <w:b/>
                <w:bCs/>
                <w:color w:val="9E9E9E"/>
                <w:sz w:val="18"/>
                <w:szCs w:val="18"/>
              </w:rPr>
            </w:pPr>
            <w:r>
              <w:rPr>
                <w:rStyle w:val="Strong"/>
                <w:rFonts w:ascii="Verdana" w:hAnsi="Verdana"/>
                <w:color w:val="9E9E9E"/>
                <w:sz w:val="18"/>
                <w:szCs w:val="18"/>
              </w:rPr>
              <w:t>Advantages</w:t>
            </w:r>
          </w:p>
        </w:tc>
        <w:tc>
          <w:tcPr>
            <w:tcW w:w="3750" w:type="dxa"/>
            <w:tcBorders>
              <w:bottom w:val="single" w:sz="6" w:space="0" w:color="C0C0C0"/>
            </w:tcBorders>
            <w:shd w:val="clear" w:color="auto" w:fill="202020"/>
            <w:tcMar>
              <w:top w:w="90" w:type="dxa"/>
              <w:left w:w="180" w:type="dxa"/>
              <w:bottom w:w="90" w:type="dxa"/>
              <w:right w:w="90" w:type="dxa"/>
            </w:tcMar>
            <w:vAlign w:val="center"/>
            <w:hideMark/>
          </w:tcPr>
          <w:p w:rsidR="00D756BA" w:rsidRDefault="00D756BA">
            <w:pPr>
              <w:jc w:val="center"/>
              <w:rPr>
                <w:rFonts w:ascii="Verdana" w:hAnsi="Verdana"/>
                <w:b/>
                <w:bCs/>
                <w:color w:val="9E9E9E"/>
                <w:sz w:val="18"/>
                <w:szCs w:val="18"/>
              </w:rPr>
            </w:pPr>
            <w:r>
              <w:rPr>
                <w:rStyle w:val="Strong"/>
                <w:rFonts w:ascii="Verdana" w:hAnsi="Verdana"/>
                <w:color w:val="9E9E9E"/>
                <w:sz w:val="18"/>
                <w:szCs w:val="18"/>
              </w:rPr>
              <w:t>Disadvantages</w:t>
            </w:r>
          </w:p>
        </w:tc>
      </w:tr>
      <w:tr w:rsidR="00D756BA" w:rsidTr="00D756BA">
        <w:trPr>
          <w:jc w:val="center"/>
        </w:trPr>
        <w:tc>
          <w:tcPr>
            <w:tcW w:w="3750" w:type="dxa"/>
            <w:tcBorders>
              <w:bottom w:val="single" w:sz="6" w:space="0" w:color="88A8AE"/>
            </w:tcBorders>
            <w:shd w:val="clear" w:color="auto" w:fill="FFFFFF"/>
            <w:tcMar>
              <w:top w:w="90" w:type="dxa"/>
              <w:left w:w="90" w:type="dxa"/>
              <w:bottom w:w="90" w:type="dxa"/>
              <w:right w:w="90" w:type="dxa"/>
            </w:tcMar>
            <w:hideMark/>
          </w:tcPr>
          <w:p w:rsidR="00D756BA" w:rsidRDefault="00D756BA">
            <w:pPr>
              <w:pStyle w:val="NormalWeb"/>
              <w:spacing w:line="288" w:lineRule="auto"/>
              <w:rPr>
                <w:rFonts w:ascii="Verdana" w:hAnsi="Verdana"/>
                <w:color w:val="393939"/>
                <w:sz w:val="18"/>
                <w:szCs w:val="18"/>
              </w:rPr>
            </w:pPr>
            <w:r>
              <w:rPr>
                <w:rFonts w:ascii="Verdana" w:hAnsi="Verdana"/>
                <w:color w:val="393939"/>
                <w:sz w:val="18"/>
                <w:szCs w:val="18"/>
              </w:rPr>
              <w:t>Do not have to calculate depreciation which is very subjective (see cost approach).</w:t>
            </w:r>
          </w:p>
          <w:p w:rsidR="00D756BA" w:rsidRDefault="00D756BA">
            <w:pPr>
              <w:pStyle w:val="NormalWeb"/>
              <w:spacing w:line="288" w:lineRule="auto"/>
              <w:rPr>
                <w:rFonts w:ascii="Verdana" w:hAnsi="Verdana"/>
                <w:color w:val="393939"/>
                <w:sz w:val="18"/>
                <w:szCs w:val="18"/>
              </w:rPr>
            </w:pPr>
            <w:r>
              <w:rPr>
                <w:rFonts w:ascii="Verdana" w:hAnsi="Verdana"/>
                <w:color w:val="393939"/>
                <w:sz w:val="18"/>
                <w:szCs w:val="18"/>
              </w:rPr>
              <w:t>Takes into account changes in the fiscal policy (such as supply and demand, etc.) and monetary policies (such as interest rates, inflation, etc.) of the economy.</w:t>
            </w:r>
          </w:p>
        </w:tc>
        <w:tc>
          <w:tcPr>
            <w:tcW w:w="3750" w:type="dxa"/>
            <w:tcBorders>
              <w:bottom w:val="single" w:sz="6" w:space="0" w:color="88A8AE"/>
            </w:tcBorders>
            <w:shd w:val="clear" w:color="auto" w:fill="FFFFFF"/>
            <w:tcMar>
              <w:top w:w="90" w:type="dxa"/>
              <w:left w:w="90" w:type="dxa"/>
              <w:bottom w:w="90" w:type="dxa"/>
              <w:right w:w="90" w:type="dxa"/>
            </w:tcMar>
            <w:hideMark/>
          </w:tcPr>
          <w:p w:rsidR="00D756BA" w:rsidRDefault="00D756BA">
            <w:pPr>
              <w:pStyle w:val="NormalWeb"/>
              <w:spacing w:line="288" w:lineRule="auto"/>
              <w:rPr>
                <w:rFonts w:ascii="Verdana" w:hAnsi="Verdana"/>
                <w:color w:val="393939"/>
                <w:sz w:val="18"/>
                <w:szCs w:val="18"/>
              </w:rPr>
            </w:pPr>
            <w:r>
              <w:rPr>
                <w:rFonts w:ascii="Verdana" w:hAnsi="Verdana"/>
                <w:color w:val="393939"/>
                <w:sz w:val="18"/>
                <w:szCs w:val="18"/>
              </w:rPr>
              <w:t>Difficult to estimate expected vacancy and credit losses.</w:t>
            </w:r>
          </w:p>
          <w:p w:rsidR="00D756BA" w:rsidRDefault="00D756BA">
            <w:pPr>
              <w:pStyle w:val="NormalWeb"/>
              <w:spacing w:line="288" w:lineRule="auto"/>
              <w:rPr>
                <w:rFonts w:ascii="Verdana" w:hAnsi="Verdana"/>
                <w:color w:val="393939"/>
                <w:sz w:val="18"/>
                <w:szCs w:val="18"/>
              </w:rPr>
            </w:pPr>
            <w:r>
              <w:rPr>
                <w:rFonts w:ascii="Verdana" w:hAnsi="Verdana"/>
                <w:color w:val="393939"/>
                <w:sz w:val="18"/>
                <w:szCs w:val="18"/>
              </w:rPr>
              <w:t>Difficult to estimate expected operations expenses.</w:t>
            </w:r>
          </w:p>
          <w:p w:rsidR="00D756BA" w:rsidRDefault="00D756BA">
            <w:pPr>
              <w:pStyle w:val="NormalWeb"/>
              <w:spacing w:line="288" w:lineRule="auto"/>
              <w:rPr>
                <w:rFonts w:ascii="Verdana" w:hAnsi="Verdana"/>
                <w:color w:val="393939"/>
                <w:sz w:val="18"/>
                <w:szCs w:val="18"/>
              </w:rPr>
            </w:pPr>
            <w:r>
              <w:rPr>
                <w:rFonts w:ascii="Verdana" w:hAnsi="Verdana"/>
                <w:color w:val="393939"/>
                <w:sz w:val="18"/>
                <w:szCs w:val="18"/>
              </w:rPr>
              <w:t>Difficult to estimate Net Operating Income if vacancy and credit losses and operating expenses are difficult to estimate or sometimes subjective.</w:t>
            </w:r>
          </w:p>
        </w:tc>
      </w:tr>
    </w:tbl>
    <w:p w:rsidR="00D756BA" w:rsidRDefault="00D756BA"/>
    <w:p w:rsidR="00D756BA" w:rsidRPr="00D756BA" w:rsidRDefault="00D756BA" w:rsidP="00D756BA">
      <w:pPr>
        <w:pStyle w:val="Heading3"/>
      </w:pPr>
      <w:r>
        <w:t>How to Apply the Net Income Approach</w:t>
      </w:r>
      <w:r>
        <w:rPr>
          <w:vanish/>
        </w:rPr>
        <w:t>Professor's Comments (audio)</w:t>
      </w: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33"/>
        <w:gridCol w:w="4490"/>
        <w:gridCol w:w="3289"/>
      </w:tblGrid>
      <w:tr w:rsidR="00D756BA" w:rsidTr="00D756BA">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Default="00D756BA">
            <w:pPr>
              <w:jc w:val="center"/>
              <w:rPr>
                <w:rFonts w:ascii="Verdana" w:hAnsi="Verdana"/>
                <w:b/>
                <w:bCs/>
                <w:color w:val="9E9E9E"/>
                <w:sz w:val="18"/>
                <w:szCs w:val="18"/>
              </w:rPr>
            </w:pPr>
            <w:r>
              <w:rPr>
                <w:rFonts w:ascii="Verdana" w:hAnsi="Verdana"/>
                <w:b/>
                <w:bCs/>
                <w:color w:val="9E9E9E"/>
                <w:sz w:val="18"/>
                <w:szCs w:val="18"/>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Default="00D756BA">
            <w:pPr>
              <w:jc w:val="center"/>
              <w:rPr>
                <w:rFonts w:ascii="Verdana" w:hAnsi="Verdana"/>
                <w:b/>
                <w:bCs/>
                <w:color w:val="9E9E9E"/>
                <w:sz w:val="18"/>
                <w:szCs w:val="18"/>
              </w:rPr>
            </w:pPr>
            <w:r>
              <w:rPr>
                <w:rFonts w:ascii="Verdana" w:hAnsi="Verdana"/>
                <w:b/>
                <w:bCs/>
                <w:color w:val="9E9E9E"/>
                <w:sz w:val="18"/>
                <w:szCs w:val="18"/>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Default="00D756BA">
            <w:pPr>
              <w:jc w:val="center"/>
              <w:rPr>
                <w:rFonts w:ascii="Verdana" w:hAnsi="Verdana"/>
                <w:b/>
                <w:bCs/>
                <w:color w:val="9E9E9E"/>
                <w:sz w:val="18"/>
                <w:szCs w:val="18"/>
              </w:rPr>
            </w:pPr>
            <w:r>
              <w:rPr>
                <w:rFonts w:ascii="Verdana" w:hAnsi="Verdana"/>
                <w:b/>
                <w:bCs/>
                <w:color w:val="9E9E9E"/>
                <w:sz w:val="18"/>
                <w:szCs w:val="18"/>
              </w:rPr>
              <w:t>Formula</w:t>
            </w:r>
          </w:p>
        </w:tc>
      </w:tr>
      <w:tr w:rsidR="00D756BA" w:rsidTr="00D756BA">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Default="00D756BA">
            <w:pPr>
              <w:jc w:val="center"/>
              <w:rPr>
                <w:rFonts w:ascii="Verdana" w:hAnsi="Verdana"/>
                <w:b/>
                <w:bCs/>
                <w:color w:val="9E9E9E"/>
                <w:sz w:val="18"/>
                <w:szCs w:val="18"/>
              </w:rPr>
            </w:pPr>
            <w:r>
              <w:rPr>
                <w:rFonts w:ascii="Verdana" w:hAnsi="Verdana"/>
                <w:b/>
                <w:bCs/>
                <w:color w:val="9E9E9E"/>
                <w:sz w:val="18"/>
                <w:szCs w:val="18"/>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Default="00D756BA">
            <w:pPr>
              <w:pStyle w:val="NormalWeb"/>
              <w:spacing w:line="288" w:lineRule="auto"/>
              <w:rPr>
                <w:rFonts w:ascii="Verdana" w:hAnsi="Verdana"/>
                <w:color w:val="393939"/>
                <w:sz w:val="18"/>
                <w:szCs w:val="18"/>
              </w:rPr>
            </w:pPr>
            <w:r>
              <w:rPr>
                <w:rStyle w:val="Strong"/>
                <w:rFonts w:ascii="Verdana" w:hAnsi="Verdana"/>
                <w:color w:val="393939"/>
                <w:sz w:val="18"/>
                <w:szCs w:val="18"/>
              </w:rPr>
              <w:t>Potential Gross Income (PGI)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Default="00D756BA">
            <w:pPr>
              <w:pStyle w:val="note"/>
              <w:spacing w:line="288" w:lineRule="auto"/>
              <w:jc w:val="center"/>
              <w:rPr>
                <w:rFonts w:ascii="Verdana" w:hAnsi="Verdana"/>
                <w:sz w:val="18"/>
                <w:szCs w:val="18"/>
              </w:rPr>
            </w:pPr>
            <w:r>
              <w:rPr>
                <w:rFonts w:ascii="Verdana" w:hAnsi="Verdana"/>
                <w:sz w:val="18"/>
                <w:szCs w:val="18"/>
              </w:rPr>
              <w:t>A</w:t>
            </w:r>
          </w:p>
        </w:tc>
      </w:tr>
      <w:tr w:rsidR="00D756BA" w:rsidTr="00D756BA">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Default="00D756BA">
            <w:pPr>
              <w:jc w:val="center"/>
              <w:rPr>
                <w:rFonts w:ascii="Verdana" w:hAnsi="Verdana"/>
                <w:b/>
                <w:bCs/>
                <w:color w:val="9E9E9E"/>
                <w:sz w:val="18"/>
                <w:szCs w:val="18"/>
              </w:rPr>
            </w:pPr>
            <w:r>
              <w:rPr>
                <w:rFonts w:ascii="Verdana" w:hAnsi="Verdana"/>
                <w:b/>
                <w:bCs/>
                <w:color w:val="9E9E9E"/>
                <w:sz w:val="18"/>
                <w:szCs w:val="18"/>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Default="00D756BA">
            <w:pPr>
              <w:pStyle w:val="NormalWeb"/>
              <w:spacing w:line="288" w:lineRule="auto"/>
              <w:rPr>
                <w:rFonts w:ascii="Verdana" w:hAnsi="Verdana"/>
                <w:color w:val="393939"/>
                <w:sz w:val="18"/>
                <w:szCs w:val="18"/>
              </w:rPr>
            </w:pPr>
            <w:r>
              <w:rPr>
                <w:rStyle w:val="Strong"/>
                <w:rFonts w:ascii="Verdana" w:hAnsi="Verdana"/>
                <w:color w:val="393939"/>
                <w:sz w:val="18"/>
                <w:szCs w:val="18"/>
              </w:rPr>
              <w:t>Vacancy and Credit Losses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Default="00D756BA">
            <w:pPr>
              <w:pStyle w:val="note"/>
              <w:spacing w:line="288" w:lineRule="auto"/>
              <w:jc w:val="center"/>
              <w:rPr>
                <w:rFonts w:ascii="Verdana" w:hAnsi="Verdana"/>
                <w:sz w:val="18"/>
                <w:szCs w:val="18"/>
              </w:rPr>
            </w:pPr>
            <w:r>
              <w:rPr>
                <w:rFonts w:ascii="Verdana" w:hAnsi="Verdana"/>
                <w:sz w:val="18"/>
                <w:szCs w:val="18"/>
              </w:rPr>
              <w:t>B</w:t>
            </w:r>
          </w:p>
        </w:tc>
      </w:tr>
      <w:tr w:rsidR="00D756BA" w:rsidTr="00D756BA">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Default="00D756BA">
            <w:pPr>
              <w:jc w:val="center"/>
              <w:rPr>
                <w:rFonts w:ascii="Verdana" w:hAnsi="Verdana"/>
                <w:b/>
                <w:bCs/>
                <w:color w:val="9E9E9E"/>
                <w:sz w:val="18"/>
                <w:szCs w:val="18"/>
              </w:rPr>
            </w:pPr>
            <w:r>
              <w:rPr>
                <w:rFonts w:ascii="Verdana" w:hAnsi="Verdana"/>
                <w:b/>
                <w:bCs/>
                <w:color w:val="9E9E9E"/>
                <w:sz w:val="18"/>
                <w:szCs w:val="18"/>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Default="00D756BA">
            <w:pPr>
              <w:rPr>
                <w:rFonts w:ascii="Verdana" w:hAnsi="Verdana"/>
                <w:color w:val="393939"/>
                <w:sz w:val="18"/>
                <w:szCs w:val="18"/>
              </w:rPr>
            </w:pPr>
            <w:r>
              <w:rPr>
                <w:rStyle w:val="Strong"/>
                <w:rFonts w:ascii="Verdana" w:hAnsi="Verdana"/>
                <w:color w:val="393939"/>
                <w:sz w:val="18"/>
                <w:szCs w:val="18"/>
              </w:rPr>
              <w:t>Effective Gross Income (EGI)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Default="00D756BA">
            <w:pPr>
              <w:pStyle w:val="note"/>
              <w:spacing w:line="288" w:lineRule="auto"/>
              <w:jc w:val="center"/>
              <w:rPr>
                <w:rFonts w:ascii="Verdana" w:hAnsi="Verdana"/>
                <w:sz w:val="18"/>
                <w:szCs w:val="18"/>
              </w:rPr>
            </w:pPr>
            <w:r>
              <w:rPr>
                <w:rFonts w:ascii="Verdana" w:hAnsi="Verdana"/>
                <w:sz w:val="18"/>
                <w:szCs w:val="18"/>
              </w:rPr>
              <w:t>C = A - B</w:t>
            </w:r>
          </w:p>
        </w:tc>
      </w:tr>
      <w:tr w:rsidR="00D756BA" w:rsidTr="00D756BA">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Default="00D756BA">
            <w:pPr>
              <w:jc w:val="center"/>
              <w:rPr>
                <w:rFonts w:ascii="Verdana" w:hAnsi="Verdana"/>
                <w:b/>
                <w:bCs/>
                <w:color w:val="9E9E9E"/>
                <w:sz w:val="18"/>
                <w:szCs w:val="18"/>
              </w:rPr>
            </w:pPr>
            <w:r>
              <w:rPr>
                <w:rFonts w:ascii="Verdana" w:hAnsi="Verdana"/>
                <w:b/>
                <w:bCs/>
                <w:color w:val="9E9E9E"/>
                <w:sz w:val="18"/>
                <w:szCs w:val="18"/>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Default="00D756BA">
            <w:pPr>
              <w:rPr>
                <w:rFonts w:ascii="Verdana" w:hAnsi="Verdana"/>
                <w:color w:val="393939"/>
                <w:sz w:val="18"/>
                <w:szCs w:val="18"/>
              </w:rPr>
            </w:pPr>
            <w:r>
              <w:rPr>
                <w:rStyle w:val="Strong"/>
                <w:rFonts w:ascii="Verdana" w:hAnsi="Verdana"/>
                <w:color w:val="393939"/>
                <w:sz w:val="18"/>
                <w:szCs w:val="18"/>
              </w:rPr>
              <w:t>Operating Expenses (OE)</w:t>
            </w:r>
            <w:r>
              <w:rPr>
                <w:rFonts w:ascii="Verdana" w:hAnsi="Verdana"/>
                <w:b/>
                <w:bCs/>
                <w:color w:val="393939"/>
                <w:sz w:val="18"/>
                <w:szCs w:val="18"/>
              </w:rPr>
              <w:br/>
            </w:r>
            <w:r>
              <w:rPr>
                <w:rFonts w:ascii="Verdana" w:hAnsi="Verdana"/>
                <w:color w:val="393939"/>
                <w:sz w:val="18"/>
                <w:szCs w:val="18"/>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Default="00D756BA">
            <w:pPr>
              <w:pStyle w:val="NormalWeb"/>
              <w:spacing w:line="288" w:lineRule="auto"/>
              <w:jc w:val="center"/>
              <w:rPr>
                <w:rFonts w:ascii="Verdana" w:hAnsi="Verdana"/>
                <w:color w:val="393939"/>
                <w:sz w:val="18"/>
                <w:szCs w:val="18"/>
              </w:rPr>
            </w:pPr>
            <w:r>
              <w:rPr>
                <w:rFonts w:ascii="Verdana" w:hAnsi="Verdana"/>
                <w:color w:val="393939"/>
                <w:sz w:val="18"/>
                <w:szCs w:val="18"/>
              </w:rPr>
              <w:t>D</w:t>
            </w:r>
          </w:p>
        </w:tc>
      </w:tr>
      <w:tr w:rsidR="00D756BA" w:rsidTr="00D756BA">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Default="00D756BA">
            <w:pPr>
              <w:jc w:val="center"/>
              <w:rPr>
                <w:rFonts w:ascii="Verdana" w:hAnsi="Verdana"/>
                <w:b/>
                <w:bCs/>
                <w:color w:val="9E9E9E"/>
                <w:sz w:val="18"/>
                <w:szCs w:val="18"/>
              </w:rPr>
            </w:pPr>
            <w:r>
              <w:rPr>
                <w:rFonts w:ascii="Verdana" w:hAnsi="Verdana"/>
                <w:b/>
                <w:bCs/>
                <w:color w:val="9E9E9E"/>
                <w:sz w:val="18"/>
                <w:szCs w:val="18"/>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Default="00D756BA">
            <w:pPr>
              <w:rPr>
                <w:rFonts w:ascii="Verdana" w:hAnsi="Verdana"/>
                <w:color w:val="393939"/>
                <w:sz w:val="18"/>
                <w:szCs w:val="18"/>
              </w:rPr>
            </w:pPr>
            <w:r>
              <w:rPr>
                <w:rStyle w:val="Strong"/>
                <w:rFonts w:ascii="Verdana" w:hAnsi="Verdana"/>
                <w:color w:val="393939"/>
                <w:sz w:val="18"/>
                <w:szCs w:val="18"/>
              </w:rPr>
              <w:t>Net Operating Income (NOI)</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Default="00D756BA">
            <w:pPr>
              <w:pStyle w:val="NormalWeb"/>
              <w:spacing w:line="288" w:lineRule="auto"/>
              <w:jc w:val="center"/>
              <w:rPr>
                <w:rFonts w:ascii="Verdana" w:hAnsi="Verdana"/>
                <w:color w:val="393939"/>
                <w:sz w:val="18"/>
                <w:szCs w:val="18"/>
              </w:rPr>
            </w:pPr>
            <w:r>
              <w:rPr>
                <w:rFonts w:ascii="Verdana" w:hAnsi="Verdana"/>
                <w:color w:val="393939"/>
                <w:sz w:val="18"/>
                <w:szCs w:val="18"/>
              </w:rPr>
              <w:t xml:space="preserve">E = C - D </w:t>
            </w:r>
          </w:p>
        </w:tc>
      </w:tr>
      <w:tr w:rsidR="00D756BA" w:rsidTr="00D756BA">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Default="00D756BA">
            <w:pPr>
              <w:jc w:val="center"/>
              <w:rPr>
                <w:rFonts w:ascii="Verdana" w:hAnsi="Verdana"/>
                <w:b/>
                <w:bCs/>
                <w:color w:val="9E9E9E"/>
                <w:sz w:val="18"/>
                <w:szCs w:val="18"/>
              </w:rPr>
            </w:pPr>
            <w:r>
              <w:rPr>
                <w:rFonts w:ascii="Verdana" w:hAnsi="Verdana"/>
                <w:b/>
                <w:bCs/>
                <w:color w:val="9E9E9E"/>
                <w:sz w:val="18"/>
                <w:szCs w:val="18"/>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Default="00D756BA">
            <w:pPr>
              <w:rPr>
                <w:rFonts w:ascii="Verdana" w:hAnsi="Verdana"/>
                <w:color w:val="393939"/>
                <w:sz w:val="18"/>
                <w:szCs w:val="18"/>
              </w:rPr>
            </w:pPr>
            <w:r>
              <w:rPr>
                <w:rStyle w:val="Strong"/>
                <w:rFonts w:ascii="Verdana" w:hAnsi="Verdana"/>
                <w:color w:val="393939"/>
                <w:sz w:val="18"/>
                <w:szCs w:val="18"/>
              </w:rPr>
              <w:t>Weighted Average Cost of Capital (WACC)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Default="00D756BA">
            <w:pPr>
              <w:pStyle w:val="NormalWeb"/>
              <w:spacing w:line="288" w:lineRule="auto"/>
              <w:jc w:val="center"/>
              <w:rPr>
                <w:rFonts w:ascii="Verdana" w:hAnsi="Verdana"/>
                <w:color w:val="393939"/>
                <w:sz w:val="18"/>
                <w:szCs w:val="18"/>
              </w:rPr>
            </w:pPr>
            <w:r>
              <w:rPr>
                <w:rFonts w:ascii="Verdana" w:hAnsi="Verdana"/>
                <w:color w:val="393939"/>
                <w:sz w:val="18"/>
                <w:szCs w:val="18"/>
              </w:rPr>
              <w:t>{rd × LVR}  +  {re × (1 – LVR)}*</w:t>
            </w:r>
          </w:p>
        </w:tc>
      </w:tr>
      <w:tr w:rsidR="00D756BA" w:rsidTr="00D756BA">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Default="00D756BA">
            <w:pPr>
              <w:jc w:val="center"/>
              <w:rPr>
                <w:rFonts w:ascii="Verdana" w:hAnsi="Verdana"/>
                <w:b/>
                <w:bCs/>
                <w:color w:val="9E9E9E"/>
                <w:sz w:val="18"/>
                <w:szCs w:val="18"/>
              </w:rPr>
            </w:pPr>
            <w:r>
              <w:rPr>
                <w:rFonts w:ascii="Verdana" w:hAnsi="Verdana"/>
                <w:b/>
                <w:bCs/>
                <w:color w:val="9E9E9E"/>
                <w:sz w:val="18"/>
                <w:szCs w:val="18"/>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Default="00D756BA">
            <w:pPr>
              <w:rPr>
                <w:rFonts w:ascii="Verdana" w:hAnsi="Verdana"/>
                <w:color w:val="393939"/>
                <w:sz w:val="18"/>
                <w:szCs w:val="18"/>
              </w:rPr>
            </w:pPr>
            <w:r>
              <w:rPr>
                <w:rStyle w:val="Strong"/>
                <w:rFonts w:ascii="Verdana" w:hAnsi="Verdana"/>
                <w:color w:val="393939"/>
                <w:sz w:val="18"/>
                <w:szCs w:val="18"/>
              </w:rPr>
              <w:t>Apply the formula</w:t>
            </w:r>
            <w:r>
              <w:rPr>
                <w:rFonts w:ascii="Verdana" w:hAnsi="Verdana"/>
                <w:b/>
                <w:bCs/>
                <w:color w:val="393939"/>
                <w:sz w:val="18"/>
                <w:szCs w:val="18"/>
              </w:rPr>
              <w:br/>
            </w:r>
            <w:r>
              <w:rPr>
                <w:rFonts w:ascii="Verdana" w:hAnsi="Verdana"/>
                <w:color w:val="393939"/>
                <w:sz w:val="18"/>
                <w:szCs w:val="18"/>
              </w:rPr>
              <w:t>NOI divided by WACC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Default="00D756BA">
            <w:pPr>
              <w:pStyle w:val="NormalWeb"/>
              <w:spacing w:line="288" w:lineRule="auto"/>
              <w:jc w:val="center"/>
              <w:rPr>
                <w:rFonts w:ascii="Verdana" w:hAnsi="Verdana"/>
                <w:color w:val="393939"/>
                <w:sz w:val="18"/>
                <w:szCs w:val="18"/>
              </w:rPr>
            </w:pPr>
            <w:r>
              <w:rPr>
                <w:rFonts w:ascii="Verdana" w:hAnsi="Verdana"/>
                <w:color w:val="393939"/>
                <w:sz w:val="18"/>
                <w:szCs w:val="18"/>
              </w:rPr>
              <w:t>E/F</w:t>
            </w:r>
          </w:p>
        </w:tc>
      </w:tr>
    </w:tbl>
    <w:p w:rsidR="00D756BA" w:rsidRDefault="00D756BA" w:rsidP="00D756BA">
      <w:pPr>
        <w:pStyle w:val="NormalWeb"/>
        <w:spacing w:line="288" w:lineRule="auto"/>
        <w:rPr>
          <w:rFonts w:ascii="Verdana" w:hAnsi="Verdana"/>
          <w:color w:val="393939"/>
          <w:sz w:val="18"/>
          <w:szCs w:val="18"/>
        </w:rPr>
      </w:pPr>
      <w:r>
        <w:rPr>
          <w:rFonts w:ascii="Verdana" w:hAnsi="Verdana"/>
          <w:color w:val="393939"/>
          <w:sz w:val="18"/>
          <w:szCs w:val="18"/>
        </w:rPr>
        <w:t> </w:t>
      </w:r>
    </w:p>
    <w:p w:rsidR="00D756BA" w:rsidRDefault="00D756BA" w:rsidP="00D756BA">
      <w:pPr>
        <w:pStyle w:val="Heading4"/>
      </w:pPr>
      <w:r>
        <w:t>Weighted Average Cost of Capital (WACC) </w:t>
      </w:r>
    </w:p>
    <w:p w:rsidR="00D756BA" w:rsidRDefault="00D756BA" w:rsidP="00D756BA">
      <w:pPr>
        <w:pStyle w:val="Heading5"/>
        <w:rPr>
          <w:rFonts w:ascii="Verdana" w:hAnsi="Verdana"/>
          <w:color w:val="393939"/>
          <w:sz w:val="18"/>
          <w:szCs w:val="18"/>
        </w:rPr>
      </w:pPr>
      <w:r>
        <w:rPr>
          <w:rFonts w:ascii="Verdana" w:hAnsi="Verdana"/>
          <w:color w:val="393939"/>
          <w:sz w:val="18"/>
          <w:szCs w:val="18"/>
        </w:rPr>
        <w:t>{rd × LVR}  +  {re × (1 – LVR)}</w:t>
      </w:r>
    </w:p>
    <w:p w:rsidR="00D756BA" w:rsidRDefault="00D756BA" w:rsidP="00D756BA">
      <w:pPr>
        <w:pStyle w:val="NormalWeb"/>
        <w:spacing w:line="288" w:lineRule="auto"/>
        <w:rPr>
          <w:rFonts w:ascii="Verdana" w:hAnsi="Verdana"/>
          <w:color w:val="393939"/>
          <w:sz w:val="18"/>
          <w:szCs w:val="18"/>
        </w:rPr>
      </w:pPr>
      <w:r>
        <w:rPr>
          <w:rStyle w:val="Strong"/>
          <w:rFonts w:ascii="Verdana" w:hAnsi="Verdana"/>
          <w:color w:val="393939"/>
          <w:sz w:val="18"/>
          <w:szCs w:val="18"/>
        </w:rPr>
        <w:t>rd = Cost of Debt</w:t>
      </w:r>
      <w:r>
        <w:rPr>
          <w:rStyle w:val="Emphasis"/>
          <w:rFonts w:ascii="Verdana" w:hAnsi="Verdana"/>
          <w:sz w:val="18"/>
          <w:szCs w:val="18"/>
        </w:rPr>
        <w:t>:</w:t>
      </w:r>
      <w:r>
        <w:rPr>
          <w:rFonts w:ascii="Verdana" w:hAnsi="Verdana"/>
          <w:color w:val="393939"/>
          <w:sz w:val="18"/>
          <w:szCs w:val="18"/>
        </w:rPr>
        <w:t xml:space="preserve"> This is the interest rate the bank charges you on the mortgage. </w:t>
      </w:r>
    </w:p>
    <w:p w:rsidR="00D756BA" w:rsidRDefault="00D756BA" w:rsidP="00D756BA">
      <w:pPr>
        <w:pStyle w:val="NormalWeb"/>
        <w:spacing w:line="288" w:lineRule="auto"/>
        <w:rPr>
          <w:rFonts w:ascii="Verdana" w:hAnsi="Verdana"/>
          <w:color w:val="393939"/>
          <w:sz w:val="18"/>
          <w:szCs w:val="18"/>
        </w:rPr>
      </w:pPr>
      <w:r>
        <w:rPr>
          <w:rStyle w:val="Strong"/>
          <w:rFonts w:ascii="Verdana" w:hAnsi="Verdana"/>
          <w:color w:val="393939"/>
          <w:sz w:val="18"/>
          <w:szCs w:val="18"/>
        </w:rPr>
        <w:t>LVR = Percentage of Real Estate Investment as Debt:</w:t>
      </w:r>
      <w:r>
        <w:rPr>
          <w:rFonts w:ascii="Verdana" w:hAnsi="Verdana"/>
          <w:color w:val="393939"/>
          <w:sz w:val="18"/>
          <w:szCs w:val="18"/>
        </w:rPr>
        <w:t xml:space="preserve"> This is the loan amount, therefore making 1-LVR the down payment. </w:t>
      </w:r>
    </w:p>
    <w:p w:rsidR="00D756BA" w:rsidRDefault="00D756BA" w:rsidP="00D756BA">
      <w:pPr>
        <w:pStyle w:val="NormalWeb"/>
        <w:spacing w:line="288" w:lineRule="auto"/>
        <w:rPr>
          <w:rFonts w:ascii="Verdana" w:hAnsi="Verdana"/>
          <w:color w:val="393939"/>
          <w:sz w:val="18"/>
          <w:szCs w:val="18"/>
        </w:rPr>
      </w:pPr>
      <w:r>
        <w:rPr>
          <w:rStyle w:val="Strong"/>
          <w:rFonts w:ascii="Verdana" w:hAnsi="Verdana"/>
          <w:color w:val="393939"/>
          <w:sz w:val="18"/>
          <w:szCs w:val="18"/>
        </w:rPr>
        <w:t>re =</w:t>
      </w:r>
      <w:r>
        <w:rPr>
          <w:rFonts w:ascii="Verdana" w:hAnsi="Verdana"/>
          <w:color w:val="393939"/>
          <w:sz w:val="18"/>
          <w:szCs w:val="18"/>
        </w:rPr>
        <w:t xml:space="preserve"> </w:t>
      </w:r>
      <w:r>
        <w:rPr>
          <w:rStyle w:val="Strong"/>
          <w:rFonts w:ascii="Verdana" w:hAnsi="Verdana"/>
          <w:color w:val="393939"/>
          <w:sz w:val="18"/>
          <w:szCs w:val="18"/>
        </w:rPr>
        <w:t>Cost of Equity:</w:t>
      </w:r>
      <w:r>
        <w:rPr>
          <w:rFonts w:ascii="Verdana" w:hAnsi="Verdana"/>
          <w:color w:val="393939"/>
          <w:sz w:val="18"/>
          <w:szCs w:val="18"/>
        </w:rPr>
        <w:t xml:space="preserve"> This is the opportunity cost that your equity could have earned if you did not invest in property (for example, if markets are currently yielding returns of </w:t>
      </w:r>
      <w:r>
        <w:rPr>
          <w:rStyle w:val="note1"/>
          <w:rFonts w:ascii="Verdana" w:hAnsi="Verdana"/>
          <w:sz w:val="18"/>
          <w:szCs w:val="18"/>
        </w:rPr>
        <w:t>10%</w:t>
      </w:r>
      <w:r>
        <w:rPr>
          <w:rFonts w:ascii="Verdana" w:hAnsi="Verdana"/>
          <w:color w:val="393939"/>
          <w:sz w:val="18"/>
          <w:szCs w:val="18"/>
        </w:rPr>
        <w:t xml:space="preserve">, then </w:t>
      </w:r>
      <w:r>
        <w:rPr>
          <w:rStyle w:val="note1"/>
          <w:rFonts w:ascii="Verdana" w:hAnsi="Verdana"/>
          <w:sz w:val="18"/>
          <w:szCs w:val="18"/>
        </w:rPr>
        <w:t>10%</w:t>
      </w:r>
      <w:r>
        <w:rPr>
          <w:rFonts w:ascii="Verdana" w:hAnsi="Verdana"/>
          <w:color w:val="393939"/>
          <w:sz w:val="18"/>
          <w:szCs w:val="18"/>
        </w:rPr>
        <w:t xml:space="preserve"> is your cost of equity (in economics this is referred to as an opportunity cost)).</w:t>
      </w:r>
    </w:p>
    <w:p w:rsidR="00D756BA" w:rsidRDefault="00D756BA" w:rsidP="00D756BA">
      <w:pPr>
        <w:pStyle w:val="Heading3"/>
      </w:pPr>
      <w:r>
        <w:lastRenderedPageBreak/>
        <w:t>Net Income Approach - Example</w:t>
      </w:r>
    </w:p>
    <w:p w:rsidR="00D756BA" w:rsidRDefault="00D756BA" w:rsidP="00D756BA">
      <w:pPr>
        <w:pStyle w:val="Heading4"/>
      </w:pPr>
      <w:r>
        <w:t xml:space="preserve">Example 2 </w:t>
      </w:r>
    </w:p>
    <w:p w:rsidR="00D756BA" w:rsidRDefault="00D756BA" w:rsidP="00D756BA">
      <w:pPr>
        <w:rPr>
          <w:rFonts w:ascii="Verdana" w:hAnsi="Verdana"/>
          <w:color w:val="393939"/>
          <w:sz w:val="18"/>
          <w:szCs w:val="18"/>
        </w:rPr>
      </w:pPr>
    </w:p>
    <w:p w:rsidR="00D756BA" w:rsidRDefault="00D756BA" w:rsidP="00D756BA">
      <w:pPr>
        <w:pStyle w:val="NormalWeb"/>
        <w:spacing w:line="288" w:lineRule="auto"/>
        <w:rPr>
          <w:rFonts w:ascii="Verdana" w:hAnsi="Verdana"/>
          <w:color w:val="393939"/>
          <w:sz w:val="18"/>
          <w:szCs w:val="18"/>
        </w:rPr>
      </w:pPr>
      <w:r>
        <w:rPr>
          <w:rFonts w:ascii="Verdana" w:hAnsi="Verdana"/>
          <w:color w:val="393939"/>
          <w:sz w:val="18"/>
          <w:szCs w:val="18"/>
        </w:rPr>
        <w:t xml:space="preserve">A property has </w:t>
      </w:r>
      <w:r>
        <w:rPr>
          <w:rStyle w:val="note1"/>
          <w:rFonts w:ascii="Verdana" w:hAnsi="Verdana"/>
          <w:sz w:val="18"/>
          <w:szCs w:val="18"/>
        </w:rPr>
        <w:t>21,000</w:t>
      </w:r>
      <w:r>
        <w:rPr>
          <w:rFonts w:ascii="Verdana" w:hAnsi="Verdana"/>
          <w:color w:val="393939"/>
          <w:sz w:val="18"/>
          <w:szCs w:val="18"/>
        </w:rPr>
        <w:t xml:space="preserve"> square feet of rentable space at </w:t>
      </w:r>
      <w:r>
        <w:rPr>
          <w:rStyle w:val="note1"/>
          <w:rFonts w:ascii="Verdana" w:hAnsi="Verdana"/>
          <w:sz w:val="18"/>
          <w:szCs w:val="18"/>
        </w:rPr>
        <w:t>$25</w:t>
      </w:r>
      <w:r>
        <w:rPr>
          <w:rFonts w:ascii="Verdana" w:hAnsi="Verdana"/>
          <w:color w:val="393939"/>
          <w:sz w:val="18"/>
          <w:szCs w:val="18"/>
        </w:rPr>
        <w:t xml:space="preserve"> per square foot. You expect a vacancy and credit loss of </w:t>
      </w:r>
      <w:r>
        <w:rPr>
          <w:rStyle w:val="note1"/>
          <w:rFonts w:ascii="Verdana" w:hAnsi="Verdana"/>
          <w:sz w:val="18"/>
          <w:szCs w:val="18"/>
        </w:rPr>
        <w:t>7%</w:t>
      </w:r>
      <w:r>
        <w:rPr>
          <w:rFonts w:ascii="Verdana" w:hAnsi="Verdana"/>
          <w:color w:val="393939"/>
          <w:sz w:val="18"/>
          <w:szCs w:val="18"/>
        </w:rPr>
        <w:t xml:space="preserve"> and operating expenses (without CCA) amount to </w:t>
      </w:r>
      <w:r>
        <w:rPr>
          <w:rStyle w:val="note1"/>
          <w:rFonts w:ascii="Verdana" w:hAnsi="Verdana"/>
          <w:sz w:val="18"/>
          <w:szCs w:val="18"/>
        </w:rPr>
        <w:t>$128,000</w:t>
      </w:r>
      <w:r>
        <w:rPr>
          <w:rFonts w:ascii="Verdana" w:hAnsi="Verdana"/>
          <w:color w:val="393939"/>
          <w:sz w:val="18"/>
          <w:szCs w:val="18"/>
        </w:rPr>
        <w:t xml:space="preserve">. Financing for this property is as follows: down payment is </w:t>
      </w:r>
      <w:r>
        <w:rPr>
          <w:rStyle w:val="note1"/>
          <w:rFonts w:ascii="Verdana" w:hAnsi="Verdana"/>
          <w:sz w:val="18"/>
          <w:szCs w:val="18"/>
        </w:rPr>
        <w:t>35%</w:t>
      </w:r>
      <w:r>
        <w:rPr>
          <w:rFonts w:ascii="Verdana" w:hAnsi="Verdana"/>
          <w:color w:val="393939"/>
          <w:sz w:val="18"/>
          <w:szCs w:val="18"/>
        </w:rPr>
        <w:t xml:space="preserve">; loan is </w:t>
      </w:r>
      <w:r>
        <w:rPr>
          <w:rStyle w:val="note1"/>
          <w:rFonts w:ascii="Verdana" w:hAnsi="Verdana"/>
          <w:sz w:val="18"/>
          <w:szCs w:val="18"/>
        </w:rPr>
        <w:t>$360,000</w:t>
      </w:r>
      <w:r>
        <w:rPr>
          <w:rFonts w:ascii="Verdana" w:hAnsi="Verdana"/>
          <w:color w:val="393939"/>
          <w:sz w:val="18"/>
          <w:szCs w:val="18"/>
        </w:rPr>
        <w:t xml:space="preserve"> at </w:t>
      </w:r>
      <w:r>
        <w:rPr>
          <w:rStyle w:val="note1"/>
          <w:rFonts w:ascii="Verdana" w:hAnsi="Verdana"/>
          <w:sz w:val="18"/>
          <w:szCs w:val="18"/>
        </w:rPr>
        <w:t>8.75%</w:t>
      </w:r>
      <w:r>
        <w:rPr>
          <w:rFonts w:ascii="Verdana" w:hAnsi="Verdana"/>
          <w:color w:val="393939"/>
          <w:sz w:val="18"/>
          <w:szCs w:val="18"/>
        </w:rPr>
        <w:t xml:space="preserve"> per annum compounded monthly; processing fees are </w:t>
      </w:r>
      <w:r>
        <w:rPr>
          <w:rStyle w:val="note1"/>
          <w:rFonts w:ascii="Verdana" w:hAnsi="Verdana"/>
          <w:sz w:val="18"/>
          <w:szCs w:val="18"/>
        </w:rPr>
        <w:t>1.10%</w:t>
      </w:r>
      <w:r>
        <w:rPr>
          <w:rFonts w:ascii="Verdana" w:hAnsi="Verdana"/>
          <w:color w:val="393939"/>
          <w:sz w:val="18"/>
          <w:szCs w:val="18"/>
        </w:rPr>
        <w:t xml:space="preserve"> of the loan and the term is </w:t>
      </w:r>
      <w:r>
        <w:rPr>
          <w:rStyle w:val="note1"/>
          <w:rFonts w:ascii="Verdana" w:hAnsi="Verdana"/>
          <w:sz w:val="18"/>
          <w:szCs w:val="18"/>
        </w:rPr>
        <w:t>18</w:t>
      </w:r>
      <w:r>
        <w:rPr>
          <w:rFonts w:ascii="Verdana" w:hAnsi="Verdana"/>
          <w:color w:val="393939"/>
          <w:sz w:val="18"/>
          <w:szCs w:val="18"/>
        </w:rPr>
        <w:t xml:space="preserve"> years. The opportunity costs of your down payment are </w:t>
      </w:r>
      <w:r>
        <w:rPr>
          <w:rStyle w:val="note1"/>
          <w:rFonts w:ascii="Verdana" w:hAnsi="Verdana"/>
          <w:sz w:val="18"/>
          <w:szCs w:val="18"/>
        </w:rPr>
        <w:t xml:space="preserve">6.50% </w:t>
      </w:r>
      <w:r>
        <w:rPr>
          <w:rFonts w:ascii="Verdana" w:hAnsi="Verdana"/>
          <w:color w:val="393939"/>
          <w:sz w:val="18"/>
          <w:szCs w:val="18"/>
        </w:rPr>
        <w:t xml:space="preserve">above the effective annual rate (EAR) of the loan. Tax rate is </w:t>
      </w:r>
      <w:r>
        <w:rPr>
          <w:rStyle w:val="note1"/>
          <w:rFonts w:ascii="Verdana" w:hAnsi="Verdana"/>
          <w:sz w:val="18"/>
          <w:szCs w:val="18"/>
        </w:rPr>
        <w:t>40%</w:t>
      </w:r>
      <w:r>
        <w:rPr>
          <w:rFonts w:ascii="Verdana" w:hAnsi="Verdana"/>
          <w:color w:val="393939"/>
          <w:sz w:val="18"/>
          <w:szCs w:val="18"/>
        </w:rPr>
        <w:t xml:space="preserve"> and </w:t>
      </w:r>
      <w:r>
        <w:rPr>
          <w:rStyle w:val="note1"/>
          <w:rFonts w:ascii="Verdana" w:hAnsi="Verdana"/>
          <w:sz w:val="18"/>
          <w:szCs w:val="18"/>
        </w:rPr>
        <w:t>50%</w:t>
      </w:r>
      <w:r>
        <w:rPr>
          <w:rFonts w:ascii="Verdana" w:hAnsi="Verdana"/>
          <w:color w:val="393939"/>
          <w:sz w:val="18"/>
          <w:szCs w:val="18"/>
        </w:rPr>
        <w:t xml:space="preserve"> of capital gains is taxed. You have cash on hand.</w:t>
      </w:r>
    </w:p>
    <w:p w:rsidR="00D756BA" w:rsidRDefault="00D756BA" w:rsidP="00D756BA">
      <w:pPr>
        <w:pStyle w:val="NormalWeb"/>
        <w:spacing w:line="288" w:lineRule="auto"/>
        <w:rPr>
          <w:rFonts w:ascii="Verdana" w:hAnsi="Verdana"/>
          <w:color w:val="393939"/>
          <w:sz w:val="18"/>
          <w:szCs w:val="18"/>
        </w:rPr>
      </w:pPr>
    </w:p>
    <w:p w:rsidR="00D756BA" w:rsidRDefault="00D756BA" w:rsidP="00D756BA">
      <w:pPr>
        <w:pStyle w:val="NormalWeb"/>
        <w:spacing w:line="288" w:lineRule="auto"/>
        <w:jc w:val="center"/>
        <w:rPr>
          <w:rFonts w:ascii="Verdana" w:hAnsi="Verdana"/>
          <w:color w:val="393939"/>
          <w:sz w:val="18"/>
          <w:szCs w:val="18"/>
        </w:rPr>
      </w:pPr>
      <w:r>
        <w:rPr>
          <w:rStyle w:val="Strong"/>
          <w:rFonts w:ascii="Verdana" w:hAnsi="Verdana"/>
          <w:color w:val="393939"/>
          <w:sz w:val="18"/>
          <w:szCs w:val="18"/>
        </w:rPr>
        <w:t>Question:</w:t>
      </w:r>
    </w:p>
    <w:p w:rsidR="00D756BA" w:rsidRDefault="00D756BA" w:rsidP="00D756BA">
      <w:pPr>
        <w:pStyle w:val="Heading3"/>
        <w:jc w:val="center"/>
      </w:pPr>
      <w:r>
        <w:rPr>
          <w:rStyle w:val="Strong"/>
          <w:b/>
          <w:bCs/>
        </w:rPr>
        <w:t>What is the estimated market value of this property based on the Net Income Approach?</w:t>
      </w:r>
    </w:p>
    <w:p w:rsidR="00D756BA" w:rsidRDefault="00D756BA"/>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33"/>
        <w:gridCol w:w="5730"/>
        <w:gridCol w:w="1355"/>
      </w:tblGrid>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Result</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before="75" w:after="75"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Potential Gross Income (PGI)</w:t>
            </w:r>
            <w:r w:rsidRPr="00D756BA">
              <w:rPr>
                <w:rFonts w:ascii="Verdana" w:eastAsia="Times New Roman" w:hAnsi="Verdana" w:cs="Times New Roman"/>
                <w:color w:val="393939"/>
                <w:sz w:val="18"/>
                <w:szCs w:val="18"/>
              </w:rPr>
              <w:br/>
              <w:t xml:space="preserve">21,000 sqft × 25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br/>
              <w:t>525,000</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Vacancy and Credit Losses (VCL)</w:t>
            </w:r>
            <w:r w:rsidRPr="00D756BA">
              <w:rPr>
                <w:rFonts w:ascii="Verdana" w:eastAsia="Times New Roman" w:hAnsi="Verdana" w:cs="Times New Roman"/>
                <w:color w:val="393939"/>
                <w:sz w:val="18"/>
                <w:szCs w:val="18"/>
              </w:rPr>
              <w:br/>
              <w:t>7%</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br/>
              <w:t>(36,750)</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Effective Gross Income (EGI)</w:t>
            </w:r>
            <w:r w:rsidRPr="00D756BA">
              <w:rPr>
                <w:rFonts w:ascii="Verdana" w:eastAsia="Times New Roman" w:hAnsi="Verdana" w:cs="Times New Roman"/>
                <w:b/>
                <w:bCs/>
                <w:color w:val="393939"/>
                <w:sz w:val="18"/>
                <w:szCs w:val="18"/>
              </w:rPr>
              <w:br/>
            </w:r>
            <w:r w:rsidRPr="00D756BA">
              <w:rPr>
                <w:rFonts w:ascii="Verdana" w:eastAsia="Times New Roman" w:hAnsi="Verdana" w:cs="Times New Roman"/>
                <w:color w:val="393939"/>
                <w:sz w:val="18"/>
                <w:szCs w:val="18"/>
              </w:rPr>
              <w:t>PGI –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br/>
              <w:t>488,250</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Operating Expenses (OE)</w:t>
            </w:r>
            <w:r w:rsidRPr="00D756BA">
              <w:rPr>
                <w:rFonts w:ascii="Verdana" w:eastAsia="Times New Roman" w:hAnsi="Verdana" w:cs="Times New Roman"/>
                <w:b/>
                <w:bCs/>
                <w:color w:val="393939"/>
                <w:sz w:val="18"/>
                <w:szCs w:val="18"/>
              </w:rPr>
              <w:br/>
            </w:r>
            <w:r w:rsidRPr="00D756BA">
              <w:rPr>
                <w:rFonts w:ascii="Verdana" w:eastAsia="Times New Roman" w:hAnsi="Verdana" w:cs="Times New Roman"/>
                <w:color w:val="393939"/>
                <w:sz w:val="18"/>
                <w:szCs w:val="18"/>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br/>
              <w:t>(128,000)</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Net Operating Income (NOI)</w:t>
            </w:r>
            <w:r w:rsidRPr="00D756BA">
              <w:rPr>
                <w:rFonts w:ascii="Verdana" w:eastAsia="Times New Roman" w:hAnsi="Verdana" w:cs="Times New Roman"/>
                <w:b/>
                <w:bCs/>
                <w:color w:val="393939"/>
                <w:sz w:val="18"/>
                <w:szCs w:val="18"/>
              </w:rPr>
              <w:br/>
            </w:r>
            <w:r w:rsidRPr="00D756BA">
              <w:rPr>
                <w:rFonts w:ascii="Verdana" w:eastAsia="Times New Roman" w:hAnsi="Verdana" w:cs="Times New Roman"/>
                <w:color w:val="393939"/>
                <w:sz w:val="18"/>
                <w:szCs w:val="18"/>
              </w:rPr>
              <w:t xml:space="preserve">EGI - OE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br/>
              <w:t>360,250</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after="240"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Weighted Average Cost of Capital (WACC) </w:t>
            </w:r>
            <w:r w:rsidRPr="00D756BA">
              <w:rPr>
                <w:rFonts w:ascii="Verdana" w:eastAsia="Times New Roman" w:hAnsi="Verdana" w:cs="Times New Roman"/>
                <w:b/>
                <w:bCs/>
                <w:color w:val="393939"/>
                <w:sz w:val="18"/>
                <w:szCs w:val="18"/>
              </w:rPr>
              <w:br/>
            </w:r>
            <w:r w:rsidRPr="00D756BA">
              <w:rPr>
                <w:rFonts w:ascii="Verdana" w:eastAsia="Times New Roman" w:hAnsi="Verdana" w:cs="Times New Roman"/>
                <w:color w:val="393939"/>
                <w:sz w:val="18"/>
                <w:szCs w:val="18"/>
              </w:rPr>
              <w:t>{rd × LVR}  +  {re × (1 – LVR) }</w:t>
            </w:r>
          </w:p>
          <w:p w:rsidR="00D756BA" w:rsidRPr="00D756BA" w:rsidRDefault="00D756BA" w:rsidP="00D756BA">
            <w:pPr>
              <w:spacing w:before="75" w:after="75" w:line="288" w:lineRule="auto"/>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t xml:space="preserve">rd × LVR = 9.109582% × 65% = 5.921228% </w:t>
            </w:r>
            <w:r w:rsidRPr="00D756BA">
              <w:rPr>
                <w:rFonts w:ascii="Verdana" w:eastAsia="Times New Roman" w:hAnsi="Verdana" w:cs="Times New Roman"/>
                <w:color w:val="393939"/>
                <w:sz w:val="18"/>
                <w:szCs w:val="18"/>
              </w:rPr>
              <w:br/>
              <w:t>re*(1 - LVR) = (9.109582% + 6.5% ) × 35% = 5.46335 4%</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br/>
              <w:t>11.384582%</w:t>
            </w:r>
          </w:p>
        </w:tc>
      </w:tr>
      <w:tr w:rsidR="00D756BA" w:rsidRPr="00D756BA" w:rsidTr="00D756BA">
        <w:tc>
          <w:tcPr>
            <w:tcW w:w="0" w:type="auto"/>
            <w:tcBorders>
              <w:bottom w:val="single" w:sz="6" w:space="0" w:color="C0C0C0"/>
            </w:tcBorders>
            <w:shd w:val="clear" w:color="auto" w:fill="202020"/>
            <w:tcMar>
              <w:top w:w="90" w:type="dxa"/>
              <w:left w:w="180" w:type="dxa"/>
              <w:bottom w:w="90" w:type="dxa"/>
              <w:right w:w="90" w:type="dxa"/>
            </w:tcMar>
            <w:vAlign w:val="center"/>
            <w:hideMark/>
          </w:tcPr>
          <w:p w:rsidR="00D756BA" w:rsidRPr="00D756BA" w:rsidRDefault="00D756BA" w:rsidP="00D756BA">
            <w:pPr>
              <w:spacing w:after="0" w:line="240" w:lineRule="auto"/>
              <w:jc w:val="center"/>
              <w:rPr>
                <w:rFonts w:ascii="Verdana" w:eastAsia="Times New Roman" w:hAnsi="Verdana" w:cs="Times New Roman"/>
                <w:b/>
                <w:bCs/>
                <w:color w:val="9E9E9E"/>
                <w:sz w:val="18"/>
                <w:szCs w:val="18"/>
              </w:rPr>
            </w:pPr>
            <w:r w:rsidRPr="00D756BA">
              <w:rPr>
                <w:rFonts w:ascii="Verdana" w:eastAsia="Times New Roman" w:hAnsi="Verdana" w:cs="Times New Roman"/>
                <w:b/>
                <w:bCs/>
                <w:color w:val="9E9E9E"/>
                <w:sz w:val="18"/>
                <w:szCs w:val="18"/>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after="0" w:line="240" w:lineRule="auto"/>
              <w:rPr>
                <w:rFonts w:ascii="Verdana" w:eastAsia="Times New Roman" w:hAnsi="Verdana" w:cs="Times New Roman"/>
                <w:color w:val="393939"/>
                <w:sz w:val="18"/>
                <w:szCs w:val="18"/>
              </w:rPr>
            </w:pPr>
            <w:r w:rsidRPr="00D756BA">
              <w:rPr>
                <w:rFonts w:ascii="Verdana" w:eastAsia="Times New Roman" w:hAnsi="Verdana" w:cs="Times New Roman"/>
                <w:b/>
                <w:bCs/>
                <w:color w:val="393939"/>
                <w:sz w:val="18"/>
                <w:szCs w:val="18"/>
              </w:rPr>
              <w:t xml:space="preserve">Apply the formula </w:t>
            </w:r>
            <w:r w:rsidRPr="00D756BA">
              <w:rPr>
                <w:rFonts w:ascii="Verdana" w:eastAsia="Times New Roman" w:hAnsi="Verdana" w:cs="Times New Roman"/>
                <w:b/>
                <w:bCs/>
                <w:color w:val="393939"/>
                <w:sz w:val="18"/>
                <w:szCs w:val="18"/>
              </w:rPr>
              <w:br/>
            </w:r>
            <w:r w:rsidRPr="00D756BA">
              <w:rPr>
                <w:rFonts w:ascii="Verdana" w:eastAsia="Times New Roman" w:hAnsi="Verdana" w:cs="Times New Roman"/>
                <w:color w:val="393939"/>
                <w:sz w:val="18"/>
                <w:szCs w:val="18"/>
              </w:rPr>
              <w:t>NOI divided by WACC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D756BA" w:rsidRPr="00D756BA" w:rsidRDefault="00D756BA" w:rsidP="00D756BA">
            <w:pPr>
              <w:spacing w:before="75" w:after="75" w:line="288" w:lineRule="auto"/>
              <w:jc w:val="center"/>
              <w:rPr>
                <w:rFonts w:ascii="Verdana" w:eastAsia="Times New Roman" w:hAnsi="Verdana" w:cs="Times New Roman"/>
                <w:color w:val="393939"/>
                <w:sz w:val="18"/>
                <w:szCs w:val="18"/>
              </w:rPr>
            </w:pPr>
            <w:r w:rsidRPr="00D756BA">
              <w:rPr>
                <w:rFonts w:ascii="Verdana" w:eastAsia="Times New Roman" w:hAnsi="Verdana" w:cs="Times New Roman"/>
                <w:color w:val="393939"/>
                <w:sz w:val="18"/>
                <w:szCs w:val="18"/>
              </w:rPr>
              <w:br/>
            </w:r>
            <w:r w:rsidRPr="00D756BA">
              <w:rPr>
                <w:rFonts w:ascii="Verdana" w:eastAsia="Times New Roman" w:hAnsi="Verdana" w:cs="Times New Roman"/>
                <w:b/>
                <w:bCs/>
                <w:color w:val="393939"/>
                <w:sz w:val="18"/>
                <w:szCs w:val="18"/>
              </w:rPr>
              <w:t>3,164,367</w:t>
            </w:r>
          </w:p>
        </w:tc>
      </w:tr>
    </w:tbl>
    <w:p w:rsidR="00D756BA" w:rsidRDefault="00D756BA"/>
    <w:p w:rsidR="00D756BA" w:rsidRDefault="00D756BA"/>
    <w:p w:rsidR="00D756BA" w:rsidRDefault="00D756BA" w:rsidP="00D756BA">
      <w:pPr>
        <w:pStyle w:val="Heading3"/>
      </w:pPr>
      <w:r>
        <w:lastRenderedPageBreak/>
        <w:t>Practice the Application of the Net Income Approach</w:t>
      </w:r>
    </w:p>
    <w:p w:rsidR="00D756BA" w:rsidRDefault="00D756BA" w:rsidP="00D756BA">
      <w:pPr>
        <w:pStyle w:val="NormalWeb"/>
        <w:spacing w:line="288" w:lineRule="auto"/>
        <w:rPr>
          <w:rFonts w:ascii="Verdana" w:hAnsi="Verdana"/>
          <w:color w:val="393939"/>
          <w:sz w:val="18"/>
          <w:szCs w:val="18"/>
        </w:rPr>
      </w:pPr>
      <w:r>
        <w:rPr>
          <w:rFonts w:ascii="Verdana" w:hAnsi="Verdana"/>
          <w:color w:val="393939"/>
          <w:sz w:val="18"/>
          <w:szCs w:val="18"/>
        </w:rPr>
        <w:t xml:space="preserve">Using the </w:t>
      </w:r>
      <w:hyperlink r:id="rId7" w:tgtFrame="_blank" w:history="1">
        <w:r>
          <w:rPr>
            <w:rStyle w:val="Hyperlink"/>
            <w:rFonts w:ascii="Verdana" w:hAnsi="Verdana"/>
            <w:sz w:val="18"/>
            <w:szCs w:val="18"/>
          </w:rPr>
          <w:t>sample problem</w:t>
        </w:r>
      </w:hyperlink>
      <w:r>
        <w:rPr>
          <w:rFonts w:ascii="Verdana" w:hAnsi="Verdana"/>
          <w:color w:val="393939"/>
          <w:sz w:val="18"/>
          <w:szCs w:val="18"/>
        </w:rPr>
        <w:t xml:space="preserve"> from the previous slide, what is the estimated market value of the property based on the Net Income Approach if: </w:t>
      </w:r>
    </w:p>
    <w:p w:rsidR="00D756BA" w:rsidRDefault="00D756BA">
      <w:r>
        <w:t>Scenario 1</w:t>
      </w:r>
    </w:p>
    <w:p w:rsidR="00EC3EAB" w:rsidRDefault="00EC3EAB" w:rsidP="00EC3EAB">
      <w:pPr>
        <w:pStyle w:val="NormalWeb"/>
        <w:spacing w:line="288" w:lineRule="auto"/>
        <w:jc w:val="center"/>
        <w:rPr>
          <w:rStyle w:val="Strong"/>
          <w:rFonts w:ascii="Verdana" w:hAnsi="Verdana"/>
          <w:color w:val="393939"/>
          <w:sz w:val="18"/>
          <w:szCs w:val="18"/>
        </w:rPr>
      </w:pPr>
      <w:r>
        <w:rPr>
          <w:rStyle w:val="Strong"/>
          <w:rFonts w:ascii="Verdana" w:hAnsi="Verdana"/>
          <w:color w:val="393939"/>
          <w:sz w:val="18"/>
          <w:szCs w:val="18"/>
        </w:rPr>
        <w:t>Question:</w:t>
      </w:r>
    </w:p>
    <w:p w:rsidR="00EC3EAB" w:rsidRDefault="00EC3EAB" w:rsidP="00EC3EAB">
      <w:pPr>
        <w:pStyle w:val="NormalWeb"/>
        <w:spacing w:line="288" w:lineRule="auto"/>
        <w:jc w:val="center"/>
        <w:rPr>
          <w:rFonts w:ascii="Verdana" w:hAnsi="Verdana"/>
          <w:color w:val="393939"/>
          <w:sz w:val="18"/>
          <w:szCs w:val="18"/>
        </w:rPr>
      </w:pPr>
    </w:p>
    <w:p w:rsidR="00EC3EAB" w:rsidRDefault="00EC3EAB" w:rsidP="00EC3EAB">
      <w:pPr>
        <w:pStyle w:val="Heading3"/>
        <w:jc w:val="center"/>
      </w:pPr>
      <w:r>
        <w:t xml:space="preserve">The down payment is </w:t>
      </w:r>
      <w:r>
        <w:rPr>
          <w:rStyle w:val="note1"/>
        </w:rPr>
        <w:t>45%</w:t>
      </w:r>
      <w:r>
        <w:t xml:space="preserve"> and the property has</w:t>
      </w:r>
      <w:r>
        <w:rPr>
          <w:rStyle w:val="note1"/>
        </w:rPr>
        <w:t xml:space="preserve"> 25,000</w:t>
      </w:r>
      <w:r>
        <w:t xml:space="preserve"> square feet of rentable space.</w:t>
      </w:r>
    </w:p>
    <w:p w:rsidR="00EC3EAB" w:rsidRDefault="00EC3EAB" w:rsidP="00EC3EAB">
      <w:pPr>
        <w:pStyle w:val="Heading3"/>
        <w:jc w:val="center"/>
      </w:pPr>
    </w:p>
    <w:p w:rsidR="00EC3EAB" w:rsidRDefault="00EC3EAB" w:rsidP="00EC3EAB">
      <w:pPr>
        <w:pStyle w:val="Heading2"/>
        <w:jc w:val="center"/>
      </w:pPr>
      <w:r>
        <w:t xml:space="preserve">Answer </w:t>
      </w:r>
    </w:p>
    <w:p w:rsidR="00EC3EAB" w:rsidRDefault="00EC3EAB" w:rsidP="00EC3EAB">
      <w:pPr>
        <w:pStyle w:val="Heading2"/>
        <w:jc w:val="center"/>
      </w:pP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33"/>
        <w:gridCol w:w="5787"/>
        <w:gridCol w:w="1355"/>
      </w:tblGrid>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Result</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Strong"/>
                <w:rFonts w:ascii="Verdana" w:hAnsi="Verdana"/>
                <w:color w:val="393939"/>
                <w:sz w:val="18"/>
                <w:szCs w:val="18"/>
              </w:rPr>
              <w:t>Potential Gross Income (PGI)</w:t>
            </w:r>
            <w:r>
              <w:rPr>
                <w:rFonts w:ascii="Verdana" w:hAnsi="Verdana"/>
                <w:color w:val="393939"/>
                <w:sz w:val="18"/>
                <w:szCs w:val="18"/>
              </w:rPr>
              <w:br/>
            </w:r>
            <w:r>
              <w:rPr>
                <w:rStyle w:val="note1"/>
                <w:rFonts w:ascii="Verdana" w:hAnsi="Verdana"/>
                <w:sz w:val="18"/>
                <w:szCs w:val="18"/>
              </w:rPr>
              <w:t>25,000</w:t>
            </w:r>
            <w:r>
              <w:rPr>
                <w:rFonts w:ascii="Verdana" w:hAnsi="Verdana"/>
                <w:color w:val="393939"/>
                <w:sz w:val="18"/>
                <w:szCs w:val="18"/>
              </w:rPr>
              <w:t xml:space="preserve"> × </w:t>
            </w:r>
            <w:r>
              <w:rPr>
                <w:rStyle w:val="note1"/>
                <w:rFonts w:ascii="Verdana" w:hAnsi="Verdana"/>
                <w:sz w:val="18"/>
                <w:szCs w:val="18"/>
              </w:rPr>
              <w:t>$25</w:t>
            </w:r>
            <w:r>
              <w:rPr>
                <w:rFonts w:ascii="Verdana" w:hAnsi="Verdana"/>
                <w:color w:val="393939"/>
                <w:sz w:val="18"/>
                <w:szCs w:val="18"/>
              </w:rPr>
              <w:t>/sqft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625,000</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Strong"/>
                <w:rFonts w:ascii="Verdana" w:hAnsi="Verdana"/>
                <w:color w:val="393939"/>
                <w:sz w:val="18"/>
                <w:szCs w:val="18"/>
              </w:rPr>
              <w:t>Vacancy and Credit Losses (VCL)</w:t>
            </w:r>
            <w:r>
              <w:rPr>
                <w:rFonts w:ascii="Verdana" w:hAnsi="Verdana"/>
                <w:color w:val="393939"/>
                <w:sz w:val="18"/>
                <w:szCs w:val="18"/>
              </w:rPr>
              <w:br/>
            </w:r>
            <w:r>
              <w:rPr>
                <w:rStyle w:val="note1"/>
                <w:rFonts w:ascii="Verdana" w:hAnsi="Verdana"/>
                <w:sz w:val="18"/>
                <w:szCs w:val="18"/>
              </w:rPr>
              <w:t>7%</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(43,750)</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Strong"/>
                <w:rFonts w:ascii="Verdana" w:hAnsi="Verdana"/>
                <w:color w:val="393939"/>
                <w:sz w:val="18"/>
                <w:szCs w:val="18"/>
              </w:rPr>
              <w:t>Effective Gross Income (EGI)</w:t>
            </w:r>
            <w:r>
              <w:rPr>
                <w:rFonts w:ascii="Verdana" w:hAnsi="Verdana"/>
                <w:b/>
                <w:bCs/>
                <w:color w:val="393939"/>
                <w:sz w:val="18"/>
                <w:szCs w:val="18"/>
              </w:rPr>
              <w:br/>
            </w:r>
            <w:r>
              <w:rPr>
                <w:rFonts w:ascii="Verdana" w:hAnsi="Verdana"/>
                <w:color w:val="393939"/>
                <w:sz w:val="18"/>
                <w:szCs w:val="18"/>
              </w:rPr>
              <w:t>PGI –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581,250</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Strong"/>
                <w:rFonts w:ascii="Verdana" w:hAnsi="Verdana"/>
                <w:color w:val="393939"/>
                <w:sz w:val="18"/>
                <w:szCs w:val="18"/>
              </w:rPr>
              <w:t>Operating Expenses (OE)</w:t>
            </w:r>
            <w:r>
              <w:rPr>
                <w:rFonts w:ascii="Verdana" w:hAnsi="Verdana"/>
                <w:b/>
                <w:bCs/>
                <w:color w:val="393939"/>
                <w:sz w:val="18"/>
                <w:szCs w:val="18"/>
              </w:rPr>
              <w:br/>
            </w:r>
            <w:r>
              <w:rPr>
                <w:rFonts w:ascii="Verdana" w:hAnsi="Verdana"/>
                <w:color w:val="393939"/>
                <w:sz w:val="18"/>
                <w:szCs w:val="18"/>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 xml:space="preserve">(128,000) </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Strong"/>
                <w:rFonts w:ascii="Verdana" w:hAnsi="Verdana"/>
                <w:color w:val="393939"/>
                <w:sz w:val="18"/>
                <w:szCs w:val="18"/>
              </w:rPr>
              <w:t>Net Operating Income (NOI)</w:t>
            </w:r>
            <w:r>
              <w:rPr>
                <w:rFonts w:ascii="Verdana" w:hAnsi="Verdana"/>
                <w:b/>
                <w:bCs/>
                <w:color w:val="393939"/>
                <w:sz w:val="18"/>
                <w:szCs w:val="18"/>
              </w:rPr>
              <w:br/>
            </w:r>
            <w:r>
              <w:rPr>
                <w:rFonts w:ascii="Verdana" w:hAnsi="Verdana"/>
                <w:color w:val="393939"/>
                <w:sz w:val="18"/>
                <w:szCs w:val="18"/>
              </w:rPr>
              <w:t xml:space="preserve">EGI - OE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453,250</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Strong"/>
                <w:rFonts w:ascii="Verdana" w:hAnsi="Verdana"/>
                <w:color w:val="393939"/>
                <w:sz w:val="18"/>
                <w:szCs w:val="18"/>
              </w:rPr>
              <w:t>Weighted Average Cost of Capital (WACC) </w:t>
            </w:r>
            <w:r>
              <w:rPr>
                <w:rFonts w:ascii="Verdana" w:hAnsi="Verdana"/>
                <w:b/>
                <w:bCs/>
                <w:color w:val="393939"/>
                <w:sz w:val="18"/>
                <w:szCs w:val="18"/>
              </w:rPr>
              <w:br/>
            </w:r>
            <w:r>
              <w:rPr>
                <w:rFonts w:ascii="Verdana" w:hAnsi="Verdana"/>
                <w:color w:val="393939"/>
                <w:sz w:val="18"/>
                <w:szCs w:val="18"/>
              </w:rPr>
              <w:t>{rd × LVR}  +  {re × (1 – LVR) }</w:t>
            </w:r>
          </w:p>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 xml:space="preserve">WACC = </w:t>
            </w:r>
            <w:r>
              <w:rPr>
                <w:rStyle w:val="note1"/>
                <w:rFonts w:ascii="Verdana" w:hAnsi="Verdana"/>
                <w:sz w:val="18"/>
                <w:szCs w:val="18"/>
              </w:rPr>
              <w:t>55%</w:t>
            </w:r>
            <w:r>
              <w:rPr>
                <w:rFonts w:ascii="Verdana" w:hAnsi="Verdana"/>
                <w:color w:val="393939"/>
                <w:sz w:val="18"/>
                <w:szCs w:val="18"/>
              </w:rPr>
              <w:t xml:space="preserve"> × (</w:t>
            </w:r>
            <w:r>
              <w:rPr>
                <w:rStyle w:val="note1"/>
                <w:rFonts w:ascii="Verdana" w:hAnsi="Verdana"/>
                <w:sz w:val="18"/>
                <w:szCs w:val="18"/>
              </w:rPr>
              <w:t>9.109582%</w:t>
            </w:r>
            <w:r>
              <w:rPr>
                <w:rFonts w:ascii="Verdana" w:hAnsi="Verdana"/>
                <w:color w:val="393939"/>
                <w:sz w:val="18"/>
                <w:szCs w:val="18"/>
              </w:rPr>
              <w:t xml:space="preserve">) + </w:t>
            </w:r>
            <w:r>
              <w:rPr>
                <w:rStyle w:val="note1"/>
                <w:rFonts w:ascii="Verdana" w:hAnsi="Verdana"/>
                <w:sz w:val="18"/>
                <w:szCs w:val="18"/>
              </w:rPr>
              <w:t>45%</w:t>
            </w:r>
            <w:r>
              <w:rPr>
                <w:rFonts w:ascii="Verdana" w:hAnsi="Verdana"/>
                <w:color w:val="393939"/>
                <w:sz w:val="18"/>
                <w:szCs w:val="18"/>
              </w:rPr>
              <w:t xml:space="preserve"> (</w:t>
            </w:r>
            <w:r>
              <w:rPr>
                <w:rStyle w:val="note1"/>
                <w:rFonts w:ascii="Verdana" w:hAnsi="Verdana"/>
                <w:sz w:val="18"/>
                <w:szCs w:val="18"/>
              </w:rPr>
              <w:t>9.109582%</w:t>
            </w:r>
            <w:r>
              <w:rPr>
                <w:rFonts w:ascii="Verdana" w:hAnsi="Verdana"/>
                <w:color w:val="393939"/>
                <w:sz w:val="18"/>
                <w:szCs w:val="18"/>
              </w:rPr>
              <w:t xml:space="preserve"> + </w:t>
            </w:r>
            <w:r>
              <w:rPr>
                <w:rStyle w:val="note1"/>
                <w:rFonts w:ascii="Verdana" w:hAnsi="Verdana"/>
                <w:sz w:val="18"/>
                <w:szCs w:val="18"/>
              </w:rPr>
              <w:t>6.50%</w:t>
            </w:r>
            <w:r>
              <w:rPr>
                <w:rFonts w:ascii="Verdana" w:hAnsi="Verdana"/>
                <w:color w:val="393939"/>
                <w:sz w:val="18"/>
                <w:szCs w:val="18"/>
              </w:rPr>
              <w:t>)</w:t>
            </w:r>
            <w:r>
              <w:rPr>
                <w:rFonts w:ascii="Verdana" w:hAnsi="Verdana"/>
                <w:color w:val="393939"/>
                <w:sz w:val="18"/>
                <w:szCs w:val="18"/>
              </w:rPr>
              <w:br/>
              <w:t xml:space="preserve">WACC = </w:t>
            </w:r>
            <w:r>
              <w:rPr>
                <w:rStyle w:val="note1"/>
                <w:rFonts w:ascii="Verdana" w:hAnsi="Verdana"/>
                <w:sz w:val="18"/>
                <w:szCs w:val="18"/>
              </w:rPr>
              <w:t>5.010270%</w:t>
            </w:r>
            <w:r>
              <w:rPr>
                <w:rFonts w:ascii="Verdana" w:hAnsi="Verdana"/>
                <w:color w:val="393939"/>
                <w:sz w:val="18"/>
                <w:szCs w:val="18"/>
              </w:rPr>
              <w:t xml:space="preserve"> + </w:t>
            </w:r>
            <w:r>
              <w:rPr>
                <w:rStyle w:val="note1"/>
                <w:rFonts w:ascii="Verdana" w:hAnsi="Verdana"/>
                <w:sz w:val="18"/>
                <w:szCs w:val="18"/>
              </w:rPr>
              <w:t>7.024312%</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12.034582%</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Strong"/>
                <w:rFonts w:ascii="Verdana" w:hAnsi="Verdana"/>
                <w:color w:val="393939"/>
                <w:sz w:val="18"/>
                <w:szCs w:val="18"/>
              </w:rPr>
              <w:t xml:space="preserve">Apply the formula </w:t>
            </w:r>
            <w:r>
              <w:rPr>
                <w:rFonts w:ascii="Verdana" w:hAnsi="Verdana"/>
                <w:b/>
                <w:bCs/>
                <w:color w:val="393939"/>
                <w:sz w:val="18"/>
                <w:szCs w:val="18"/>
              </w:rPr>
              <w:br/>
            </w:r>
            <w:r>
              <w:rPr>
                <w:rFonts w:ascii="Verdana" w:hAnsi="Verdana"/>
                <w:color w:val="393939"/>
                <w:sz w:val="18"/>
                <w:szCs w:val="18"/>
              </w:rPr>
              <w:t>NOI divided by WACC</w:t>
            </w:r>
          </w:p>
          <w:p w:rsidR="00EC3EAB" w:rsidRDefault="00EC3EAB">
            <w:pPr>
              <w:pStyle w:val="NormalWeb"/>
              <w:spacing w:line="288" w:lineRule="auto"/>
              <w:rPr>
                <w:rFonts w:ascii="Verdana" w:hAnsi="Verdana"/>
                <w:color w:val="393939"/>
                <w:sz w:val="18"/>
                <w:szCs w:val="18"/>
              </w:rPr>
            </w:pPr>
            <w:r>
              <w:rPr>
                <w:rStyle w:val="note1"/>
                <w:rFonts w:ascii="Verdana" w:hAnsi="Verdana"/>
                <w:sz w:val="18"/>
                <w:szCs w:val="18"/>
              </w:rPr>
              <w:t>453,250</w:t>
            </w:r>
            <w:r>
              <w:rPr>
                <w:rFonts w:ascii="Verdana" w:hAnsi="Verdana"/>
                <w:color w:val="393939"/>
                <w:sz w:val="18"/>
                <w:szCs w:val="18"/>
              </w:rPr>
              <w:t>/</w:t>
            </w:r>
            <w:r>
              <w:rPr>
                <w:rStyle w:val="note1"/>
                <w:rFonts w:ascii="Verdana" w:hAnsi="Verdana"/>
                <w:sz w:val="18"/>
                <w:szCs w:val="18"/>
              </w:rPr>
              <w:t>0.12034582</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3,766,230</w:t>
            </w:r>
          </w:p>
        </w:tc>
      </w:tr>
    </w:tbl>
    <w:p w:rsidR="00D756BA" w:rsidRDefault="00D756BA"/>
    <w:p w:rsidR="00EC3EAB" w:rsidRDefault="00EC3EAB"/>
    <w:p w:rsidR="00EC3EAB" w:rsidRDefault="00EC3EAB"/>
    <w:p w:rsidR="00EC3EAB" w:rsidRDefault="00EC3EAB">
      <w:r>
        <w:lastRenderedPageBreak/>
        <w:t>Scenario 2</w:t>
      </w:r>
    </w:p>
    <w:p w:rsidR="00EC3EAB" w:rsidRDefault="00EC3EAB" w:rsidP="00EC3EAB">
      <w:pPr>
        <w:pStyle w:val="NormalWeb"/>
        <w:spacing w:line="288" w:lineRule="auto"/>
        <w:jc w:val="center"/>
        <w:rPr>
          <w:rFonts w:ascii="Verdana" w:hAnsi="Verdana"/>
          <w:color w:val="393939"/>
          <w:sz w:val="18"/>
          <w:szCs w:val="18"/>
        </w:rPr>
      </w:pPr>
      <w:r>
        <w:rPr>
          <w:rStyle w:val="Strong"/>
          <w:rFonts w:ascii="Verdana" w:hAnsi="Verdana"/>
          <w:color w:val="393939"/>
          <w:sz w:val="18"/>
          <w:szCs w:val="18"/>
        </w:rPr>
        <w:t>Question:</w:t>
      </w:r>
    </w:p>
    <w:p w:rsidR="00EC3EAB" w:rsidRDefault="00EC3EAB" w:rsidP="00EC3EAB">
      <w:pPr>
        <w:pStyle w:val="NormalWeb"/>
        <w:spacing w:line="288" w:lineRule="auto"/>
        <w:jc w:val="center"/>
        <w:rPr>
          <w:rFonts w:ascii="Verdana" w:hAnsi="Verdana"/>
          <w:color w:val="393939"/>
          <w:sz w:val="18"/>
          <w:szCs w:val="18"/>
        </w:rPr>
      </w:pPr>
      <w:r>
        <w:rPr>
          <w:rFonts w:ascii="Verdana" w:hAnsi="Verdana"/>
          <w:color w:val="393939"/>
          <w:sz w:val="18"/>
          <w:szCs w:val="18"/>
        </w:rPr>
        <w:t> </w:t>
      </w:r>
    </w:p>
    <w:p w:rsidR="00EC3EAB" w:rsidRDefault="00EC3EAB" w:rsidP="00EC3EAB">
      <w:pPr>
        <w:pStyle w:val="Heading3"/>
        <w:jc w:val="center"/>
      </w:pPr>
      <w:r>
        <w:t xml:space="preserve">The cost of debt (rd) is </w:t>
      </w:r>
      <w:r>
        <w:rPr>
          <w:rStyle w:val="note1"/>
        </w:rPr>
        <w:t>9.15%</w:t>
      </w:r>
      <w:r>
        <w:t xml:space="preserve"> per annum compounded monthly, the Loan-Value ratio (LVR) is </w:t>
      </w:r>
      <w:r>
        <w:rPr>
          <w:rStyle w:val="note1"/>
        </w:rPr>
        <w:t>60%</w:t>
      </w:r>
      <w:r>
        <w:t xml:space="preserve"> and the property has </w:t>
      </w:r>
      <w:r>
        <w:rPr>
          <w:rStyle w:val="note1"/>
        </w:rPr>
        <w:t xml:space="preserve">20,000 </w:t>
      </w:r>
      <w:r>
        <w:t xml:space="preserve">square feet of space. </w:t>
      </w:r>
    </w:p>
    <w:p w:rsidR="00EC3EAB" w:rsidRDefault="00EC3EAB" w:rsidP="00EC3EAB">
      <w:pPr>
        <w:pStyle w:val="Heading3"/>
        <w:jc w:val="center"/>
      </w:pPr>
    </w:p>
    <w:p w:rsidR="00EC3EAB" w:rsidRDefault="00EC3EAB" w:rsidP="00EC3EAB">
      <w:pPr>
        <w:pStyle w:val="Heading2"/>
        <w:jc w:val="center"/>
      </w:pPr>
      <w:r>
        <w:t xml:space="preserve">Answer </w:t>
      </w:r>
    </w:p>
    <w:p w:rsidR="00EC3EAB" w:rsidRDefault="00EC3EAB" w:rsidP="00EC3EAB">
      <w:pPr>
        <w:pStyle w:val="Heading2"/>
        <w:jc w:val="center"/>
      </w:pP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33"/>
        <w:gridCol w:w="5834"/>
        <w:gridCol w:w="1355"/>
      </w:tblGrid>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Result</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Strong"/>
                <w:rFonts w:ascii="Verdana" w:hAnsi="Verdana"/>
                <w:color w:val="393939"/>
                <w:sz w:val="18"/>
                <w:szCs w:val="18"/>
              </w:rPr>
              <w:t>Potential Gross Income (PGI)</w:t>
            </w:r>
            <w:r>
              <w:rPr>
                <w:rFonts w:ascii="Verdana" w:hAnsi="Verdana"/>
                <w:color w:val="393939"/>
                <w:sz w:val="18"/>
                <w:szCs w:val="18"/>
              </w:rPr>
              <w:br/>
            </w:r>
            <w:r>
              <w:rPr>
                <w:rStyle w:val="note1"/>
                <w:rFonts w:ascii="Verdana" w:hAnsi="Verdana"/>
                <w:sz w:val="18"/>
                <w:szCs w:val="18"/>
              </w:rPr>
              <w:t>20,000</w:t>
            </w:r>
            <w:r>
              <w:rPr>
                <w:rFonts w:ascii="Verdana" w:hAnsi="Verdana"/>
                <w:color w:val="393939"/>
                <w:sz w:val="18"/>
                <w:szCs w:val="18"/>
              </w:rPr>
              <w:t xml:space="preserve"> × </w:t>
            </w:r>
            <w:r>
              <w:rPr>
                <w:rStyle w:val="note1"/>
                <w:rFonts w:ascii="Verdana" w:hAnsi="Verdana"/>
                <w:sz w:val="18"/>
                <w:szCs w:val="18"/>
              </w:rPr>
              <w:t>$25</w:t>
            </w:r>
            <w:r>
              <w:rPr>
                <w:rFonts w:ascii="Verdana" w:hAnsi="Verdana"/>
                <w:color w:val="393939"/>
                <w:sz w:val="18"/>
                <w:szCs w:val="18"/>
              </w:rPr>
              <w:t>/sqft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500,000</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Strong"/>
                <w:rFonts w:ascii="Verdana" w:hAnsi="Verdana"/>
                <w:color w:val="393939"/>
                <w:sz w:val="18"/>
                <w:szCs w:val="18"/>
              </w:rPr>
              <w:t>Vacancy and Credit Losses (VCL)</w:t>
            </w:r>
            <w:r>
              <w:rPr>
                <w:rFonts w:ascii="Verdana" w:hAnsi="Verdana"/>
                <w:color w:val="393939"/>
                <w:sz w:val="18"/>
                <w:szCs w:val="18"/>
              </w:rPr>
              <w:br/>
            </w:r>
            <w:r>
              <w:rPr>
                <w:rStyle w:val="note1"/>
                <w:rFonts w:ascii="Verdana" w:hAnsi="Verdana"/>
                <w:sz w:val="18"/>
                <w:szCs w:val="18"/>
              </w:rPr>
              <w:t>7%</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 xml:space="preserve">(35,000) </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Strong"/>
                <w:rFonts w:ascii="Verdana" w:hAnsi="Verdana"/>
                <w:color w:val="393939"/>
                <w:sz w:val="18"/>
                <w:szCs w:val="18"/>
              </w:rPr>
              <w:t>Effective Gross Income (EGI)</w:t>
            </w:r>
            <w:r>
              <w:rPr>
                <w:rFonts w:ascii="Verdana" w:hAnsi="Verdana"/>
                <w:b/>
                <w:bCs/>
                <w:color w:val="393939"/>
                <w:sz w:val="18"/>
                <w:szCs w:val="18"/>
              </w:rPr>
              <w:br/>
            </w:r>
            <w:r>
              <w:rPr>
                <w:rFonts w:ascii="Verdana" w:hAnsi="Verdana"/>
                <w:color w:val="393939"/>
                <w:sz w:val="18"/>
                <w:szCs w:val="18"/>
              </w:rPr>
              <w:t>PGI –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465,000</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Strong"/>
                <w:rFonts w:ascii="Verdana" w:hAnsi="Verdana"/>
                <w:color w:val="393939"/>
                <w:sz w:val="18"/>
                <w:szCs w:val="18"/>
              </w:rPr>
              <w:t>Operating Expenses (OE)</w:t>
            </w:r>
            <w:r>
              <w:rPr>
                <w:rFonts w:ascii="Verdana" w:hAnsi="Verdana"/>
                <w:b/>
                <w:bCs/>
                <w:color w:val="393939"/>
                <w:sz w:val="18"/>
                <w:szCs w:val="18"/>
              </w:rPr>
              <w:br/>
            </w:r>
            <w:r>
              <w:rPr>
                <w:rFonts w:ascii="Verdana" w:hAnsi="Verdana"/>
                <w:color w:val="393939"/>
                <w:sz w:val="18"/>
                <w:szCs w:val="18"/>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 xml:space="preserve">(128,000) </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Strong"/>
                <w:rFonts w:ascii="Verdana" w:hAnsi="Verdana"/>
                <w:color w:val="393939"/>
                <w:sz w:val="18"/>
                <w:szCs w:val="18"/>
              </w:rPr>
              <w:t>Net Operating Income (NOI)</w:t>
            </w:r>
            <w:r>
              <w:rPr>
                <w:rFonts w:ascii="Verdana" w:hAnsi="Verdana"/>
                <w:b/>
                <w:bCs/>
                <w:color w:val="393939"/>
                <w:sz w:val="18"/>
                <w:szCs w:val="18"/>
              </w:rPr>
              <w:br/>
            </w:r>
            <w:r>
              <w:rPr>
                <w:rFonts w:ascii="Verdana" w:hAnsi="Verdana"/>
                <w:color w:val="393939"/>
                <w:sz w:val="18"/>
                <w:szCs w:val="18"/>
              </w:rPr>
              <w:t xml:space="preserve">EGI - OE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337,000</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Strong"/>
                <w:rFonts w:ascii="Verdana" w:hAnsi="Verdana"/>
                <w:color w:val="393939"/>
                <w:sz w:val="18"/>
                <w:szCs w:val="18"/>
              </w:rPr>
              <w:t>Weighted Average Cost of Capital (WACC) </w:t>
            </w:r>
            <w:r>
              <w:rPr>
                <w:rFonts w:ascii="Verdana" w:hAnsi="Verdana"/>
                <w:b/>
                <w:bCs/>
                <w:color w:val="393939"/>
                <w:sz w:val="18"/>
                <w:szCs w:val="18"/>
              </w:rPr>
              <w:br/>
            </w:r>
            <w:r>
              <w:rPr>
                <w:rFonts w:ascii="Verdana" w:hAnsi="Verdana"/>
                <w:color w:val="393939"/>
                <w:sz w:val="18"/>
                <w:szCs w:val="18"/>
              </w:rPr>
              <w:t>{rd × LVR}  +  {re × (1 – LVR) }</w:t>
            </w:r>
          </w:p>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 xml:space="preserve">EAR = </w:t>
            </w:r>
            <w:r>
              <w:rPr>
                <w:rStyle w:val="note1"/>
                <w:rFonts w:ascii="Verdana" w:hAnsi="Verdana"/>
                <w:sz w:val="18"/>
                <w:szCs w:val="18"/>
              </w:rPr>
              <w:t>9.543651%</w:t>
            </w:r>
            <w:r>
              <w:rPr>
                <w:rFonts w:ascii="Verdana" w:hAnsi="Verdana"/>
                <w:color w:val="393939"/>
                <w:sz w:val="18"/>
                <w:szCs w:val="18"/>
              </w:rPr>
              <w:br/>
              <w:t xml:space="preserve">WACC = </w:t>
            </w:r>
            <w:r>
              <w:rPr>
                <w:rStyle w:val="note1"/>
                <w:rFonts w:ascii="Verdana" w:hAnsi="Verdana"/>
                <w:sz w:val="18"/>
                <w:szCs w:val="18"/>
              </w:rPr>
              <w:t>60%</w:t>
            </w:r>
            <w:r>
              <w:rPr>
                <w:rFonts w:ascii="Verdana" w:hAnsi="Verdana"/>
                <w:color w:val="393939"/>
                <w:sz w:val="18"/>
                <w:szCs w:val="18"/>
              </w:rPr>
              <w:t xml:space="preserve"> × </w:t>
            </w:r>
            <w:r>
              <w:rPr>
                <w:rStyle w:val="note1"/>
                <w:rFonts w:ascii="Verdana" w:hAnsi="Verdana"/>
                <w:sz w:val="18"/>
                <w:szCs w:val="18"/>
              </w:rPr>
              <w:t>9.543651%</w:t>
            </w:r>
            <w:r>
              <w:rPr>
                <w:rFonts w:ascii="Verdana" w:hAnsi="Verdana"/>
                <w:color w:val="393939"/>
                <w:sz w:val="18"/>
                <w:szCs w:val="18"/>
              </w:rPr>
              <w:t xml:space="preserve"> + </w:t>
            </w:r>
            <w:r>
              <w:rPr>
                <w:rStyle w:val="note1"/>
                <w:rFonts w:ascii="Verdana" w:hAnsi="Verdana"/>
                <w:sz w:val="18"/>
                <w:szCs w:val="18"/>
              </w:rPr>
              <w:t>40%</w:t>
            </w:r>
            <w:r>
              <w:rPr>
                <w:rFonts w:ascii="Verdana" w:hAnsi="Verdana"/>
                <w:color w:val="393939"/>
                <w:sz w:val="18"/>
                <w:szCs w:val="18"/>
              </w:rPr>
              <w:t xml:space="preserve"> × (</w:t>
            </w:r>
            <w:r>
              <w:rPr>
                <w:rStyle w:val="note1"/>
                <w:rFonts w:ascii="Verdana" w:hAnsi="Verdana"/>
                <w:sz w:val="18"/>
                <w:szCs w:val="18"/>
              </w:rPr>
              <w:t>9.543651%</w:t>
            </w:r>
            <w:r>
              <w:rPr>
                <w:rFonts w:ascii="Verdana" w:hAnsi="Verdana"/>
                <w:color w:val="393939"/>
                <w:sz w:val="18"/>
                <w:szCs w:val="18"/>
              </w:rPr>
              <w:t xml:space="preserve"> + </w:t>
            </w:r>
            <w:r>
              <w:rPr>
                <w:rStyle w:val="note1"/>
                <w:rFonts w:ascii="Verdana" w:hAnsi="Verdana"/>
                <w:sz w:val="18"/>
                <w:szCs w:val="18"/>
              </w:rPr>
              <w:t>6.50%)</w:t>
            </w:r>
            <w:r>
              <w:rPr>
                <w:rFonts w:ascii="Verdana" w:hAnsi="Verdana"/>
                <w:color w:val="393939"/>
                <w:sz w:val="18"/>
                <w:szCs w:val="18"/>
              </w:rPr>
              <w:br/>
              <w:t xml:space="preserve">WACC = </w:t>
            </w:r>
            <w:r>
              <w:rPr>
                <w:rStyle w:val="note1"/>
                <w:rFonts w:ascii="Verdana" w:hAnsi="Verdana"/>
                <w:sz w:val="18"/>
                <w:szCs w:val="18"/>
              </w:rPr>
              <w:t>5.726191%</w:t>
            </w:r>
            <w:r>
              <w:rPr>
                <w:rFonts w:ascii="Verdana" w:hAnsi="Verdana"/>
                <w:color w:val="393939"/>
                <w:sz w:val="18"/>
                <w:szCs w:val="18"/>
              </w:rPr>
              <w:t xml:space="preserve"> + </w:t>
            </w:r>
            <w:r>
              <w:rPr>
                <w:rStyle w:val="note1"/>
                <w:rFonts w:ascii="Verdana" w:hAnsi="Verdana"/>
                <w:sz w:val="18"/>
                <w:szCs w:val="18"/>
              </w:rPr>
              <w:t>6.417460%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12.143651%</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Strong"/>
                <w:rFonts w:ascii="Verdana" w:hAnsi="Verdana"/>
                <w:color w:val="393939"/>
                <w:sz w:val="18"/>
                <w:szCs w:val="18"/>
              </w:rPr>
              <w:t xml:space="preserve">Apply the formula </w:t>
            </w:r>
            <w:r>
              <w:rPr>
                <w:rFonts w:ascii="Verdana" w:hAnsi="Verdana"/>
                <w:b/>
                <w:bCs/>
                <w:color w:val="393939"/>
                <w:sz w:val="18"/>
                <w:szCs w:val="18"/>
              </w:rPr>
              <w:br/>
            </w:r>
            <w:r>
              <w:rPr>
                <w:rFonts w:ascii="Verdana" w:hAnsi="Verdana"/>
                <w:color w:val="393939"/>
                <w:sz w:val="18"/>
                <w:szCs w:val="18"/>
              </w:rPr>
              <w:t>NOI divided by WACC</w:t>
            </w:r>
          </w:p>
          <w:p w:rsidR="00EC3EAB" w:rsidRDefault="00EC3EAB">
            <w:pPr>
              <w:pStyle w:val="NormalWeb"/>
              <w:spacing w:line="288" w:lineRule="auto"/>
              <w:rPr>
                <w:rFonts w:ascii="Verdana" w:hAnsi="Verdana"/>
                <w:color w:val="393939"/>
                <w:sz w:val="18"/>
                <w:szCs w:val="18"/>
              </w:rPr>
            </w:pPr>
            <w:r>
              <w:rPr>
                <w:rStyle w:val="note1"/>
                <w:rFonts w:ascii="Verdana" w:hAnsi="Verdana"/>
                <w:sz w:val="18"/>
                <w:szCs w:val="18"/>
              </w:rPr>
              <w:t>337,000</w:t>
            </w:r>
            <w:r>
              <w:rPr>
                <w:rFonts w:ascii="Verdana" w:hAnsi="Verdana"/>
                <w:color w:val="393939"/>
                <w:sz w:val="18"/>
                <w:szCs w:val="18"/>
              </w:rPr>
              <w:t>/</w:t>
            </w:r>
            <w:r>
              <w:rPr>
                <w:rStyle w:val="note1"/>
                <w:rFonts w:ascii="Verdana" w:hAnsi="Verdana"/>
                <w:sz w:val="18"/>
                <w:szCs w:val="18"/>
              </w:rPr>
              <w:t>0.12143651</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2,775,113</w:t>
            </w:r>
          </w:p>
        </w:tc>
      </w:tr>
    </w:tbl>
    <w:p w:rsidR="00EC3EAB" w:rsidRDefault="00EC3EAB"/>
    <w:p w:rsidR="00EC3EAB" w:rsidRDefault="00EC3EAB"/>
    <w:p w:rsidR="00EC3EAB" w:rsidRDefault="00EC3EAB"/>
    <w:p w:rsidR="00EC3EAB" w:rsidRDefault="00EC3EAB"/>
    <w:p w:rsidR="00EC3EAB" w:rsidRDefault="00EC3EAB">
      <w:r>
        <w:lastRenderedPageBreak/>
        <w:t>Scenario 3</w:t>
      </w:r>
    </w:p>
    <w:p w:rsidR="00EC3EAB" w:rsidRDefault="00EC3EAB" w:rsidP="00EC3EAB">
      <w:pPr>
        <w:pStyle w:val="NormalWeb"/>
        <w:spacing w:line="288" w:lineRule="auto"/>
        <w:jc w:val="center"/>
        <w:rPr>
          <w:rFonts w:ascii="Verdana" w:hAnsi="Verdana"/>
          <w:color w:val="393939"/>
          <w:sz w:val="18"/>
          <w:szCs w:val="18"/>
        </w:rPr>
      </w:pPr>
      <w:r>
        <w:rPr>
          <w:rStyle w:val="Strong"/>
          <w:rFonts w:ascii="Verdana" w:hAnsi="Verdana"/>
          <w:color w:val="393939"/>
          <w:sz w:val="18"/>
          <w:szCs w:val="18"/>
        </w:rPr>
        <w:t>Question:</w:t>
      </w:r>
    </w:p>
    <w:p w:rsidR="00EC3EAB" w:rsidRDefault="00EC3EAB" w:rsidP="00EC3EAB">
      <w:pPr>
        <w:pStyle w:val="NormalWeb"/>
        <w:spacing w:line="288" w:lineRule="auto"/>
        <w:jc w:val="center"/>
        <w:rPr>
          <w:rFonts w:ascii="Verdana" w:hAnsi="Verdana"/>
          <w:color w:val="393939"/>
          <w:sz w:val="18"/>
          <w:szCs w:val="18"/>
        </w:rPr>
      </w:pPr>
      <w:r>
        <w:rPr>
          <w:rFonts w:ascii="Verdana" w:hAnsi="Verdana"/>
          <w:color w:val="393939"/>
          <w:sz w:val="18"/>
          <w:szCs w:val="18"/>
        </w:rPr>
        <w:t> </w:t>
      </w:r>
    </w:p>
    <w:p w:rsidR="00EC3EAB" w:rsidRDefault="00EC3EAB" w:rsidP="00EC3EAB">
      <w:pPr>
        <w:pStyle w:val="Heading3"/>
        <w:jc w:val="center"/>
      </w:pPr>
      <w:r>
        <w:t xml:space="preserve">The vacancy and credit losses (VCL) is </w:t>
      </w:r>
      <w:r>
        <w:rPr>
          <w:rStyle w:val="note1"/>
        </w:rPr>
        <w:t>8%</w:t>
      </w:r>
      <w:r>
        <w:t xml:space="preserve"> and the cost of your down payment is </w:t>
      </w:r>
      <w:r>
        <w:rPr>
          <w:rStyle w:val="note1"/>
        </w:rPr>
        <w:t>5.75%</w:t>
      </w:r>
      <w:r>
        <w:t xml:space="preserve"> above the effective annual rate (EAR) of loan. Use the information from Scenario 2 to solve this question.</w:t>
      </w:r>
    </w:p>
    <w:p w:rsidR="00EC3EAB" w:rsidRDefault="00EC3EAB"/>
    <w:p w:rsidR="00EC3EAB" w:rsidRDefault="00EC3EAB" w:rsidP="00EC3EAB">
      <w:pPr>
        <w:pStyle w:val="Heading2"/>
        <w:jc w:val="center"/>
      </w:pPr>
      <w:r>
        <w:t xml:space="preserve">Answer </w:t>
      </w:r>
    </w:p>
    <w:p w:rsidR="00EC3EAB" w:rsidRDefault="00EC3EAB" w:rsidP="00EC3EAB">
      <w:pPr>
        <w:pStyle w:val="Heading2"/>
        <w:jc w:val="center"/>
      </w:pP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833"/>
        <w:gridCol w:w="5834"/>
        <w:gridCol w:w="1355"/>
      </w:tblGrid>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Steps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Calculate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Result</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A</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Strong"/>
                <w:rFonts w:ascii="Verdana" w:hAnsi="Verdana"/>
                <w:color w:val="393939"/>
                <w:sz w:val="18"/>
                <w:szCs w:val="18"/>
              </w:rPr>
              <w:t>Potential Gross Income (PGI)</w:t>
            </w:r>
            <w:r>
              <w:rPr>
                <w:rFonts w:ascii="Verdana" w:hAnsi="Verdana"/>
                <w:color w:val="393939"/>
                <w:sz w:val="18"/>
                <w:szCs w:val="18"/>
              </w:rPr>
              <w:br/>
            </w:r>
            <w:r>
              <w:rPr>
                <w:rStyle w:val="note1"/>
                <w:rFonts w:ascii="Verdana" w:hAnsi="Verdana"/>
                <w:sz w:val="18"/>
                <w:szCs w:val="18"/>
              </w:rPr>
              <w:t>20,000</w:t>
            </w:r>
            <w:r>
              <w:rPr>
                <w:rFonts w:ascii="Verdana" w:hAnsi="Verdana"/>
                <w:color w:val="393939"/>
                <w:sz w:val="18"/>
                <w:szCs w:val="18"/>
              </w:rPr>
              <w:t xml:space="preserve"> × </w:t>
            </w:r>
            <w:r>
              <w:rPr>
                <w:rStyle w:val="note1"/>
                <w:rFonts w:ascii="Verdana" w:hAnsi="Verdana"/>
                <w:sz w:val="18"/>
                <w:szCs w:val="18"/>
              </w:rPr>
              <w:t>$25</w:t>
            </w:r>
            <w:r>
              <w:rPr>
                <w:rFonts w:ascii="Verdana" w:hAnsi="Verdana"/>
                <w:color w:val="393939"/>
                <w:sz w:val="18"/>
                <w:szCs w:val="18"/>
              </w:rPr>
              <w:t>/sqft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500,000</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B</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Strong"/>
                <w:rFonts w:ascii="Verdana" w:hAnsi="Verdana"/>
                <w:color w:val="393939"/>
                <w:sz w:val="18"/>
                <w:szCs w:val="18"/>
              </w:rPr>
              <w:t>Vacancy and Credit Losses (VCL)</w:t>
            </w:r>
            <w:r>
              <w:rPr>
                <w:rFonts w:ascii="Verdana" w:hAnsi="Verdana"/>
                <w:color w:val="393939"/>
                <w:sz w:val="18"/>
                <w:szCs w:val="18"/>
              </w:rPr>
              <w:br/>
            </w:r>
            <w:r>
              <w:rPr>
                <w:rStyle w:val="note1"/>
                <w:rFonts w:ascii="Verdana" w:hAnsi="Verdana"/>
                <w:sz w:val="18"/>
                <w:szCs w:val="18"/>
              </w:rPr>
              <w:t>8%</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 xml:space="preserve">(40,000) </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C</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Strong"/>
                <w:rFonts w:ascii="Verdana" w:hAnsi="Verdana"/>
                <w:color w:val="393939"/>
                <w:sz w:val="18"/>
                <w:szCs w:val="18"/>
              </w:rPr>
              <w:t>Effective Gross Income (EGI)</w:t>
            </w:r>
            <w:r>
              <w:rPr>
                <w:rFonts w:ascii="Verdana" w:hAnsi="Verdana"/>
                <w:b/>
                <w:bCs/>
                <w:color w:val="393939"/>
                <w:sz w:val="18"/>
                <w:szCs w:val="18"/>
              </w:rPr>
              <w:br/>
            </w:r>
            <w:r>
              <w:rPr>
                <w:rFonts w:ascii="Verdana" w:hAnsi="Verdana"/>
                <w:color w:val="393939"/>
                <w:sz w:val="18"/>
                <w:szCs w:val="18"/>
              </w:rPr>
              <w:t>PGI – VCL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460,000</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D</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Strong"/>
                <w:rFonts w:ascii="Verdana" w:hAnsi="Verdana"/>
                <w:color w:val="393939"/>
                <w:sz w:val="18"/>
                <w:szCs w:val="18"/>
              </w:rPr>
              <w:t>Operating Expenses (OE)</w:t>
            </w:r>
            <w:r>
              <w:rPr>
                <w:rFonts w:ascii="Verdana" w:hAnsi="Verdana"/>
                <w:b/>
                <w:bCs/>
                <w:color w:val="393939"/>
                <w:sz w:val="18"/>
                <w:szCs w:val="18"/>
              </w:rPr>
              <w:br/>
            </w:r>
            <w:r>
              <w:rPr>
                <w:rFonts w:ascii="Verdana" w:hAnsi="Verdana"/>
                <w:color w:val="393939"/>
                <w:sz w:val="18"/>
                <w:szCs w:val="18"/>
              </w:rPr>
              <w:t>(without depreciation or capital cost allowance)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 xml:space="preserve">(128,000) </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Strong"/>
                <w:rFonts w:ascii="Verdana" w:hAnsi="Verdana"/>
                <w:color w:val="393939"/>
                <w:sz w:val="18"/>
                <w:szCs w:val="18"/>
              </w:rPr>
              <w:t>Net Operating Income (NOI)</w:t>
            </w:r>
            <w:r>
              <w:rPr>
                <w:rFonts w:ascii="Verdana" w:hAnsi="Verdana"/>
                <w:b/>
                <w:bCs/>
                <w:color w:val="393939"/>
                <w:sz w:val="18"/>
                <w:szCs w:val="18"/>
              </w:rPr>
              <w:br/>
            </w:r>
            <w:r>
              <w:rPr>
                <w:rFonts w:ascii="Verdana" w:hAnsi="Verdana"/>
                <w:color w:val="393939"/>
                <w:sz w:val="18"/>
                <w:szCs w:val="18"/>
              </w:rPr>
              <w:t xml:space="preserve">EGI - OE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332,000</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F</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Strong"/>
                <w:rFonts w:ascii="Verdana" w:hAnsi="Verdana"/>
                <w:color w:val="393939"/>
                <w:sz w:val="18"/>
                <w:szCs w:val="18"/>
              </w:rPr>
              <w:t>Weighted Average Cost of Capital (WACC) </w:t>
            </w:r>
            <w:r>
              <w:rPr>
                <w:rFonts w:ascii="Verdana" w:hAnsi="Verdana"/>
                <w:b/>
                <w:bCs/>
                <w:color w:val="393939"/>
                <w:sz w:val="18"/>
                <w:szCs w:val="18"/>
              </w:rPr>
              <w:br/>
            </w:r>
            <w:r>
              <w:rPr>
                <w:rFonts w:ascii="Verdana" w:hAnsi="Verdana"/>
                <w:color w:val="393939"/>
                <w:sz w:val="18"/>
                <w:szCs w:val="18"/>
              </w:rPr>
              <w:t>{rd × LVR}  +  {re × (1 – LVR) }</w:t>
            </w:r>
          </w:p>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 xml:space="preserve">EAR = </w:t>
            </w:r>
            <w:r>
              <w:rPr>
                <w:rStyle w:val="note1"/>
                <w:rFonts w:ascii="Verdana" w:hAnsi="Verdana"/>
                <w:sz w:val="18"/>
                <w:szCs w:val="18"/>
              </w:rPr>
              <w:t>9.543651%</w:t>
            </w:r>
            <w:r>
              <w:rPr>
                <w:rFonts w:ascii="Verdana" w:hAnsi="Verdana"/>
                <w:color w:val="393939"/>
                <w:sz w:val="18"/>
                <w:szCs w:val="18"/>
              </w:rPr>
              <w:br/>
              <w:t xml:space="preserve">WACC = </w:t>
            </w:r>
            <w:r>
              <w:rPr>
                <w:rStyle w:val="note1"/>
                <w:rFonts w:ascii="Verdana" w:hAnsi="Verdana"/>
                <w:sz w:val="18"/>
                <w:szCs w:val="18"/>
              </w:rPr>
              <w:t>60%</w:t>
            </w:r>
            <w:r>
              <w:rPr>
                <w:rFonts w:ascii="Verdana" w:hAnsi="Verdana"/>
                <w:color w:val="393939"/>
                <w:sz w:val="18"/>
                <w:szCs w:val="18"/>
              </w:rPr>
              <w:t xml:space="preserve"> × </w:t>
            </w:r>
            <w:r>
              <w:rPr>
                <w:rStyle w:val="note1"/>
                <w:rFonts w:ascii="Verdana" w:hAnsi="Verdana"/>
                <w:sz w:val="18"/>
                <w:szCs w:val="18"/>
              </w:rPr>
              <w:t>9.543651%</w:t>
            </w:r>
            <w:r>
              <w:rPr>
                <w:rFonts w:ascii="Verdana" w:hAnsi="Verdana"/>
                <w:color w:val="393939"/>
                <w:sz w:val="18"/>
                <w:szCs w:val="18"/>
              </w:rPr>
              <w:t xml:space="preserve"> + </w:t>
            </w:r>
            <w:r>
              <w:rPr>
                <w:rStyle w:val="note1"/>
                <w:rFonts w:ascii="Verdana" w:hAnsi="Verdana"/>
                <w:sz w:val="18"/>
                <w:szCs w:val="18"/>
              </w:rPr>
              <w:t>40%</w:t>
            </w:r>
            <w:r>
              <w:rPr>
                <w:rFonts w:ascii="Verdana" w:hAnsi="Verdana"/>
                <w:color w:val="393939"/>
                <w:sz w:val="18"/>
                <w:szCs w:val="18"/>
              </w:rPr>
              <w:t xml:space="preserve"> × (</w:t>
            </w:r>
            <w:r>
              <w:rPr>
                <w:rStyle w:val="note1"/>
                <w:rFonts w:ascii="Verdana" w:hAnsi="Verdana"/>
                <w:sz w:val="18"/>
                <w:szCs w:val="18"/>
              </w:rPr>
              <w:t>9.543651%</w:t>
            </w:r>
            <w:r>
              <w:rPr>
                <w:rFonts w:ascii="Verdana" w:hAnsi="Verdana"/>
                <w:color w:val="393939"/>
                <w:sz w:val="18"/>
                <w:szCs w:val="18"/>
              </w:rPr>
              <w:t xml:space="preserve"> + </w:t>
            </w:r>
            <w:r>
              <w:rPr>
                <w:rStyle w:val="note1"/>
                <w:rFonts w:ascii="Verdana" w:hAnsi="Verdana"/>
                <w:sz w:val="18"/>
                <w:szCs w:val="18"/>
              </w:rPr>
              <w:t>5.75%</w:t>
            </w:r>
            <w:r>
              <w:rPr>
                <w:rFonts w:ascii="Verdana" w:hAnsi="Verdana"/>
                <w:color w:val="393939"/>
                <w:sz w:val="18"/>
                <w:szCs w:val="18"/>
              </w:rPr>
              <w:t>)</w:t>
            </w:r>
            <w:r>
              <w:rPr>
                <w:rFonts w:ascii="Verdana" w:hAnsi="Verdana"/>
                <w:color w:val="393939"/>
                <w:sz w:val="18"/>
                <w:szCs w:val="18"/>
              </w:rPr>
              <w:br/>
              <w:t xml:space="preserve">WACC = </w:t>
            </w:r>
            <w:r>
              <w:rPr>
                <w:rStyle w:val="note1"/>
                <w:rFonts w:ascii="Verdana" w:hAnsi="Verdana"/>
                <w:sz w:val="18"/>
                <w:szCs w:val="18"/>
              </w:rPr>
              <w:t>5.726191%</w:t>
            </w:r>
            <w:r>
              <w:rPr>
                <w:rFonts w:ascii="Verdana" w:hAnsi="Verdana"/>
                <w:color w:val="393939"/>
                <w:sz w:val="18"/>
                <w:szCs w:val="18"/>
              </w:rPr>
              <w:t xml:space="preserve"> + </w:t>
            </w:r>
            <w:r>
              <w:rPr>
                <w:rStyle w:val="note1"/>
                <w:rFonts w:ascii="Verdana" w:hAnsi="Verdana"/>
                <w:sz w:val="18"/>
                <w:szCs w:val="18"/>
              </w:rPr>
              <w:t xml:space="preserve">6.117460%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11.843651%</w:t>
            </w:r>
          </w:p>
        </w:tc>
      </w:tr>
      <w:tr w:rsid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Fonts w:ascii="Verdana" w:hAnsi="Verdana"/>
                <w:b/>
                <w:bCs/>
                <w:color w:val="9E9E9E"/>
                <w:sz w:val="18"/>
                <w:szCs w:val="18"/>
              </w:rPr>
              <w:t>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Strong"/>
                <w:rFonts w:ascii="Verdana" w:hAnsi="Verdana"/>
                <w:color w:val="393939"/>
                <w:sz w:val="18"/>
                <w:szCs w:val="18"/>
              </w:rPr>
              <w:t xml:space="preserve">Apply the formula </w:t>
            </w:r>
            <w:r>
              <w:rPr>
                <w:rFonts w:ascii="Verdana" w:hAnsi="Verdana"/>
                <w:b/>
                <w:bCs/>
                <w:color w:val="393939"/>
                <w:sz w:val="18"/>
                <w:szCs w:val="18"/>
              </w:rPr>
              <w:br/>
            </w:r>
            <w:r>
              <w:rPr>
                <w:rFonts w:ascii="Verdana" w:hAnsi="Verdana"/>
                <w:color w:val="393939"/>
                <w:sz w:val="18"/>
                <w:szCs w:val="18"/>
              </w:rPr>
              <w:t>NOI divided by WACC</w:t>
            </w:r>
          </w:p>
          <w:p w:rsidR="00EC3EAB" w:rsidRDefault="00EC3EAB">
            <w:pPr>
              <w:pStyle w:val="NormalWeb"/>
              <w:spacing w:line="288" w:lineRule="auto"/>
              <w:rPr>
                <w:rFonts w:ascii="Verdana" w:hAnsi="Verdana"/>
                <w:color w:val="393939"/>
                <w:sz w:val="18"/>
                <w:szCs w:val="18"/>
              </w:rPr>
            </w:pPr>
            <w:r>
              <w:rPr>
                <w:rStyle w:val="note1"/>
                <w:rFonts w:ascii="Verdana" w:hAnsi="Verdana"/>
                <w:sz w:val="18"/>
                <w:szCs w:val="18"/>
              </w:rPr>
              <w:t>332,000</w:t>
            </w:r>
            <w:r>
              <w:rPr>
                <w:rFonts w:ascii="Verdana" w:hAnsi="Verdana"/>
                <w:color w:val="393939"/>
                <w:sz w:val="18"/>
                <w:szCs w:val="18"/>
              </w:rPr>
              <w:t>/</w:t>
            </w:r>
            <w:r>
              <w:rPr>
                <w:rStyle w:val="note1"/>
                <w:rFonts w:ascii="Verdana" w:hAnsi="Verdana"/>
                <w:sz w:val="18"/>
                <w:szCs w:val="18"/>
              </w:rPr>
              <w:t>0.11843651</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jc w:val="center"/>
              <w:rPr>
                <w:rFonts w:ascii="Verdana" w:hAnsi="Verdana"/>
                <w:color w:val="393939"/>
                <w:sz w:val="18"/>
                <w:szCs w:val="18"/>
              </w:rPr>
            </w:pPr>
            <w:r>
              <w:rPr>
                <w:rFonts w:ascii="Verdana" w:hAnsi="Verdana"/>
                <w:color w:val="393939"/>
                <w:sz w:val="18"/>
                <w:szCs w:val="18"/>
              </w:rPr>
              <w:br/>
              <w:t>2,803,190</w:t>
            </w:r>
          </w:p>
        </w:tc>
      </w:tr>
    </w:tbl>
    <w:p w:rsidR="00EC3EAB" w:rsidRDefault="00EC3EAB"/>
    <w:p w:rsidR="00EC3EAB" w:rsidRDefault="00EC3EAB"/>
    <w:p w:rsidR="00EC3EAB" w:rsidRDefault="00EC3EAB"/>
    <w:p w:rsidR="00EC3EAB" w:rsidRPr="00EC3EAB" w:rsidRDefault="00EC3EAB" w:rsidP="00EC3EAB">
      <w:pPr>
        <w:spacing w:before="75" w:after="75" w:line="240" w:lineRule="auto"/>
        <w:outlineLvl w:val="2"/>
        <w:rPr>
          <w:rFonts w:ascii="Verdana" w:eastAsia="Times New Roman" w:hAnsi="Verdana" w:cs="Times New Roman"/>
          <w:b/>
          <w:bCs/>
          <w:color w:val="958616"/>
          <w:sz w:val="24"/>
          <w:szCs w:val="24"/>
        </w:rPr>
      </w:pPr>
      <w:r w:rsidRPr="00EC3EAB">
        <w:rPr>
          <w:rFonts w:ascii="Verdana" w:eastAsia="Times New Roman" w:hAnsi="Verdana" w:cs="Times New Roman"/>
          <w:b/>
          <w:bCs/>
          <w:color w:val="958616"/>
          <w:sz w:val="24"/>
          <w:szCs w:val="24"/>
        </w:rPr>
        <w:lastRenderedPageBreak/>
        <w:t>When to Use the Sales Comparable Approach</w:t>
      </w:r>
    </w:p>
    <w:p w:rsidR="00EC3EAB" w:rsidRPr="00EC3EAB" w:rsidRDefault="00EC3EAB" w:rsidP="00EC3EAB">
      <w:pPr>
        <w:spacing w:before="75" w:after="75" w:line="288"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xml:space="preserve">The Sales Comparable Approach is used: </w:t>
      </w:r>
    </w:p>
    <w:p w:rsidR="00EC3EAB" w:rsidRPr="00EC3EAB" w:rsidRDefault="00EC3EAB" w:rsidP="00EC3EAB">
      <w:pPr>
        <w:numPr>
          <w:ilvl w:val="0"/>
          <w:numId w:val="6"/>
        </w:numPr>
        <w:spacing w:before="120" w:after="240" w:line="240" w:lineRule="auto"/>
        <w:ind w:left="300"/>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To value real estate investments that have many comparables, such as residential properties.</w:t>
      </w:r>
    </w:p>
    <w:p w:rsidR="00EC3EAB" w:rsidRPr="00EC3EAB" w:rsidRDefault="00EC3EAB" w:rsidP="00EC3EAB">
      <w:pPr>
        <w:numPr>
          <w:ilvl w:val="1"/>
          <w:numId w:val="6"/>
        </w:numPr>
        <w:spacing w:before="120" w:after="240" w:line="240" w:lineRule="auto"/>
        <w:ind w:left="600"/>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Residential properties are bought and sold every day.</w:t>
      </w:r>
    </w:p>
    <w:p w:rsidR="00EC3EAB" w:rsidRPr="00EC3EAB" w:rsidRDefault="00EC3EAB" w:rsidP="00EC3EAB">
      <w:pPr>
        <w:numPr>
          <w:ilvl w:val="1"/>
          <w:numId w:val="6"/>
        </w:numPr>
        <w:spacing w:before="120" w:after="240" w:line="240" w:lineRule="auto"/>
        <w:ind w:left="600"/>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Comparable properties used for comparison have few differences for adjustments.</w:t>
      </w:r>
    </w:p>
    <w:p w:rsidR="00EC3EAB" w:rsidRPr="00EC3EAB" w:rsidRDefault="00EC3EAB" w:rsidP="00EC3EAB">
      <w:pPr>
        <w:numPr>
          <w:ilvl w:val="1"/>
          <w:numId w:val="6"/>
        </w:numPr>
        <w:spacing w:before="120" w:after="240" w:line="240" w:lineRule="auto"/>
        <w:ind w:left="600"/>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Adjustments are usually required with reference to Time (inflation); Location (location or middle or across); Size (square feet); Age (number of years); Garage (number of garages); type of Financing used; and Others (such as swimming pool, etc.).</w:t>
      </w:r>
    </w:p>
    <w:p w:rsidR="00EC3EAB" w:rsidRPr="00EC3EAB" w:rsidRDefault="00EC3EAB" w:rsidP="00EC3EAB">
      <w:pPr>
        <w:numPr>
          <w:ilvl w:val="0"/>
          <w:numId w:val="6"/>
        </w:numPr>
        <w:spacing w:before="120" w:after="0" w:line="240" w:lineRule="auto"/>
        <w:ind w:left="300"/>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When the Cost Approach and Net Income Approach are not applicable.</w:t>
      </w:r>
    </w:p>
    <w:p w:rsidR="00EC3EAB" w:rsidRDefault="00EC3EAB"/>
    <w:p w:rsidR="00EC3EAB" w:rsidRPr="00EC3EAB" w:rsidRDefault="00EC3EAB" w:rsidP="00EC3EAB">
      <w:pPr>
        <w:pStyle w:val="Heading3"/>
      </w:pPr>
      <w:r>
        <w:t>Advantages and Disadvantages of the Sales Comparable Approach</w:t>
      </w:r>
    </w:p>
    <w:tbl>
      <w:tblPr>
        <w:tblW w:w="7500" w:type="dxa"/>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3969"/>
        <w:gridCol w:w="3531"/>
      </w:tblGrid>
      <w:tr w:rsidR="00EC3EAB" w:rsidTr="00EC3EAB">
        <w:trPr>
          <w:jc w:val="center"/>
        </w:trPr>
        <w:tc>
          <w:tcPr>
            <w:tcW w:w="37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Style w:val="Strong"/>
                <w:rFonts w:ascii="Verdana" w:hAnsi="Verdana"/>
                <w:color w:val="9E9E9E"/>
                <w:sz w:val="18"/>
                <w:szCs w:val="18"/>
              </w:rPr>
              <w:t>Advantages</w:t>
            </w:r>
          </w:p>
        </w:tc>
        <w:tc>
          <w:tcPr>
            <w:tcW w:w="37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jc w:val="center"/>
              <w:rPr>
                <w:rFonts w:ascii="Verdana" w:hAnsi="Verdana"/>
                <w:b/>
                <w:bCs/>
                <w:color w:val="9E9E9E"/>
                <w:sz w:val="18"/>
                <w:szCs w:val="18"/>
              </w:rPr>
            </w:pPr>
            <w:r>
              <w:rPr>
                <w:rStyle w:val="Strong"/>
                <w:rFonts w:ascii="Verdana" w:hAnsi="Verdana"/>
                <w:color w:val="9E9E9E"/>
                <w:sz w:val="18"/>
                <w:szCs w:val="18"/>
              </w:rPr>
              <w:t>Disadvantages</w:t>
            </w:r>
          </w:p>
        </w:tc>
      </w:tr>
      <w:tr w:rsidR="00EC3EAB" w:rsidTr="00EC3EAB">
        <w:trPr>
          <w:jc w:val="center"/>
        </w:trPr>
        <w:tc>
          <w:tcPr>
            <w:tcW w:w="0" w:type="auto"/>
            <w:tcBorders>
              <w:bottom w:val="single" w:sz="6" w:space="0" w:color="88A8AE"/>
            </w:tcBorders>
            <w:shd w:val="clear" w:color="auto" w:fill="FFFFFF"/>
            <w:tcMar>
              <w:top w:w="90" w:type="dxa"/>
              <w:left w:w="90" w:type="dxa"/>
              <w:bottom w:w="90" w:type="dxa"/>
              <w:right w:w="90" w:type="dxa"/>
            </w:tcMa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Easy to find comparables.</w:t>
            </w:r>
          </w:p>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Comparables are bought and sold every day.</w:t>
            </w:r>
          </w:p>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Takes into account changes in the fiscal policy (such as supply and demand, etc.) and monetary policies (such as interest rates, inflation, etc.) of the economy.</w:t>
            </w:r>
          </w:p>
        </w:tc>
        <w:tc>
          <w:tcPr>
            <w:tcW w:w="0" w:type="auto"/>
            <w:tcBorders>
              <w:bottom w:val="single" w:sz="6" w:space="0" w:color="88A8AE"/>
            </w:tcBorders>
            <w:shd w:val="clear" w:color="auto" w:fill="FFFFFF"/>
            <w:tcMar>
              <w:top w:w="90" w:type="dxa"/>
              <w:left w:w="90" w:type="dxa"/>
              <w:bottom w:w="90" w:type="dxa"/>
              <w:right w:w="90" w:type="dxa"/>
            </w:tcMa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Difficult to find comparables with no adjustments; no two properties are exactly the same.</w:t>
            </w:r>
          </w:p>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Difficult to estimate the required adjustments, very subjective depending on buyer or seller’s point of view, very biased.</w:t>
            </w:r>
          </w:p>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Standard estimates (biased downwards) suggested by appraisers to make adjustments.</w:t>
            </w:r>
          </w:p>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 xml:space="preserve">Difficult to quantify or to put a dollar amount on </w:t>
            </w:r>
            <w:r>
              <w:rPr>
                <w:rStyle w:val="Strong"/>
                <w:rFonts w:ascii="Verdana" w:hAnsi="Verdana"/>
                <w:color w:val="393939"/>
                <w:sz w:val="18"/>
                <w:szCs w:val="18"/>
              </w:rPr>
              <w:t>all</w:t>
            </w:r>
            <w:r>
              <w:rPr>
                <w:rFonts w:ascii="Verdana" w:hAnsi="Verdana"/>
                <w:color w:val="393939"/>
                <w:sz w:val="18"/>
                <w:szCs w:val="18"/>
              </w:rPr>
              <w:t xml:space="preserve"> the differences between subject property and comparables.</w:t>
            </w:r>
          </w:p>
        </w:tc>
      </w:tr>
    </w:tbl>
    <w:p w:rsidR="00EC3EAB" w:rsidRDefault="00EC3EAB"/>
    <w:p w:rsidR="00EC3EAB" w:rsidRDefault="00EC3EAB" w:rsidP="00EC3EAB">
      <w:pPr>
        <w:pStyle w:val="Heading3"/>
      </w:pPr>
      <w:r>
        <w:t>How to Apply the Sales Comparable Approach</w:t>
      </w:r>
    </w:p>
    <w:p w:rsidR="00EC3EAB" w:rsidRDefault="00EC3EAB" w:rsidP="00EC3EAB">
      <w:pPr>
        <w:pStyle w:val="NormalWeb"/>
        <w:spacing w:line="288" w:lineRule="auto"/>
        <w:rPr>
          <w:rFonts w:ascii="Verdana" w:hAnsi="Verdana"/>
          <w:color w:val="393939"/>
          <w:sz w:val="18"/>
          <w:szCs w:val="18"/>
        </w:rPr>
      </w:pPr>
    </w:p>
    <w:p w:rsidR="00EC3EAB" w:rsidRPr="00EC3EAB" w:rsidRDefault="00EC3EAB" w:rsidP="00EC3EAB">
      <w:pPr>
        <w:pStyle w:val="NormalWeb"/>
        <w:numPr>
          <w:ilvl w:val="0"/>
          <w:numId w:val="7"/>
        </w:numPr>
        <w:spacing w:line="288" w:lineRule="auto"/>
        <w:rPr>
          <w:rFonts w:ascii="Verdana" w:hAnsi="Verdana"/>
          <w:color w:val="393939"/>
          <w:sz w:val="18"/>
          <w:szCs w:val="18"/>
        </w:rPr>
      </w:pPr>
      <w:r>
        <w:rPr>
          <w:rFonts w:ascii="Verdana" w:hAnsi="Verdana"/>
          <w:color w:val="393939"/>
          <w:sz w:val="18"/>
          <w:szCs w:val="18"/>
        </w:rPr>
        <w:t>Using the selling price of the comparables, the subject property is used to incorporate the difference between the subject property and the comparable, with positive or negative or no adjustments, depending on what is necessary.</w:t>
      </w: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250"/>
        <w:gridCol w:w="6000"/>
      </w:tblGrid>
      <w:tr w:rsidR="00EC3EAB" w:rsidTr="00EC3EAB">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 xml:space="preserve">Selling Price of Comparable </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xml:space="preserve">Selling price of property used as comparable. </w:t>
            </w:r>
          </w:p>
        </w:tc>
      </w:tr>
      <w:tr w:rsidR="00EC3EAB" w:rsidTr="00EC3EAB">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Adjustments</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w:t>
            </w:r>
          </w:p>
        </w:tc>
      </w:tr>
      <w:tr w:rsidR="00EC3EAB" w:rsidTr="00EC3EAB">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Style w:val="Strong"/>
                <w:rFonts w:ascii="Verdana" w:hAnsi="Verdana"/>
                <w:color w:val="9E9E9E"/>
                <w:sz w:val="18"/>
                <w:szCs w:val="18"/>
              </w:rPr>
              <w:lastRenderedPageBreak/>
              <w:t>Time</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Always increases (positive adjustment) the value of real estate because of inflation.</w:t>
            </w:r>
          </w:p>
        </w:tc>
      </w:tr>
      <w:tr w:rsidR="00EC3EAB" w:rsidTr="00EC3EAB">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Style w:val="Strong"/>
                <w:rFonts w:ascii="Verdana" w:hAnsi="Verdana"/>
                <w:color w:val="9E9E9E"/>
                <w:sz w:val="18"/>
                <w:szCs w:val="18"/>
              </w:rPr>
              <w:t>Location</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A corner property gets a positive adjustment and a middle or across gets a negative adjustment.</w:t>
            </w:r>
          </w:p>
        </w:tc>
      </w:tr>
      <w:tr w:rsidR="00EC3EAB" w:rsidTr="00EC3EAB">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Style w:val="Strong"/>
                <w:rFonts w:ascii="Verdana" w:hAnsi="Verdana"/>
                <w:color w:val="9E9E9E"/>
                <w:sz w:val="18"/>
                <w:szCs w:val="18"/>
              </w:rPr>
              <w:t>Size</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More useable space (square feet) get a positive adjustment and vice versa.</w:t>
            </w:r>
          </w:p>
        </w:tc>
      </w:tr>
      <w:tr w:rsidR="00EC3EAB" w:rsidTr="00EC3EAB">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Style w:val="Strong"/>
                <w:rFonts w:ascii="Verdana" w:hAnsi="Verdana"/>
                <w:color w:val="9E9E9E"/>
                <w:sz w:val="18"/>
                <w:szCs w:val="18"/>
              </w:rPr>
              <w:t>Age</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An older property (age) gets a negative adjustment and vice versa.</w:t>
            </w:r>
          </w:p>
        </w:tc>
      </w:tr>
      <w:tr w:rsidR="00EC3EAB" w:rsidTr="00EC3EAB">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Style w:val="Strong"/>
                <w:rFonts w:ascii="Verdana" w:hAnsi="Verdana"/>
                <w:color w:val="9E9E9E"/>
                <w:sz w:val="18"/>
                <w:szCs w:val="18"/>
              </w:rPr>
              <w:t>Garage</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Garages (two, one or no garage) get a positive adjustment, and more garages get a more positive adjustment and vice versa.</w:t>
            </w:r>
          </w:p>
        </w:tc>
      </w:tr>
      <w:tr w:rsidR="00EC3EAB" w:rsidTr="00EC3EAB">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Style w:val="Strong"/>
                <w:rFonts w:ascii="Verdana" w:hAnsi="Verdana"/>
                <w:color w:val="9E9E9E"/>
                <w:sz w:val="18"/>
                <w:szCs w:val="18"/>
              </w:rPr>
              <w:t>Financing</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Financing gets a positive or negative adjustment or is ignored if conventional mortgage is used.</w:t>
            </w:r>
          </w:p>
        </w:tc>
      </w:tr>
      <w:tr w:rsidR="00EC3EAB" w:rsidTr="00EC3EAB">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Style w:val="Strong"/>
                <w:rFonts w:ascii="Verdana" w:hAnsi="Verdana"/>
                <w:color w:val="9E9E9E"/>
                <w:sz w:val="18"/>
                <w:szCs w:val="18"/>
              </w:rPr>
              <w:t>Others</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Others (such as swimming pool, sauna, etc.) may get a positive or negative adjustment or they may be ignored depending on neighbourhoods.</w:t>
            </w:r>
          </w:p>
        </w:tc>
      </w:tr>
      <w:tr w:rsidR="00EC3EAB" w:rsidTr="00EC3EAB">
        <w:trPr>
          <w:jc w:val="center"/>
        </w:trPr>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 xml:space="preserve">Estimated Selling Price of Subject Property </w:t>
            </w:r>
          </w:p>
        </w:tc>
        <w:tc>
          <w:tcPr>
            <w:tcW w:w="6000" w:type="dxa"/>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The selling price of the comparable plus the above adjustments (positive, negative or not applicable) is the estimated price of the subject property. Compare this estimate with the asking price and decide or negotiate.</w:t>
            </w:r>
          </w:p>
        </w:tc>
      </w:tr>
    </w:tbl>
    <w:p w:rsidR="00EC3EAB" w:rsidRDefault="00EC3EAB"/>
    <w:p w:rsidR="00EC3EAB" w:rsidRPr="00EC3EAB" w:rsidRDefault="00EC3EAB" w:rsidP="00EC3EAB">
      <w:pPr>
        <w:spacing w:before="75" w:after="75" w:line="240" w:lineRule="auto"/>
        <w:outlineLvl w:val="2"/>
        <w:rPr>
          <w:rFonts w:ascii="Verdana" w:eastAsia="Times New Roman" w:hAnsi="Verdana" w:cs="Times New Roman"/>
          <w:b/>
          <w:bCs/>
          <w:color w:val="958616"/>
          <w:sz w:val="24"/>
          <w:szCs w:val="24"/>
        </w:rPr>
      </w:pPr>
      <w:r w:rsidRPr="00EC3EAB">
        <w:rPr>
          <w:rFonts w:ascii="Verdana" w:eastAsia="Times New Roman" w:hAnsi="Verdana" w:cs="Times New Roman"/>
          <w:b/>
          <w:bCs/>
          <w:color w:val="958616"/>
          <w:sz w:val="24"/>
          <w:szCs w:val="24"/>
        </w:rPr>
        <w:t>Sales Comparable Approach - Example</w:t>
      </w:r>
    </w:p>
    <w:p w:rsidR="00EC3EAB" w:rsidRPr="00EC3EAB" w:rsidRDefault="00EC3EAB" w:rsidP="00EC3EAB">
      <w:pPr>
        <w:spacing w:after="0" w:line="240" w:lineRule="auto"/>
        <w:rPr>
          <w:rFonts w:ascii="Verdana" w:eastAsia="Times New Roman" w:hAnsi="Verdana" w:cs="Times New Roman"/>
          <w:color w:val="393939"/>
          <w:sz w:val="18"/>
          <w:szCs w:val="18"/>
        </w:rPr>
      </w:pPr>
    </w:p>
    <w:p w:rsidR="00EC3EAB" w:rsidRPr="00EC3EAB" w:rsidRDefault="00EC3EAB" w:rsidP="00EC3EAB">
      <w:pPr>
        <w:spacing w:before="75" w:after="75" w:line="240" w:lineRule="auto"/>
        <w:outlineLvl w:val="3"/>
        <w:rPr>
          <w:rFonts w:ascii="Verdana" w:eastAsia="Times New Roman" w:hAnsi="Verdana" w:cs="Times New Roman"/>
          <w:b/>
          <w:bCs/>
          <w:color w:val="000000"/>
          <w:sz w:val="20"/>
          <w:szCs w:val="20"/>
        </w:rPr>
      </w:pPr>
      <w:r w:rsidRPr="00EC3EAB">
        <w:rPr>
          <w:rFonts w:ascii="Verdana" w:eastAsia="Times New Roman" w:hAnsi="Verdana" w:cs="Times New Roman"/>
          <w:b/>
          <w:bCs/>
          <w:color w:val="000000"/>
          <w:sz w:val="20"/>
          <w:szCs w:val="20"/>
        </w:rPr>
        <w:t xml:space="preserve">Example 3 </w:t>
      </w:r>
    </w:p>
    <w:p w:rsidR="00EC3EAB" w:rsidRPr="00EC3EAB" w:rsidRDefault="00EC3EAB" w:rsidP="00EC3EAB">
      <w:pPr>
        <w:spacing w:before="75" w:after="75" w:line="288"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A potential buyer offers you $450,000 for your property today and you have the following information to evaluate the offer.</w:t>
      </w:r>
    </w:p>
    <w:p w:rsidR="00EC3EAB" w:rsidRPr="00EC3EAB" w:rsidRDefault="00EC3EAB" w:rsidP="00EC3EAB">
      <w:pPr>
        <w:numPr>
          <w:ilvl w:val="0"/>
          <w:numId w:val="8"/>
        </w:numPr>
        <w:spacing w:before="120" w:after="0" w:line="240" w:lineRule="auto"/>
        <w:ind w:left="300"/>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xml:space="preserve">Housing prices are increasing at 2.60% per annum </w:t>
      </w:r>
    </w:p>
    <w:p w:rsidR="00EC3EAB" w:rsidRPr="00EC3EAB" w:rsidRDefault="00EC3EAB" w:rsidP="00EC3EAB">
      <w:pPr>
        <w:numPr>
          <w:ilvl w:val="0"/>
          <w:numId w:val="8"/>
        </w:numPr>
        <w:spacing w:before="120" w:after="0" w:line="240" w:lineRule="auto"/>
        <w:ind w:left="300"/>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$56 per square foot</w:t>
      </w:r>
    </w:p>
    <w:p w:rsidR="00EC3EAB" w:rsidRPr="00EC3EAB" w:rsidRDefault="00EC3EAB" w:rsidP="00EC3EAB">
      <w:pPr>
        <w:numPr>
          <w:ilvl w:val="0"/>
          <w:numId w:val="8"/>
        </w:numPr>
        <w:spacing w:before="120" w:after="0" w:line="240" w:lineRule="auto"/>
        <w:ind w:left="300"/>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$22,000 per year reduction for age</w:t>
      </w:r>
    </w:p>
    <w:p w:rsidR="00EC3EAB" w:rsidRPr="00EC3EAB" w:rsidRDefault="00EC3EAB" w:rsidP="00EC3EAB">
      <w:pPr>
        <w:numPr>
          <w:ilvl w:val="0"/>
          <w:numId w:val="8"/>
        </w:numPr>
        <w:spacing w:before="120" w:after="0" w:line="240" w:lineRule="auto"/>
        <w:ind w:left="300"/>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Two-car garage valued at $42,000 compared to $25,000 for a one-car garage</w:t>
      </w:r>
    </w:p>
    <w:p w:rsidR="00EC3EAB" w:rsidRPr="00EC3EAB" w:rsidRDefault="00EC3EAB" w:rsidP="00EC3EAB">
      <w:pPr>
        <w:numPr>
          <w:ilvl w:val="0"/>
          <w:numId w:val="8"/>
        </w:numPr>
        <w:spacing w:before="120" w:after="0" w:line="240" w:lineRule="auto"/>
        <w:ind w:left="300"/>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Corner property warrants a 15 percent premium</w:t>
      </w:r>
    </w:p>
    <w:p w:rsidR="00EC3EAB" w:rsidRPr="00EC3EAB" w:rsidRDefault="00EC3EAB" w:rsidP="00EC3EAB">
      <w:pPr>
        <w:numPr>
          <w:ilvl w:val="0"/>
          <w:numId w:val="8"/>
        </w:numPr>
        <w:spacing w:before="120" w:after="0" w:line="240" w:lineRule="auto"/>
        <w:ind w:left="300"/>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xml:space="preserve">Swimming pool worth approximately $30,000 considered a </w:t>
      </w:r>
      <w:r w:rsidRPr="00EC3EAB">
        <w:rPr>
          <w:rFonts w:ascii="Verdana" w:eastAsia="Times New Roman" w:hAnsi="Verdana" w:cs="Times New Roman"/>
          <w:b/>
          <w:bCs/>
          <w:color w:val="393939"/>
          <w:sz w:val="18"/>
          <w:szCs w:val="18"/>
        </w:rPr>
        <w:t>good</w:t>
      </w:r>
      <w:r w:rsidRPr="00EC3EAB">
        <w:rPr>
          <w:rFonts w:ascii="Verdana" w:eastAsia="Times New Roman" w:hAnsi="Verdana" w:cs="Times New Roman"/>
          <w:color w:val="393939"/>
          <w:sz w:val="18"/>
          <w:szCs w:val="18"/>
        </w:rPr>
        <w:t xml:space="preserve"> selling point in your neighbourhood</w:t>
      </w:r>
    </w:p>
    <w:p w:rsidR="00EC3EAB" w:rsidRPr="00EC3EAB" w:rsidRDefault="00EC3EAB" w:rsidP="00EC3EAB">
      <w:pPr>
        <w:spacing w:before="75" w:after="75" w:line="288" w:lineRule="auto"/>
        <w:rPr>
          <w:rFonts w:ascii="Verdana" w:eastAsia="Times New Roman" w:hAnsi="Verdana" w:cs="Times New Roman"/>
          <w:color w:val="393939"/>
          <w:sz w:val="18"/>
          <w:szCs w:val="18"/>
        </w:rPr>
      </w:pPr>
      <w:r w:rsidRPr="00EC3EAB">
        <w:rPr>
          <w:rFonts w:ascii="Verdana" w:eastAsia="Times New Roman" w:hAnsi="Verdana" w:cs="Times New Roman"/>
          <w:b/>
          <w:bCs/>
          <w:color w:val="393939"/>
          <w:sz w:val="18"/>
          <w:szCs w:val="18"/>
        </w:rPr>
        <w:t>What is the estimated value of the subject property based on the comparable approach?</w:t>
      </w:r>
    </w:p>
    <w:p w:rsidR="00EC3EAB" w:rsidRPr="00EC3EAB" w:rsidRDefault="00EC3EAB" w:rsidP="00EC3EAB">
      <w:pPr>
        <w:spacing w:before="75" w:after="75" w:line="288" w:lineRule="auto"/>
        <w:rPr>
          <w:rFonts w:ascii="Verdana" w:eastAsia="Times New Roman" w:hAnsi="Verdana" w:cs="Times New Roman"/>
          <w:color w:val="393939"/>
          <w:sz w:val="18"/>
          <w:szCs w:val="18"/>
        </w:rPr>
      </w:pPr>
    </w:p>
    <w:p w:rsidR="00EC3EAB" w:rsidRPr="00EC3EAB" w:rsidRDefault="00EC3EAB" w:rsidP="00EC3EAB">
      <w:pPr>
        <w:spacing w:before="75" w:after="75" w:line="240" w:lineRule="auto"/>
        <w:jc w:val="center"/>
        <w:outlineLvl w:val="1"/>
        <w:rPr>
          <w:rFonts w:ascii="Verdana" w:eastAsia="Times New Roman" w:hAnsi="Verdana" w:cs="Times New Roman"/>
          <w:b/>
          <w:bCs/>
          <w:color w:val="000000"/>
          <w:sz w:val="24"/>
          <w:szCs w:val="24"/>
        </w:rPr>
      </w:pPr>
      <w:r w:rsidRPr="00EC3EAB">
        <w:rPr>
          <w:rFonts w:ascii="Verdana" w:eastAsia="Times New Roman" w:hAnsi="Verdana" w:cs="Times New Roman"/>
          <w:b/>
          <w:bCs/>
          <w:color w:val="000000"/>
          <w:sz w:val="24"/>
          <w:szCs w:val="24"/>
        </w:rPr>
        <w:t>Solution</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779"/>
        <w:gridCol w:w="1704"/>
        <w:gridCol w:w="1640"/>
        <w:gridCol w:w="2393"/>
        <w:gridCol w:w="1114"/>
      </w:tblGrid>
      <w:tr w:rsidR="00EC3EAB" w:rsidRPr="00EC3EAB" w:rsidTr="00EC3EAB">
        <w:tc>
          <w:tcPr>
            <w:tcW w:w="1815" w:type="dxa"/>
            <w:tcBorders>
              <w:bottom w:val="single" w:sz="6" w:space="0" w:color="C0C0C0"/>
            </w:tcBorders>
            <w:shd w:val="clear" w:color="auto" w:fill="202020"/>
            <w:tcMar>
              <w:top w:w="90" w:type="dxa"/>
              <w:left w:w="180" w:type="dxa"/>
              <w:bottom w:w="90" w:type="dxa"/>
              <w:right w:w="90" w:type="dxa"/>
            </w:tcMar>
            <w:vAlign w:val="center"/>
            <w:hideMark/>
          </w:tcPr>
          <w:p w:rsidR="00EC3EAB" w:rsidRPr="00EC3EAB" w:rsidRDefault="00EC3EAB" w:rsidP="00EC3EAB">
            <w:pPr>
              <w:spacing w:before="75" w:after="75" w:line="240" w:lineRule="auto"/>
              <w:jc w:val="center"/>
              <w:rPr>
                <w:rFonts w:ascii="Verdana" w:eastAsia="Times New Roman" w:hAnsi="Verdana" w:cs="Times New Roman"/>
                <w:b/>
                <w:bCs/>
                <w:color w:val="9E9E9E"/>
                <w:sz w:val="18"/>
                <w:szCs w:val="18"/>
              </w:rPr>
            </w:pPr>
            <w:r w:rsidRPr="00EC3EAB">
              <w:rPr>
                <w:rFonts w:ascii="Verdana" w:eastAsia="Times New Roman" w:hAnsi="Verdana" w:cs="Times New Roman"/>
                <w:b/>
                <w:bCs/>
                <w:color w:val="9E9E9E"/>
                <w:sz w:val="18"/>
                <w:szCs w:val="18"/>
              </w:rPr>
              <w:t> </w:t>
            </w:r>
          </w:p>
        </w:tc>
        <w:tc>
          <w:tcPr>
            <w:tcW w:w="2025" w:type="dxa"/>
            <w:tcBorders>
              <w:bottom w:val="single" w:sz="6" w:space="0" w:color="C0C0C0"/>
            </w:tcBorders>
            <w:shd w:val="clear" w:color="auto" w:fill="202020"/>
            <w:tcMar>
              <w:top w:w="90" w:type="dxa"/>
              <w:left w:w="180" w:type="dxa"/>
              <w:bottom w:w="90" w:type="dxa"/>
              <w:right w:w="90" w:type="dxa"/>
            </w:tcMar>
            <w:vAlign w:val="center"/>
            <w:hideMark/>
          </w:tcPr>
          <w:p w:rsidR="00EC3EAB" w:rsidRPr="00EC3EAB" w:rsidRDefault="00EC3EAB" w:rsidP="00EC3EAB">
            <w:pPr>
              <w:spacing w:before="75" w:after="75" w:line="240" w:lineRule="auto"/>
              <w:jc w:val="center"/>
              <w:rPr>
                <w:rFonts w:ascii="Verdana" w:eastAsia="Times New Roman" w:hAnsi="Verdana" w:cs="Times New Roman"/>
                <w:b/>
                <w:bCs/>
                <w:color w:val="9E9E9E"/>
                <w:sz w:val="18"/>
                <w:szCs w:val="18"/>
              </w:rPr>
            </w:pPr>
            <w:r w:rsidRPr="00EC3EAB">
              <w:rPr>
                <w:rFonts w:ascii="Verdana" w:eastAsia="Times New Roman" w:hAnsi="Verdana" w:cs="Times New Roman"/>
                <w:b/>
                <w:bCs/>
                <w:color w:val="9E9E9E"/>
                <w:sz w:val="18"/>
                <w:szCs w:val="18"/>
              </w:rPr>
              <w:t>Comparable</w:t>
            </w:r>
          </w:p>
        </w:tc>
        <w:tc>
          <w:tcPr>
            <w:tcW w:w="2040" w:type="dxa"/>
            <w:tcBorders>
              <w:bottom w:val="single" w:sz="6" w:space="0" w:color="C0C0C0"/>
            </w:tcBorders>
            <w:shd w:val="clear" w:color="auto" w:fill="202020"/>
            <w:tcMar>
              <w:top w:w="90" w:type="dxa"/>
              <w:left w:w="180" w:type="dxa"/>
              <w:bottom w:w="90" w:type="dxa"/>
              <w:right w:w="90" w:type="dxa"/>
            </w:tcMar>
            <w:vAlign w:val="center"/>
            <w:hideMark/>
          </w:tcPr>
          <w:p w:rsidR="00EC3EAB" w:rsidRPr="00EC3EAB" w:rsidRDefault="00EC3EAB" w:rsidP="00EC3EAB">
            <w:pPr>
              <w:spacing w:before="75" w:after="75" w:line="240" w:lineRule="auto"/>
              <w:jc w:val="center"/>
              <w:rPr>
                <w:rFonts w:ascii="Verdana" w:eastAsia="Times New Roman" w:hAnsi="Verdana" w:cs="Times New Roman"/>
                <w:b/>
                <w:bCs/>
                <w:color w:val="9E9E9E"/>
                <w:sz w:val="18"/>
                <w:szCs w:val="18"/>
              </w:rPr>
            </w:pPr>
            <w:r w:rsidRPr="00EC3EAB">
              <w:rPr>
                <w:rFonts w:ascii="Verdana" w:eastAsia="Times New Roman" w:hAnsi="Verdana" w:cs="Times New Roman"/>
                <w:b/>
                <w:bCs/>
                <w:color w:val="9E9E9E"/>
                <w:sz w:val="18"/>
                <w:szCs w:val="18"/>
              </w:rPr>
              <w:t>Subject Property</w:t>
            </w:r>
          </w:p>
        </w:tc>
        <w:tc>
          <w:tcPr>
            <w:tcW w:w="3585" w:type="dxa"/>
            <w:tcBorders>
              <w:bottom w:val="single" w:sz="6" w:space="0" w:color="C0C0C0"/>
            </w:tcBorders>
            <w:shd w:val="clear" w:color="auto" w:fill="202020"/>
            <w:tcMar>
              <w:top w:w="90" w:type="dxa"/>
              <w:left w:w="180" w:type="dxa"/>
              <w:bottom w:w="90" w:type="dxa"/>
              <w:right w:w="90" w:type="dxa"/>
            </w:tcMar>
            <w:vAlign w:val="center"/>
            <w:hideMark/>
          </w:tcPr>
          <w:p w:rsidR="00EC3EAB" w:rsidRPr="00EC3EAB" w:rsidRDefault="00EC3EAB" w:rsidP="00EC3EAB">
            <w:pPr>
              <w:spacing w:before="75" w:after="75" w:line="240" w:lineRule="auto"/>
              <w:jc w:val="center"/>
              <w:rPr>
                <w:rFonts w:ascii="Verdana" w:eastAsia="Times New Roman" w:hAnsi="Verdana" w:cs="Times New Roman"/>
                <w:b/>
                <w:bCs/>
                <w:color w:val="9E9E9E"/>
                <w:sz w:val="18"/>
                <w:szCs w:val="18"/>
              </w:rPr>
            </w:pPr>
            <w:r w:rsidRPr="00EC3EAB">
              <w:rPr>
                <w:rFonts w:ascii="Verdana" w:eastAsia="Times New Roman" w:hAnsi="Verdana" w:cs="Times New Roman"/>
                <w:b/>
                <w:bCs/>
                <w:color w:val="9E9E9E"/>
                <w:sz w:val="18"/>
                <w:szCs w:val="18"/>
              </w:rPr>
              <w:t>Adjustments</w:t>
            </w:r>
          </w:p>
        </w:tc>
        <w:tc>
          <w:tcPr>
            <w:tcW w:w="1140" w:type="dxa"/>
            <w:tcBorders>
              <w:bottom w:val="single" w:sz="6" w:space="0" w:color="C0C0C0"/>
            </w:tcBorders>
            <w:shd w:val="clear" w:color="auto" w:fill="202020"/>
            <w:tcMar>
              <w:top w:w="90" w:type="dxa"/>
              <w:left w:w="180" w:type="dxa"/>
              <w:bottom w:w="90" w:type="dxa"/>
              <w:right w:w="90" w:type="dxa"/>
            </w:tcMar>
            <w:vAlign w:val="center"/>
            <w:hideMark/>
          </w:tcPr>
          <w:p w:rsidR="00EC3EAB" w:rsidRPr="00EC3EAB" w:rsidRDefault="00EC3EAB" w:rsidP="00EC3EAB">
            <w:pPr>
              <w:spacing w:before="75" w:after="75" w:line="240" w:lineRule="auto"/>
              <w:jc w:val="center"/>
              <w:rPr>
                <w:rFonts w:ascii="Verdana" w:eastAsia="Times New Roman" w:hAnsi="Verdana" w:cs="Times New Roman"/>
                <w:b/>
                <w:bCs/>
                <w:color w:val="9E9E9E"/>
                <w:sz w:val="18"/>
                <w:szCs w:val="18"/>
              </w:rPr>
            </w:pPr>
            <w:r w:rsidRPr="00EC3EAB">
              <w:rPr>
                <w:rFonts w:ascii="Verdana" w:eastAsia="Times New Roman" w:hAnsi="Verdana" w:cs="Times New Roman"/>
                <w:b/>
                <w:bCs/>
                <w:color w:val="9E9E9E"/>
                <w:sz w:val="18"/>
                <w:szCs w:val="18"/>
              </w:rPr>
              <w:t>Result</w:t>
            </w:r>
          </w:p>
        </w:tc>
      </w:tr>
      <w:tr w:rsidR="00EC3EAB" w:rsidRP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b/>
                <w:bCs/>
                <w:color w:val="9E9E9E"/>
                <w:sz w:val="18"/>
                <w:szCs w:val="18"/>
              </w:rPr>
            </w:pPr>
            <w:r w:rsidRPr="00EC3EAB">
              <w:rPr>
                <w:rFonts w:ascii="Verdana" w:eastAsia="Times New Roman" w:hAnsi="Verdana" w:cs="Times New Roman"/>
                <w:b/>
                <w:bCs/>
                <w:color w:val="9E9E9E"/>
                <w:sz w:val="18"/>
                <w:szCs w:val="18"/>
              </w:rPr>
              <w:t xml:space="preserve">Selling Price of Comparable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$800,000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i/>
                <w:iCs/>
                <w:color w:val="393939"/>
                <w:sz w:val="18"/>
                <w:szCs w:val="18"/>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Pr="00EC3EAB" w:rsidRDefault="00EC3EAB" w:rsidP="00EC3EAB">
            <w:pPr>
              <w:spacing w:before="75" w:after="75" w:line="240" w:lineRule="auto"/>
              <w:jc w:val="center"/>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$800,000</w:t>
            </w:r>
          </w:p>
        </w:tc>
      </w:tr>
      <w:tr w:rsidR="00EC3EAB" w:rsidRP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b/>
                <w:bCs/>
                <w:color w:val="9E9E9E"/>
                <w:sz w:val="18"/>
                <w:szCs w:val="18"/>
              </w:rPr>
            </w:pPr>
            <w:r w:rsidRPr="00EC3EAB">
              <w:rPr>
                <w:rFonts w:ascii="Verdana" w:eastAsia="Times New Roman" w:hAnsi="Verdana" w:cs="Times New Roman"/>
                <w:b/>
                <w:bCs/>
                <w:color w:val="9E9E9E"/>
                <w:sz w:val="18"/>
                <w:szCs w:val="18"/>
              </w:rPr>
              <w:t>Time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xml:space="preserve">Three months ago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i/>
                <w:iCs/>
                <w:color w:val="393939"/>
                <w:sz w:val="18"/>
                <w:szCs w:val="18"/>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3/12 × 2.60% × 800,000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Pr="00EC3EAB" w:rsidRDefault="00EC3EAB" w:rsidP="00EC3EAB">
            <w:pPr>
              <w:spacing w:before="75" w:after="75" w:line="240" w:lineRule="auto"/>
              <w:jc w:val="center"/>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5,200</w:t>
            </w:r>
          </w:p>
        </w:tc>
      </w:tr>
      <w:tr w:rsidR="00EC3EAB" w:rsidRP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b/>
                <w:bCs/>
                <w:color w:val="9E9E9E"/>
                <w:sz w:val="18"/>
                <w:szCs w:val="18"/>
              </w:rPr>
            </w:pPr>
            <w:r w:rsidRPr="00EC3EAB">
              <w:rPr>
                <w:rFonts w:ascii="Verdana" w:eastAsia="Times New Roman" w:hAnsi="Verdana" w:cs="Times New Roman"/>
                <w:b/>
                <w:bCs/>
                <w:color w:val="9E9E9E"/>
                <w:sz w:val="18"/>
                <w:szCs w:val="18"/>
              </w:rPr>
              <w:t>Location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Corner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Middle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15% × 800,000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Pr="00EC3EAB" w:rsidRDefault="00EC3EAB" w:rsidP="00EC3EAB">
            <w:pPr>
              <w:spacing w:before="75" w:after="75" w:line="240" w:lineRule="auto"/>
              <w:jc w:val="center"/>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(120,000)</w:t>
            </w:r>
          </w:p>
        </w:tc>
      </w:tr>
      <w:tr w:rsidR="00EC3EAB" w:rsidRP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b/>
                <w:bCs/>
                <w:color w:val="9E9E9E"/>
                <w:sz w:val="18"/>
                <w:szCs w:val="18"/>
              </w:rPr>
            </w:pPr>
            <w:r w:rsidRPr="00EC3EAB">
              <w:rPr>
                <w:rFonts w:ascii="Verdana" w:eastAsia="Times New Roman" w:hAnsi="Verdana" w:cs="Times New Roman"/>
                <w:b/>
                <w:bCs/>
                <w:color w:val="9E9E9E"/>
                <w:sz w:val="18"/>
                <w:szCs w:val="18"/>
              </w:rPr>
              <w:t>Size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16,600 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xml:space="preserve">14,200 sqft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2,400 square feet less:</w:t>
            </w:r>
            <w:r w:rsidRPr="00EC3EAB">
              <w:rPr>
                <w:rFonts w:ascii="Verdana" w:eastAsia="Times New Roman" w:hAnsi="Verdana" w:cs="Times New Roman"/>
                <w:color w:val="393939"/>
                <w:sz w:val="18"/>
                <w:szCs w:val="18"/>
              </w:rPr>
              <w:br/>
              <w:t>2,400 × 56</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Pr="00EC3EAB" w:rsidRDefault="00EC3EAB" w:rsidP="00EC3EAB">
            <w:pPr>
              <w:spacing w:before="75" w:after="75" w:line="240" w:lineRule="auto"/>
              <w:jc w:val="center"/>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(134,400)</w:t>
            </w:r>
          </w:p>
        </w:tc>
      </w:tr>
      <w:tr w:rsidR="00EC3EAB" w:rsidRP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b/>
                <w:bCs/>
                <w:color w:val="9E9E9E"/>
                <w:sz w:val="18"/>
                <w:szCs w:val="18"/>
              </w:rPr>
            </w:pPr>
            <w:r w:rsidRPr="00EC3EAB">
              <w:rPr>
                <w:rFonts w:ascii="Verdana" w:eastAsia="Times New Roman" w:hAnsi="Verdana" w:cs="Times New Roman"/>
                <w:b/>
                <w:bCs/>
                <w:color w:val="9E9E9E"/>
                <w:sz w:val="18"/>
                <w:szCs w:val="18"/>
              </w:rPr>
              <w:t>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xml:space="preserve">13 years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xml:space="preserve">20 years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xml:space="preserve">7 years older: </w:t>
            </w:r>
            <w:r w:rsidRPr="00EC3EAB">
              <w:rPr>
                <w:rFonts w:ascii="Verdana" w:eastAsia="Times New Roman" w:hAnsi="Verdana" w:cs="Times New Roman"/>
                <w:color w:val="393939"/>
                <w:sz w:val="18"/>
                <w:szCs w:val="18"/>
              </w:rPr>
              <w:br/>
              <w:t>7 × 22,000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Pr="00EC3EAB" w:rsidRDefault="00EC3EAB" w:rsidP="00EC3EAB">
            <w:pPr>
              <w:spacing w:before="75" w:after="75" w:line="240" w:lineRule="auto"/>
              <w:jc w:val="center"/>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(154,000)</w:t>
            </w:r>
          </w:p>
        </w:tc>
      </w:tr>
      <w:tr w:rsidR="00EC3EAB" w:rsidRP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b/>
                <w:bCs/>
                <w:color w:val="9E9E9E"/>
                <w:sz w:val="18"/>
                <w:szCs w:val="18"/>
              </w:rPr>
            </w:pPr>
            <w:r w:rsidRPr="00EC3EAB">
              <w:rPr>
                <w:rFonts w:ascii="Verdana" w:eastAsia="Times New Roman" w:hAnsi="Verdana" w:cs="Times New Roman"/>
                <w:b/>
                <w:bCs/>
                <w:color w:val="9E9E9E"/>
                <w:sz w:val="18"/>
                <w:szCs w:val="18"/>
              </w:rPr>
              <w:t>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Two-car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One-car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xml:space="preserve">42,000 minus 25,000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Pr="00EC3EAB" w:rsidRDefault="00EC3EAB" w:rsidP="00EC3EAB">
            <w:pPr>
              <w:spacing w:before="75" w:after="75" w:line="240" w:lineRule="auto"/>
              <w:jc w:val="center"/>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(17,000)</w:t>
            </w:r>
          </w:p>
        </w:tc>
      </w:tr>
      <w:tr w:rsidR="00EC3EAB" w:rsidRP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b/>
                <w:bCs/>
                <w:color w:val="9E9E9E"/>
                <w:sz w:val="18"/>
                <w:szCs w:val="18"/>
              </w:rPr>
            </w:pPr>
            <w:r w:rsidRPr="00EC3EAB">
              <w:rPr>
                <w:rFonts w:ascii="Verdana" w:eastAsia="Times New Roman" w:hAnsi="Verdana" w:cs="Times New Roman"/>
                <w:b/>
                <w:bCs/>
                <w:color w:val="9E9E9E"/>
                <w:sz w:val="18"/>
                <w:szCs w:val="18"/>
              </w:rPr>
              <w:t>Financing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Pr="00EC3EAB" w:rsidRDefault="00EC3EAB" w:rsidP="00EC3EAB">
            <w:pPr>
              <w:spacing w:before="75" w:after="75" w:line="240" w:lineRule="auto"/>
              <w:rPr>
                <w:rFonts w:ascii="Verdana" w:eastAsia="Times New Roman" w:hAnsi="Verdana" w:cs="Times New Roman"/>
                <w:color w:val="393939"/>
                <w:sz w:val="18"/>
                <w:szCs w:val="18"/>
              </w:rPr>
            </w:pPr>
          </w:p>
        </w:tc>
      </w:tr>
      <w:tr w:rsidR="00EC3EAB" w:rsidRP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Pr="00EC3EAB" w:rsidRDefault="00EC3EAB" w:rsidP="00EC3EAB">
            <w:pPr>
              <w:spacing w:before="75" w:after="75" w:line="240" w:lineRule="auto"/>
              <w:rPr>
                <w:rFonts w:ascii="Verdana" w:eastAsia="Times New Roman" w:hAnsi="Verdana" w:cs="Times New Roman"/>
                <w:b/>
                <w:bCs/>
                <w:color w:val="9E9E9E"/>
                <w:sz w:val="18"/>
                <w:szCs w:val="18"/>
              </w:rPr>
            </w:pPr>
            <w:r w:rsidRPr="00EC3EAB">
              <w:rPr>
                <w:rFonts w:ascii="Verdana" w:eastAsia="Times New Roman" w:hAnsi="Verdana" w:cs="Times New Roman"/>
                <w:b/>
                <w:bCs/>
                <w:color w:val="9E9E9E"/>
                <w:sz w:val="18"/>
                <w:szCs w:val="18"/>
              </w:rPr>
              <w:t>Others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before="75" w:after="75" w:line="288"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No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after="0"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xml:space="preserve">Swimming pool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after="0"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Pr="00EC3EAB" w:rsidRDefault="00EC3EAB" w:rsidP="00EC3EAB">
            <w:pPr>
              <w:spacing w:after="0" w:line="240" w:lineRule="auto"/>
              <w:jc w:val="center"/>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30,000</w:t>
            </w:r>
          </w:p>
        </w:tc>
      </w:tr>
      <w:tr w:rsidR="00EC3EAB" w:rsidRPr="00EC3EAB" w:rsidTr="00EC3EAB">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Pr="00EC3EAB" w:rsidRDefault="00EC3EAB" w:rsidP="00EC3EAB">
            <w:pPr>
              <w:spacing w:after="0" w:line="240" w:lineRule="auto"/>
              <w:rPr>
                <w:rFonts w:ascii="Verdana" w:eastAsia="Times New Roman" w:hAnsi="Verdana" w:cs="Times New Roman"/>
                <w:b/>
                <w:bCs/>
                <w:color w:val="9E9E9E"/>
                <w:sz w:val="18"/>
                <w:szCs w:val="18"/>
              </w:rPr>
            </w:pPr>
            <w:r w:rsidRPr="00EC3EAB">
              <w:rPr>
                <w:rFonts w:ascii="Verdana" w:eastAsia="Times New Roman" w:hAnsi="Verdana" w:cs="Times New Roman"/>
                <w:b/>
                <w:bCs/>
                <w:color w:val="9E9E9E"/>
                <w:sz w:val="18"/>
                <w:szCs w:val="18"/>
              </w:rPr>
              <w:t xml:space="preserve">Estimated Selling Price of Subject Property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after="0"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after="0"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Pr="00EC3EAB" w:rsidRDefault="00EC3EAB" w:rsidP="00EC3EAB">
            <w:pPr>
              <w:spacing w:after="0" w:line="240"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Pr="00EC3EAB" w:rsidRDefault="00EC3EAB" w:rsidP="00EC3EAB">
            <w:pPr>
              <w:spacing w:after="0" w:line="240" w:lineRule="auto"/>
              <w:jc w:val="center"/>
              <w:rPr>
                <w:rFonts w:ascii="Verdana" w:eastAsia="Times New Roman" w:hAnsi="Verdana" w:cs="Times New Roman"/>
                <w:color w:val="393939"/>
                <w:sz w:val="18"/>
                <w:szCs w:val="18"/>
              </w:rPr>
            </w:pPr>
            <w:r w:rsidRPr="00EC3EAB">
              <w:rPr>
                <w:rFonts w:ascii="Verdana" w:eastAsia="Times New Roman" w:hAnsi="Verdana" w:cs="Times New Roman"/>
                <w:b/>
                <w:bCs/>
                <w:color w:val="393939"/>
                <w:sz w:val="18"/>
                <w:szCs w:val="18"/>
              </w:rPr>
              <w:t>409,800</w:t>
            </w:r>
          </w:p>
        </w:tc>
      </w:tr>
    </w:tbl>
    <w:p w:rsidR="00EC3EAB" w:rsidRPr="00EC3EAB" w:rsidRDefault="00EC3EAB" w:rsidP="00EC3EAB">
      <w:pPr>
        <w:spacing w:before="75" w:after="75" w:line="288"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w:t>
      </w:r>
    </w:p>
    <w:p w:rsidR="00EC3EAB" w:rsidRPr="00EC3EAB" w:rsidRDefault="00EC3EAB" w:rsidP="00EC3EAB">
      <w:pPr>
        <w:spacing w:before="75" w:after="75" w:line="288" w:lineRule="auto"/>
        <w:rPr>
          <w:rFonts w:ascii="Verdana" w:eastAsia="Times New Roman" w:hAnsi="Verdana" w:cs="Times New Roman"/>
          <w:color w:val="393939"/>
          <w:sz w:val="18"/>
          <w:szCs w:val="18"/>
        </w:rPr>
      </w:pPr>
      <w:r w:rsidRPr="00EC3EAB">
        <w:rPr>
          <w:rFonts w:ascii="Verdana" w:eastAsia="Times New Roman" w:hAnsi="Verdana" w:cs="Times New Roman"/>
          <w:color w:val="393939"/>
          <w:sz w:val="18"/>
          <w:szCs w:val="18"/>
        </w:rPr>
        <w:t xml:space="preserve">Should </w:t>
      </w:r>
      <w:r w:rsidRPr="00EC3EAB">
        <w:rPr>
          <w:rFonts w:ascii="Verdana" w:eastAsia="Times New Roman" w:hAnsi="Verdana" w:cs="Times New Roman"/>
          <w:b/>
          <w:bCs/>
          <w:color w:val="393939"/>
          <w:sz w:val="18"/>
          <w:szCs w:val="18"/>
        </w:rPr>
        <w:t xml:space="preserve">you </w:t>
      </w:r>
      <w:r w:rsidRPr="00EC3EAB">
        <w:rPr>
          <w:rFonts w:ascii="Verdana" w:eastAsia="Times New Roman" w:hAnsi="Verdana" w:cs="Times New Roman"/>
          <w:color w:val="393939"/>
          <w:sz w:val="18"/>
          <w:szCs w:val="18"/>
        </w:rPr>
        <w:t>accept the offer? Yes, because the offer ($450,000) is greater than the estimated value ($409,800).</w:t>
      </w:r>
    </w:p>
    <w:p w:rsidR="00EC3EAB" w:rsidRDefault="00EC3EAB"/>
    <w:p w:rsidR="00EC3EAB" w:rsidRDefault="00EC3EAB"/>
    <w:p w:rsidR="00EC3EAB" w:rsidRDefault="00EC3EAB"/>
    <w:p w:rsidR="00EC3EAB" w:rsidRDefault="00EC3EAB"/>
    <w:p w:rsidR="00EC3EAB" w:rsidRDefault="00EC3EAB"/>
    <w:p w:rsidR="00EC3EAB" w:rsidRDefault="00EC3EAB"/>
    <w:p w:rsidR="00EC3EAB" w:rsidRDefault="00EC3EAB"/>
    <w:p w:rsidR="00EC3EAB" w:rsidRDefault="00EC3EAB"/>
    <w:p w:rsidR="00EC3EAB" w:rsidRDefault="00EC3EAB"/>
    <w:p w:rsidR="00EC3EAB" w:rsidRDefault="00EC3EAB" w:rsidP="00EC3EAB">
      <w:pPr>
        <w:pStyle w:val="Heading3"/>
      </w:pPr>
      <w:r>
        <w:lastRenderedPageBreak/>
        <w:t>Practice the Application of the Sales Comparable Approach</w:t>
      </w:r>
    </w:p>
    <w:p w:rsidR="00EC3EAB" w:rsidRDefault="00EC3EAB" w:rsidP="00EC3EAB">
      <w:pPr>
        <w:pStyle w:val="NormalWeb"/>
        <w:spacing w:line="288" w:lineRule="auto"/>
        <w:rPr>
          <w:rFonts w:ascii="Verdana" w:hAnsi="Verdana"/>
          <w:color w:val="393939"/>
          <w:sz w:val="18"/>
          <w:szCs w:val="18"/>
        </w:rPr>
      </w:pPr>
      <w:r>
        <w:rPr>
          <w:rFonts w:ascii="Verdana" w:hAnsi="Verdana"/>
          <w:color w:val="393939"/>
          <w:sz w:val="18"/>
          <w:szCs w:val="18"/>
        </w:rPr>
        <w:t xml:space="preserve">Using the </w:t>
      </w:r>
      <w:hyperlink r:id="rId8" w:tgtFrame="_blank" w:history="1">
        <w:r>
          <w:rPr>
            <w:rStyle w:val="Hyperlink"/>
            <w:rFonts w:ascii="Verdana" w:hAnsi="Verdana"/>
            <w:sz w:val="18"/>
            <w:szCs w:val="18"/>
          </w:rPr>
          <w:t>sample problem</w:t>
        </w:r>
      </w:hyperlink>
      <w:r>
        <w:rPr>
          <w:rFonts w:ascii="Verdana" w:hAnsi="Verdana"/>
          <w:color w:val="393939"/>
          <w:sz w:val="18"/>
          <w:szCs w:val="18"/>
        </w:rPr>
        <w:t xml:space="preserve"> from the previous slide, what is the estimated value of the subject property based on the Sales Comparable Approach if: </w:t>
      </w:r>
    </w:p>
    <w:p w:rsidR="00EC3EAB" w:rsidRDefault="00EC3EAB" w:rsidP="00EC3EAB">
      <w:pPr>
        <w:rPr>
          <w:rFonts w:ascii="Verdana" w:hAnsi="Verdana"/>
          <w:color w:val="393939"/>
          <w:sz w:val="18"/>
          <w:szCs w:val="18"/>
        </w:rPr>
      </w:pPr>
    </w:p>
    <w:p w:rsidR="00EC3EAB" w:rsidRDefault="00EC3EAB" w:rsidP="00EC3EAB">
      <w:pPr>
        <w:pStyle w:val="Heading4"/>
      </w:pPr>
      <w:r>
        <w:t xml:space="preserve">Scenario 1 </w:t>
      </w:r>
    </w:p>
    <w:p w:rsidR="00EC3EAB" w:rsidRDefault="00EC3EAB" w:rsidP="00EC3EAB">
      <w:pPr>
        <w:pStyle w:val="NormalWeb"/>
        <w:spacing w:line="288" w:lineRule="auto"/>
        <w:rPr>
          <w:rFonts w:ascii="Verdana" w:hAnsi="Verdana"/>
          <w:color w:val="393939"/>
          <w:sz w:val="18"/>
          <w:szCs w:val="18"/>
        </w:rPr>
      </w:pPr>
      <w:r>
        <w:rPr>
          <w:rFonts w:ascii="Verdana" w:hAnsi="Verdana"/>
          <w:color w:val="393939"/>
          <w:sz w:val="18"/>
          <w:szCs w:val="18"/>
        </w:rPr>
        <w:t xml:space="preserve">The comparable was sold for </w:t>
      </w:r>
      <w:r>
        <w:rPr>
          <w:rStyle w:val="note1"/>
          <w:rFonts w:ascii="Verdana" w:hAnsi="Verdana"/>
          <w:sz w:val="18"/>
          <w:szCs w:val="18"/>
        </w:rPr>
        <w:t>$750,000</w:t>
      </w:r>
      <w:r>
        <w:rPr>
          <w:rFonts w:ascii="Verdana" w:hAnsi="Verdana"/>
          <w:color w:val="393939"/>
          <w:sz w:val="18"/>
          <w:szCs w:val="18"/>
        </w:rPr>
        <w:t xml:space="preserve"> and the subject property has </w:t>
      </w:r>
      <w:r>
        <w:rPr>
          <w:rStyle w:val="note1"/>
          <w:rFonts w:ascii="Verdana" w:hAnsi="Verdana"/>
          <w:sz w:val="18"/>
          <w:szCs w:val="18"/>
        </w:rPr>
        <w:t>17,200</w:t>
      </w:r>
      <w:r>
        <w:rPr>
          <w:rFonts w:ascii="Verdana" w:hAnsi="Verdana"/>
          <w:color w:val="393939"/>
          <w:sz w:val="18"/>
          <w:szCs w:val="18"/>
        </w:rPr>
        <w:t xml:space="preserve"> square feet of space. Should you accept the offer?</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250"/>
        <w:gridCol w:w="1788"/>
        <w:gridCol w:w="1899"/>
        <w:gridCol w:w="2597"/>
        <w:gridCol w:w="1096"/>
      </w:tblGrid>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 </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Comparable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Subject Property</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Adjustments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Result</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rPr>
                <w:rFonts w:ascii="Verdana" w:hAnsi="Verdana"/>
                <w:b/>
                <w:bCs/>
                <w:color w:val="9E9E9E"/>
                <w:sz w:val="18"/>
                <w:szCs w:val="18"/>
              </w:rPr>
            </w:pPr>
            <w:r>
              <w:rPr>
                <w:rFonts w:ascii="Verdana" w:hAnsi="Verdana"/>
                <w:b/>
                <w:bCs/>
                <w:color w:val="9E9E9E"/>
                <w:sz w:val="18"/>
                <w:szCs w:val="18"/>
              </w:rPr>
              <w:t xml:space="preserve">Selling Price of Comparable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Fonts w:ascii="Verdana" w:hAnsi="Verdana"/>
                <w:color w:val="393939"/>
                <w:sz w:val="18"/>
                <w:szCs w:val="18"/>
              </w:rPr>
              <w:t>$750,000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Style w:val="Emphasis"/>
                <w:rFonts w:ascii="Verdana" w:hAnsi="Verdana"/>
                <w:sz w:val="18"/>
                <w:szCs w:val="18"/>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spacing w:before="75" w:after="75"/>
              <w:jc w:val="center"/>
              <w:rPr>
                <w:rFonts w:ascii="Verdana" w:hAnsi="Verdana"/>
                <w:color w:val="393939"/>
                <w:sz w:val="18"/>
                <w:szCs w:val="18"/>
              </w:rPr>
            </w:pPr>
            <w:r>
              <w:rPr>
                <w:rFonts w:ascii="Verdana" w:hAnsi="Verdana"/>
                <w:color w:val="393939"/>
                <w:sz w:val="18"/>
                <w:szCs w:val="18"/>
              </w:rPr>
              <w:t>$750,000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rPr>
                <w:rFonts w:ascii="Verdana" w:hAnsi="Verdana"/>
                <w:b/>
                <w:bCs/>
                <w:color w:val="9E9E9E"/>
                <w:sz w:val="18"/>
                <w:szCs w:val="18"/>
              </w:rPr>
            </w:pPr>
            <w:r>
              <w:rPr>
                <w:rFonts w:ascii="Verdana" w:hAnsi="Verdana"/>
                <w:b/>
                <w:bCs/>
                <w:color w:val="9E9E9E"/>
                <w:sz w:val="18"/>
                <w:szCs w:val="18"/>
              </w:rPr>
              <w:t>Time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Fonts w:ascii="Verdana" w:hAnsi="Verdana"/>
                <w:color w:val="393939"/>
                <w:sz w:val="18"/>
                <w:szCs w:val="18"/>
              </w:rPr>
              <w:t xml:space="preserve">Three months ago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Style w:val="Emphasis"/>
                <w:rFonts w:ascii="Verdana" w:hAnsi="Verdana"/>
                <w:sz w:val="18"/>
                <w:szCs w:val="18"/>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note1"/>
                <w:rFonts w:ascii="Verdana" w:hAnsi="Verdana"/>
                <w:sz w:val="18"/>
                <w:szCs w:val="18"/>
              </w:rPr>
              <w:t>3</w:t>
            </w:r>
            <w:r>
              <w:rPr>
                <w:rFonts w:ascii="Verdana" w:hAnsi="Verdana"/>
                <w:color w:val="393939"/>
                <w:sz w:val="18"/>
                <w:szCs w:val="18"/>
              </w:rPr>
              <w:t>/</w:t>
            </w:r>
            <w:r>
              <w:rPr>
                <w:rStyle w:val="note1"/>
                <w:rFonts w:ascii="Verdana" w:hAnsi="Verdana"/>
                <w:sz w:val="18"/>
                <w:szCs w:val="18"/>
              </w:rPr>
              <w:t>12</w:t>
            </w:r>
            <w:r>
              <w:rPr>
                <w:rFonts w:ascii="Verdana" w:hAnsi="Verdana"/>
                <w:color w:val="393939"/>
                <w:sz w:val="18"/>
                <w:szCs w:val="18"/>
              </w:rPr>
              <w:t xml:space="preserve"> × </w:t>
            </w:r>
            <w:r>
              <w:rPr>
                <w:rStyle w:val="note1"/>
                <w:rFonts w:ascii="Verdana" w:hAnsi="Verdana"/>
                <w:sz w:val="18"/>
                <w:szCs w:val="18"/>
              </w:rPr>
              <w:t>2.60%</w:t>
            </w:r>
            <w:r>
              <w:rPr>
                <w:rFonts w:ascii="Verdana" w:hAnsi="Verdana"/>
                <w:color w:val="393939"/>
                <w:sz w:val="18"/>
                <w:szCs w:val="18"/>
              </w:rPr>
              <w:t xml:space="preserve"> × </w:t>
            </w:r>
            <w:r>
              <w:rPr>
                <w:rStyle w:val="note1"/>
                <w:rFonts w:ascii="Verdana" w:hAnsi="Verdana"/>
                <w:sz w:val="18"/>
                <w:szCs w:val="18"/>
              </w:rPr>
              <w:t>750,000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4875</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Location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Corner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Middle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note1"/>
                <w:rFonts w:ascii="Verdana" w:hAnsi="Verdana"/>
                <w:sz w:val="18"/>
                <w:szCs w:val="18"/>
              </w:rPr>
              <w:t>15%</w:t>
            </w:r>
            <w:r>
              <w:rPr>
                <w:rFonts w:ascii="Verdana" w:hAnsi="Verdana"/>
                <w:color w:val="393939"/>
                <w:sz w:val="18"/>
                <w:szCs w:val="18"/>
              </w:rPr>
              <w:t xml:space="preserve"> × </w:t>
            </w:r>
            <w:r>
              <w:rPr>
                <w:rStyle w:val="note1"/>
                <w:rFonts w:ascii="Verdana" w:hAnsi="Verdana"/>
                <w:sz w:val="18"/>
                <w:szCs w:val="18"/>
              </w:rPr>
              <w:t>750,000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(112,500)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Size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note1"/>
                <w:rFonts w:ascii="Verdana" w:hAnsi="Verdana"/>
                <w:sz w:val="18"/>
                <w:szCs w:val="18"/>
              </w:rPr>
              <w:t xml:space="preserve">16,600 </w:t>
            </w:r>
            <w:r>
              <w:rPr>
                <w:rFonts w:ascii="Verdana" w:hAnsi="Verdana"/>
                <w:color w:val="393939"/>
                <w:sz w:val="18"/>
                <w:szCs w:val="18"/>
              </w:rPr>
              <w:t>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note1"/>
                <w:rFonts w:ascii="Verdana" w:hAnsi="Verdana"/>
                <w:sz w:val="18"/>
                <w:szCs w:val="18"/>
              </w:rPr>
              <w:t>17,200</w:t>
            </w:r>
            <w:r>
              <w:rPr>
                <w:rFonts w:ascii="Verdana" w:hAnsi="Verdana"/>
                <w:color w:val="393939"/>
                <w:sz w:val="18"/>
                <w:szCs w:val="18"/>
              </w:rPr>
              <w:t xml:space="preserve"> sqft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w:t>
            </w:r>
            <w:r>
              <w:rPr>
                <w:rStyle w:val="note1"/>
                <w:rFonts w:ascii="Verdana" w:hAnsi="Verdana"/>
                <w:sz w:val="18"/>
                <w:szCs w:val="18"/>
              </w:rPr>
              <w:t xml:space="preserve">17,200 </w:t>
            </w:r>
            <w:r>
              <w:rPr>
                <w:rFonts w:ascii="Verdana" w:hAnsi="Verdana"/>
                <w:color w:val="393939"/>
                <w:sz w:val="18"/>
                <w:szCs w:val="18"/>
              </w:rPr>
              <w:t xml:space="preserve">- </w:t>
            </w:r>
            <w:r>
              <w:rPr>
                <w:rStyle w:val="note1"/>
                <w:rFonts w:ascii="Verdana" w:hAnsi="Verdana"/>
                <w:sz w:val="18"/>
                <w:szCs w:val="18"/>
              </w:rPr>
              <w:t>16,600</w:t>
            </w:r>
            <w:r>
              <w:rPr>
                <w:rFonts w:ascii="Verdana" w:hAnsi="Verdana"/>
                <w:color w:val="393939"/>
                <w:sz w:val="18"/>
                <w:szCs w:val="18"/>
              </w:rPr>
              <w:t xml:space="preserve">) × </w:t>
            </w:r>
            <w:r>
              <w:rPr>
                <w:rStyle w:val="note1"/>
                <w:rFonts w:ascii="Verdana" w:hAnsi="Verdana"/>
                <w:sz w:val="18"/>
                <w:szCs w:val="18"/>
              </w:rPr>
              <w:t>$56.00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33,600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note1"/>
                <w:rFonts w:ascii="Verdana" w:hAnsi="Verdana"/>
                <w:sz w:val="18"/>
                <w:szCs w:val="18"/>
              </w:rPr>
              <w:t>13</w:t>
            </w:r>
            <w:r>
              <w:rPr>
                <w:rFonts w:ascii="Verdana" w:hAnsi="Verdana"/>
                <w:color w:val="393939"/>
                <w:sz w:val="18"/>
                <w:szCs w:val="18"/>
              </w:rPr>
              <w:t xml:space="preserve"> years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note1"/>
                <w:rFonts w:ascii="Verdana" w:hAnsi="Verdana"/>
                <w:sz w:val="18"/>
                <w:szCs w:val="18"/>
              </w:rPr>
              <w:t>20</w:t>
            </w:r>
            <w:r>
              <w:rPr>
                <w:rFonts w:ascii="Verdana" w:hAnsi="Verdana"/>
                <w:color w:val="393939"/>
                <w:sz w:val="18"/>
                <w:szCs w:val="18"/>
              </w:rPr>
              <w:t xml:space="preserve"> years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w:t>
            </w:r>
            <w:r>
              <w:rPr>
                <w:rStyle w:val="note1"/>
                <w:rFonts w:ascii="Verdana" w:hAnsi="Verdana"/>
                <w:sz w:val="18"/>
                <w:szCs w:val="18"/>
              </w:rPr>
              <w:t>20</w:t>
            </w:r>
            <w:r>
              <w:rPr>
                <w:rFonts w:ascii="Verdana" w:hAnsi="Verdana"/>
                <w:color w:val="393939"/>
                <w:sz w:val="18"/>
                <w:szCs w:val="18"/>
              </w:rPr>
              <w:t xml:space="preserve"> - </w:t>
            </w:r>
            <w:r>
              <w:rPr>
                <w:rStyle w:val="note1"/>
                <w:rFonts w:ascii="Verdana" w:hAnsi="Verdana"/>
                <w:sz w:val="18"/>
                <w:szCs w:val="18"/>
              </w:rPr>
              <w:t>13</w:t>
            </w:r>
            <w:r>
              <w:rPr>
                <w:rFonts w:ascii="Verdana" w:hAnsi="Verdana"/>
                <w:color w:val="393939"/>
                <w:sz w:val="18"/>
                <w:szCs w:val="18"/>
              </w:rPr>
              <w:t xml:space="preserve">) × </w:t>
            </w:r>
            <w:r>
              <w:rPr>
                <w:rStyle w:val="note1"/>
                <w:rFonts w:ascii="Verdana" w:hAnsi="Verdana"/>
                <w:sz w:val="18"/>
                <w:szCs w:val="18"/>
              </w:rPr>
              <w:t>22,000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(154,000)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Two-car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One-car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note1"/>
                <w:rFonts w:ascii="Verdana" w:hAnsi="Verdana"/>
                <w:sz w:val="18"/>
                <w:szCs w:val="18"/>
              </w:rPr>
              <w:t xml:space="preserve">42,000 </w:t>
            </w:r>
            <w:r>
              <w:rPr>
                <w:rFonts w:ascii="Verdana" w:hAnsi="Verdana"/>
                <w:color w:val="393939"/>
                <w:sz w:val="18"/>
                <w:szCs w:val="18"/>
              </w:rPr>
              <w:t xml:space="preserve">- </w:t>
            </w:r>
            <w:r>
              <w:rPr>
                <w:rStyle w:val="note1"/>
                <w:rFonts w:ascii="Verdana" w:hAnsi="Verdana"/>
                <w:sz w:val="18"/>
                <w:szCs w:val="18"/>
              </w:rPr>
              <w:t>25,000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(17,000)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Financing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rPr>
                <w:rFonts w:ascii="Verdana" w:hAnsi="Verdana"/>
                <w:color w:val="393939"/>
                <w:sz w:val="18"/>
                <w:szCs w:val="18"/>
              </w:rPr>
            </w:pP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Others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No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xml:space="preserve">Swimming pool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30,000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 xml:space="preserve">Estimated Selling Price of Subject Property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534,975</w:t>
            </w:r>
          </w:p>
        </w:tc>
      </w:tr>
    </w:tbl>
    <w:p w:rsidR="00EC3EAB" w:rsidRDefault="00EC3EAB" w:rsidP="00EC3EAB">
      <w:pPr>
        <w:pStyle w:val="Heading4"/>
      </w:pPr>
      <w:r>
        <w:t> </w:t>
      </w: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r>
        <w:lastRenderedPageBreak/>
        <w:t xml:space="preserve">Scenario 2 </w:t>
      </w:r>
    </w:p>
    <w:p w:rsidR="00EC3EAB" w:rsidRDefault="00EC3EAB" w:rsidP="00EC3EAB">
      <w:pPr>
        <w:pStyle w:val="NormalWeb"/>
        <w:spacing w:line="288" w:lineRule="auto"/>
        <w:rPr>
          <w:rFonts w:ascii="Verdana" w:hAnsi="Verdana"/>
          <w:color w:val="393939"/>
          <w:sz w:val="18"/>
          <w:szCs w:val="18"/>
        </w:rPr>
      </w:pPr>
      <w:r>
        <w:rPr>
          <w:rFonts w:ascii="Verdana" w:hAnsi="Verdana"/>
          <w:color w:val="393939"/>
          <w:sz w:val="18"/>
          <w:szCs w:val="18"/>
        </w:rPr>
        <w:t xml:space="preserve">The inflation rate is now </w:t>
      </w:r>
      <w:r>
        <w:rPr>
          <w:rStyle w:val="note1"/>
          <w:rFonts w:ascii="Verdana" w:hAnsi="Verdana"/>
          <w:sz w:val="18"/>
          <w:szCs w:val="18"/>
        </w:rPr>
        <w:t>2.25%</w:t>
      </w:r>
      <w:r>
        <w:rPr>
          <w:rFonts w:ascii="Verdana" w:hAnsi="Verdana"/>
          <w:color w:val="393939"/>
          <w:sz w:val="18"/>
          <w:szCs w:val="18"/>
        </w:rPr>
        <w:t xml:space="preserve"> per annum; the comparable was sold for </w:t>
      </w:r>
      <w:r>
        <w:rPr>
          <w:rStyle w:val="note1"/>
          <w:rFonts w:ascii="Verdana" w:hAnsi="Verdana"/>
          <w:sz w:val="18"/>
          <w:szCs w:val="18"/>
        </w:rPr>
        <w:t>$700,000</w:t>
      </w:r>
      <w:r>
        <w:rPr>
          <w:rFonts w:ascii="Verdana" w:hAnsi="Verdana"/>
          <w:color w:val="393939"/>
          <w:sz w:val="18"/>
          <w:szCs w:val="18"/>
        </w:rPr>
        <w:t xml:space="preserve">; and a one-car garage costs </w:t>
      </w:r>
      <w:r>
        <w:rPr>
          <w:rStyle w:val="note1"/>
          <w:rFonts w:ascii="Verdana" w:hAnsi="Verdana"/>
          <w:sz w:val="18"/>
          <w:szCs w:val="18"/>
        </w:rPr>
        <w:t>$35,000</w:t>
      </w:r>
      <w:r>
        <w:rPr>
          <w:rFonts w:ascii="Verdana" w:hAnsi="Verdana"/>
          <w:color w:val="393939"/>
          <w:sz w:val="18"/>
          <w:szCs w:val="18"/>
        </w:rPr>
        <w:t xml:space="preserve">. </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250"/>
        <w:gridCol w:w="1788"/>
        <w:gridCol w:w="1899"/>
        <w:gridCol w:w="2597"/>
        <w:gridCol w:w="1096"/>
      </w:tblGrid>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 </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Comparable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Subject Property</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Adjustments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Result</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rPr>
                <w:rFonts w:ascii="Verdana" w:hAnsi="Verdana"/>
                <w:b/>
                <w:bCs/>
                <w:color w:val="9E9E9E"/>
                <w:sz w:val="18"/>
                <w:szCs w:val="18"/>
              </w:rPr>
            </w:pPr>
            <w:r>
              <w:rPr>
                <w:rFonts w:ascii="Verdana" w:hAnsi="Verdana"/>
                <w:b/>
                <w:bCs/>
                <w:color w:val="9E9E9E"/>
                <w:sz w:val="18"/>
                <w:szCs w:val="18"/>
              </w:rPr>
              <w:t xml:space="preserve">Selling Price of Comparable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Fonts w:ascii="Verdana" w:hAnsi="Verdana"/>
                <w:color w:val="393939"/>
                <w:sz w:val="18"/>
                <w:szCs w:val="18"/>
              </w:rPr>
              <w:t>$700,000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Style w:val="Emphasis"/>
                <w:rFonts w:ascii="Verdana" w:hAnsi="Verdana"/>
                <w:sz w:val="18"/>
                <w:szCs w:val="18"/>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spacing w:before="75" w:after="75"/>
              <w:jc w:val="center"/>
              <w:rPr>
                <w:rFonts w:ascii="Verdana" w:hAnsi="Verdana"/>
                <w:color w:val="393939"/>
                <w:sz w:val="18"/>
                <w:szCs w:val="18"/>
              </w:rPr>
            </w:pPr>
            <w:r>
              <w:rPr>
                <w:rFonts w:ascii="Verdana" w:hAnsi="Verdana"/>
                <w:color w:val="393939"/>
                <w:sz w:val="18"/>
                <w:szCs w:val="18"/>
              </w:rPr>
              <w:t>$700,000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rPr>
                <w:rFonts w:ascii="Verdana" w:hAnsi="Verdana"/>
                <w:b/>
                <w:bCs/>
                <w:color w:val="9E9E9E"/>
                <w:sz w:val="18"/>
                <w:szCs w:val="18"/>
              </w:rPr>
            </w:pPr>
            <w:r>
              <w:rPr>
                <w:rFonts w:ascii="Verdana" w:hAnsi="Verdana"/>
                <w:b/>
                <w:bCs/>
                <w:color w:val="9E9E9E"/>
                <w:sz w:val="18"/>
                <w:szCs w:val="18"/>
              </w:rPr>
              <w:t>Time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Fonts w:ascii="Verdana" w:hAnsi="Verdana"/>
                <w:color w:val="393939"/>
                <w:sz w:val="18"/>
                <w:szCs w:val="18"/>
              </w:rPr>
              <w:t xml:space="preserve">Three months ago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Style w:val="Emphasis"/>
                <w:rFonts w:ascii="Verdana" w:hAnsi="Verdana"/>
                <w:sz w:val="18"/>
                <w:szCs w:val="18"/>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note1"/>
                <w:rFonts w:ascii="Verdana" w:hAnsi="Verdana"/>
                <w:sz w:val="18"/>
                <w:szCs w:val="18"/>
              </w:rPr>
              <w:t>3</w:t>
            </w:r>
            <w:r>
              <w:rPr>
                <w:rFonts w:ascii="Verdana" w:hAnsi="Verdana"/>
                <w:color w:val="393939"/>
                <w:sz w:val="18"/>
                <w:szCs w:val="18"/>
              </w:rPr>
              <w:t>/</w:t>
            </w:r>
            <w:r>
              <w:rPr>
                <w:rStyle w:val="note1"/>
                <w:rFonts w:ascii="Verdana" w:hAnsi="Verdana"/>
                <w:sz w:val="18"/>
                <w:szCs w:val="18"/>
              </w:rPr>
              <w:t>12</w:t>
            </w:r>
            <w:r>
              <w:rPr>
                <w:rFonts w:ascii="Verdana" w:hAnsi="Verdana"/>
                <w:color w:val="393939"/>
                <w:sz w:val="18"/>
                <w:szCs w:val="18"/>
              </w:rPr>
              <w:t xml:space="preserve"> × </w:t>
            </w:r>
            <w:r>
              <w:rPr>
                <w:rStyle w:val="note1"/>
                <w:rFonts w:ascii="Verdana" w:hAnsi="Verdana"/>
                <w:sz w:val="18"/>
                <w:szCs w:val="18"/>
              </w:rPr>
              <w:t>2.25%</w:t>
            </w:r>
            <w:r>
              <w:rPr>
                <w:rFonts w:ascii="Verdana" w:hAnsi="Verdana"/>
                <w:color w:val="393939"/>
                <w:sz w:val="18"/>
                <w:szCs w:val="18"/>
              </w:rPr>
              <w:t xml:space="preserve"> × </w:t>
            </w:r>
            <w:r>
              <w:rPr>
                <w:rStyle w:val="note1"/>
                <w:rFonts w:ascii="Verdana" w:hAnsi="Verdana"/>
                <w:sz w:val="18"/>
                <w:szCs w:val="18"/>
              </w:rPr>
              <w:t>700,000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3,938</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Location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Corner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Middle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note1"/>
                <w:rFonts w:ascii="Verdana" w:hAnsi="Verdana"/>
                <w:sz w:val="18"/>
                <w:szCs w:val="18"/>
              </w:rPr>
              <w:t>15%</w:t>
            </w:r>
            <w:r>
              <w:rPr>
                <w:rFonts w:ascii="Verdana" w:hAnsi="Verdana"/>
                <w:color w:val="393939"/>
                <w:sz w:val="18"/>
                <w:szCs w:val="18"/>
              </w:rPr>
              <w:t xml:space="preserve"> × </w:t>
            </w:r>
            <w:r>
              <w:rPr>
                <w:rStyle w:val="note1"/>
                <w:rFonts w:ascii="Verdana" w:hAnsi="Verdana"/>
                <w:sz w:val="18"/>
                <w:szCs w:val="18"/>
              </w:rPr>
              <w:t>700,000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(105,000)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Size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note1"/>
                <w:rFonts w:ascii="Verdana" w:hAnsi="Verdana"/>
                <w:sz w:val="18"/>
                <w:szCs w:val="18"/>
              </w:rPr>
              <w:t xml:space="preserve">16,600 </w:t>
            </w:r>
            <w:r>
              <w:rPr>
                <w:rFonts w:ascii="Verdana" w:hAnsi="Verdana"/>
                <w:color w:val="393939"/>
                <w:sz w:val="18"/>
                <w:szCs w:val="18"/>
              </w:rPr>
              <w:t>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note1"/>
                <w:rFonts w:ascii="Verdana" w:hAnsi="Verdana"/>
                <w:sz w:val="18"/>
                <w:szCs w:val="18"/>
              </w:rPr>
              <w:t>17,200</w:t>
            </w:r>
            <w:r>
              <w:rPr>
                <w:rFonts w:ascii="Verdana" w:hAnsi="Verdana"/>
                <w:color w:val="393939"/>
                <w:sz w:val="18"/>
                <w:szCs w:val="18"/>
              </w:rPr>
              <w:t xml:space="preserve"> sqft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w:t>
            </w:r>
            <w:r>
              <w:rPr>
                <w:rStyle w:val="note1"/>
                <w:rFonts w:ascii="Verdana" w:hAnsi="Verdana"/>
                <w:sz w:val="18"/>
                <w:szCs w:val="18"/>
              </w:rPr>
              <w:t>17,200</w:t>
            </w:r>
            <w:r>
              <w:rPr>
                <w:rFonts w:ascii="Verdana" w:hAnsi="Verdana"/>
                <w:color w:val="393939"/>
                <w:sz w:val="18"/>
                <w:szCs w:val="18"/>
              </w:rPr>
              <w:t xml:space="preserve"> - </w:t>
            </w:r>
            <w:r>
              <w:rPr>
                <w:rStyle w:val="note1"/>
                <w:rFonts w:ascii="Verdana" w:hAnsi="Verdana"/>
                <w:sz w:val="18"/>
                <w:szCs w:val="18"/>
              </w:rPr>
              <w:t>16,600</w:t>
            </w:r>
            <w:r>
              <w:rPr>
                <w:rFonts w:ascii="Verdana" w:hAnsi="Verdana"/>
                <w:color w:val="393939"/>
                <w:sz w:val="18"/>
                <w:szCs w:val="18"/>
              </w:rPr>
              <w:t xml:space="preserve">) × </w:t>
            </w:r>
            <w:r>
              <w:rPr>
                <w:rStyle w:val="note1"/>
                <w:rFonts w:ascii="Verdana" w:hAnsi="Verdana"/>
                <w:sz w:val="18"/>
                <w:szCs w:val="18"/>
              </w:rPr>
              <w:t>$56.00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33,600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note1"/>
                <w:rFonts w:ascii="Verdana" w:hAnsi="Verdana"/>
                <w:sz w:val="18"/>
                <w:szCs w:val="18"/>
              </w:rPr>
              <w:t>13</w:t>
            </w:r>
            <w:r>
              <w:rPr>
                <w:rFonts w:ascii="Verdana" w:hAnsi="Verdana"/>
                <w:color w:val="393939"/>
                <w:sz w:val="18"/>
                <w:szCs w:val="18"/>
              </w:rPr>
              <w:t xml:space="preserve"> years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note1"/>
                <w:rFonts w:ascii="Verdana" w:hAnsi="Verdana"/>
                <w:sz w:val="18"/>
                <w:szCs w:val="18"/>
              </w:rPr>
              <w:t>20</w:t>
            </w:r>
            <w:r>
              <w:rPr>
                <w:rFonts w:ascii="Verdana" w:hAnsi="Verdana"/>
                <w:color w:val="393939"/>
                <w:sz w:val="18"/>
                <w:szCs w:val="18"/>
              </w:rPr>
              <w:t xml:space="preserve"> years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w:t>
            </w:r>
            <w:r>
              <w:rPr>
                <w:rStyle w:val="note1"/>
                <w:rFonts w:ascii="Verdana" w:hAnsi="Verdana"/>
                <w:sz w:val="18"/>
                <w:szCs w:val="18"/>
              </w:rPr>
              <w:t>20</w:t>
            </w:r>
            <w:r>
              <w:rPr>
                <w:rFonts w:ascii="Verdana" w:hAnsi="Verdana"/>
                <w:color w:val="393939"/>
                <w:sz w:val="18"/>
                <w:szCs w:val="18"/>
              </w:rPr>
              <w:t xml:space="preserve"> - </w:t>
            </w:r>
            <w:r>
              <w:rPr>
                <w:rStyle w:val="note1"/>
                <w:rFonts w:ascii="Verdana" w:hAnsi="Verdana"/>
                <w:sz w:val="18"/>
                <w:szCs w:val="18"/>
              </w:rPr>
              <w:t>13</w:t>
            </w:r>
            <w:r>
              <w:rPr>
                <w:rFonts w:ascii="Verdana" w:hAnsi="Verdana"/>
                <w:color w:val="393939"/>
                <w:sz w:val="18"/>
                <w:szCs w:val="18"/>
              </w:rPr>
              <w:t xml:space="preserve">) × </w:t>
            </w:r>
            <w:r>
              <w:rPr>
                <w:rStyle w:val="note1"/>
                <w:rFonts w:ascii="Verdana" w:hAnsi="Verdana"/>
                <w:sz w:val="18"/>
                <w:szCs w:val="18"/>
              </w:rPr>
              <w:t>22,000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(154,000)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Two-car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One-car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note1"/>
                <w:rFonts w:ascii="Verdana" w:hAnsi="Verdana"/>
                <w:sz w:val="18"/>
                <w:szCs w:val="18"/>
              </w:rPr>
              <w:t>42,000</w:t>
            </w:r>
            <w:r>
              <w:rPr>
                <w:rFonts w:ascii="Verdana" w:hAnsi="Verdana"/>
                <w:color w:val="393939"/>
                <w:sz w:val="18"/>
                <w:szCs w:val="18"/>
              </w:rPr>
              <w:t xml:space="preserve"> -</w:t>
            </w:r>
            <w:r>
              <w:rPr>
                <w:rStyle w:val="note1"/>
                <w:rFonts w:ascii="Verdana" w:hAnsi="Verdana"/>
                <w:sz w:val="18"/>
                <w:szCs w:val="18"/>
              </w:rPr>
              <w:t xml:space="preserve"> 35,000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(7,000)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Financing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rPr>
                <w:rFonts w:ascii="Verdana" w:hAnsi="Verdana"/>
                <w:color w:val="393939"/>
                <w:sz w:val="18"/>
                <w:szCs w:val="18"/>
              </w:rPr>
            </w:pP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Others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No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xml:space="preserve">Swimming pool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30,000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 xml:space="preserve">Estimated Selling Price of Subject Property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501,538</w:t>
            </w:r>
          </w:p>
        </w:tc>
      </w:tr>
    </w:tbl>
    <w:p w:rsidR="00EC3EAB" w:rsidRDefault="00EC3EAB" w:rsidP="00EC3EAB">
      <w:pPr>
        <w:pStyle w:val="Heading4"/>
      </w:pPr>
      <w:r>
        <w:t> </w:t>
      </w: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p>
    <w:p w:rsidR="00EC3EAB" w:rsidRDefault="00EC3EAB" w:rsidP="00EC3EAB">
      <w:pPr>
        <w:pStyle w:val="Heading4"/>
      </w:pPr>
      <w:r>
        <w:lastRenderedPageBreak/>
        <w:t xml:space="preserve">Scenario 3 </w:t>
      </w:r>
    </w:p>
    <w:p w:rsidR="00EC3EAB" w:rsidRDefault="00EC3EAB" w:rsidP="00EC3EAB">
      <w:pPr>
        <w:pStyle w:val="NormalWeb"/>
        <w:spacing w:line="288" w:lineRule="auto"/>
        <w:rPr>
          <w:rFonts w:ascii="Verdana" w:hAnsi="Verdana"/>
          <w:color w:val="393939"/>
          <w:sz w:val="18"/>
          <w:szCs w:val="18"/>
        </w:rPr>
      </w:pPr>
      <w:r>
        <w:rPr>
          <w:rFonts w:ascii="Verdana" w:hAnsi="Verdana"/>
          <w:color w:val="393939"/>
          <w:sz w:val="18"/>
          <w:szCs w:val="18"/>
        </w:rPr>
        <w:t xml:space="preserve">The comparable had no garage, is </w:t>
      </w:r>
      <w:r>
        <w:rPr>
          <w:rStyle w:val="note1"/>
          <w:rFonts w:ascii="Verdana" w:hAnsi="Verdana"/>
          <w:sz w:val="18"/>
          <w:szCs w:val="18"/>
        </w:rPr>
        <w:t>25</w:t>
      </w:r>
      <w:r>
        <w:rPr>
          <w:rFonts w:ascii="Verdana" w:hAnsi="Verdana"/>
          <w:color w:val="393939"/>
          <w:sz w:val="18"/>
          <w:szCs w:val="18"/>
        </w:rPr>
        <w:t xml:space="preserve"> years old, was sold six months ago and the comparable price is </w:t>
      </w:r>
      <w:r>
        <w:rPr>
          <w:rStyle w:val="note1"/>
          <w:rFonts w:ascii="Verdana" w:hAnsi="Verdana"/>
          <w:sz w:val="18"/>
          <w:szCs w:val="18"/>
        </w:rPr>
        <w:t>$600,000</w:t>
      </w:r>
      <w:r>
        <w:rPr>
          <w:rFonts w:ascii="Verdana" w:hAnsi="Verdana"/>
          <w:color w:val="393939"/>
          <w:sz w:val="18"/>
          <w:szCs w:val="18"/>
        </w:rPr>
        <w:t>.</w:t>
      </w:r>
    </w:p>
    <w:tbl>
      <w:tblPr>
        <w:tblW w:w="0" w:type="auto"/>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250"/>
        <w:gridCol w:w="1805"/>
        <w:gridCol w:w="1930"/>
        <w:gridCol w:w="2598"/>
        <w:gridCol w:w="1047"/>
      </w:tblGrid>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 </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Comparable</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Subject Property</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Adjustments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jc w:val="center"/>
              <w:rPr>
                <w:rFonts w:ascii="Verdana" w:hAnsi="Verdana"/>
                <w:b/>
                <w:bCs/>
                <w:color w:val="9E9E9E"/>
                <w:sz w:val="18"/>
                <w:szCs w:val="18"/>
              </w:rPr>
            </w:pPr>
            <w:r>
              <w:rPr>
                <w:rFonts w:ascii="Verdana" w:hAnsi="Verdana"/>
                <w:b/>
                <w:bCs/>
                <w:color w:val="9E9E9E"/>
                <w:sz w:val="18"/>
                <w:szCs w:val="18"/>
              </w:rPr>
              <w:t>Result</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rPr>
                <w:rFonts w:ascii="Verdana" w:hAnsi="Verdana"/>
                <w:b/>
                <w:bCs/>
                <w:color w:val="9E9E9E"/>
                <w:sz w:val="18"/>
                <w:szCs w:val="18"/>
              </w:rPr>
            </w:pPr>
            <w:r>
              <w:rPr>
                <w:rFonts w:ascii="Verdana" w:hAnsi="Verdana"/>
                <w:b/>
                <w:bCs/>
                <w:color w:val="9E9E9E"/>
                <w:sz w:val="18"/>
                <w:szCs w:val="18"/>
              </w:rPr>
              <w:t xml:space="preserve">Selling Price of Comparable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Fonts w:ascii="Verdana" w:hAnsi="Verdana"/>
                <w:color w:val="393939"/>
                <w:sz w:val="18"/>
                <w:szCs w:val="18"/>
              </w:rPr>
              <w:t>$600,000</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Style w:val="Emphasis"/>
                <w:rFonts w:ascii="Verdana" w:hAnsi="Verdana"/>
                <w:sz w:val="18"/>
                <w:szCs w:val="18"/>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spacing w:before="75" w:after="75"/>
              <w:jc w:val="center"/>
              <w:rPr>
                <w:rFonts w:ascii="Verdana" w:hAnsi="Verdana"/>
                <w:color w:val="393939"/>
                <w:sz w:val="18"/>
                <w:szCs w:val="18"/>
              </w:rPr>
            </w:pPr>
            <w:r>
              <w:rPr>
                <w:rFonts w:ascii="Verdana" w:hAnsi="Verdana"/>
                <w:color w:val="393939"/>
                <w:sz w:val="18"/>
                <w:szCs w:val="18"/>
              </w:rPr>
              <w:t>$600,000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spacing w:before="75" w:after="75"/>
              <w:rPr>
                <w:rFonts w:ascii="Verdana" w:hAnsi="Verdana"/>
                <w:b/>
                <w:bCs/>
                <w:color w:val="9E9E9E"/>
                <w:sz w:val="18"/>
                <w:szCs w:val="18"/>
              </w:rPr>
            </w:pPr>
            <w:r>
              <w:rPr>
                <w:rFonts w:ascii="Verdana" w:hAnsi="Verdana"/>
                <w:b/>
                <w:bCs/>
                <w:color w:val="9E9E9E"/>
                <w:sz w:val="18"/>
                <w:szCs w:val="18"/>
              </w:rPr>
              <w:t>Time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Fonts w:ascii="Verdana" w:hAnsi="Verdana"/>
                <w:color w:val="393939"/>
                <w:sz w:val="18"/>
                <w:szCs w:val="18"/>
              </w:rPr>
              <w:t xml:space="preserve">Three months ago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spacing w:before="75" w:after="75"/>
              <w:rPr>
                <w:rFonts w:ascii="Verdana" w:hAnsi="Verdana"/>
                <w:color w:val="393939"/>
                <w:sz w:val="18"/>
                <w:szCs w:val="18"/>
              </w:rPr>
            </w:pPr>
            <w:r>
              <w:rPr>
                <w:rStyle w:val="Emphasis"/>
                <w:rFonts w:ascii="Verdana" w:hAnsi="Verdana"/>
                <w:sz w:val="18"/>
                <w:szCs w:val="18"/>
              </w:rPr>
              <w:t>See above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note1"/>
                <w:rFonts w:ascii="Verdana" w:hAnsi="Verdana"/>
                <w:sz w:val="18"/>
                <w:szCs w:val="18"/>
              </w:rPr>
              <w:t>6</w:t>
            </w:r>
            <w:r>
              <w:rPr>
                <w:rFonts w:ascii="Verdana" w:hAnsi="Verdana"/>
                <w:color w:val="393939"/>
                <w:sz w:val="18"/>
                <w:szCs w:val="18"/>
              </w:rPr>
              <w:t>/</w:t>
            </w:r>
            <w:r>
              <w:rPr>
                <w:rStyle w:val="note1"/>
                <w:rFonts w:ascii="Verdana" w:hAnsi="Verdana"/>
                <w:sz w:val="18"/>
                <w:szCs w:val="18"/>
              </w:rPr>
              <w:t>12</w:t>
            </w:r>
            <w:r>
              <w:rPr>
                <w:rFonts w:ascii="Verdana" w:hAnsi="Verdana"/>
                <w:color w:val="393939"/>
                <w:sz w:val="18"/>
                <w:szCs w:val="18"/>
              </w:rPr>
              <w:t xml:space="preserve"> × </w:t>
            </w:r>
            <w:r>
              <w:rPr>
                <w:rStyle w:val="note1"/>
                <w:rFonts w:ascii="Verdana" w:hAnsi="Verdana"/>
                <w:sz w:val="18"/>
                <w:szCs w:val="18"/>
              </w:rPr>
              <w:t>2.60%</w:t>
            </w:r>
            <w:r>
              <w:rPr>
                <w:rFonts w:ascii="Verdana" w:hAnsi="Verdana"/>
                <w:color w:val="393939"/>
                <w:sz w:val="18"/>
                <w:szCs w:val="18"/>
              </w:rPr>
              <w:t xml:space="preserve"> × </w:t>
            </w:r>
            <w:r>
              <w:rPr>
                <w:rStyle w:val="note1"/>
                <w:rFonts w:ascii="Verdana" w:hAnsi="Verdana"/>
                <w:sz w:val="18"/>
                <w:szCs w:val="18"/>
              </w:rPr>
              <w:t>600,000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7800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Location</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Corner</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Middle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Style w:val="note1"/>
                <w:rFonts w:ascii="Verdana" w:hAnsi="Verdana"/>
                <w:sz w:val="18"/>
                <w:szCs w:val="18"/>
              </w:rPr>
              <w:t>15%</w:t>
            </w:r>
            <w:r>
              <w:rPr>
                <w:rFonts w:ascii="Verdana" w:hAnsi="Verdana"/>
                <w:color w:val="393939"/>
                <w:sz w:val="18"/>
                <w:szCs w:val="18"/>
              </w:rPr>
              <w:t xml:space="preserve"> × </w:t>
            </w:r>
            <w:r>
              <w:rPr>
                <w:rStyle w:val="note1"/>
                <w:rFonts w:ascii="Verdana" w:hAnsi="Verdana"/>
                <w:sz w:val="18"/>
                <w:szCs w:val="18"/>
              </w:rPr>
              <w:t>600,000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(90,000)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Size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note1"/>
                <w:rFonts w:ascii="Verdana" w:hAnsi="Verdana"/>
                <w:sz w:val="18"/>
                <w:szCs w:val="18"/>
              </w:rPr>
              <w:t xml:space="preserve">16,600 </w:t>
            </w:r>
            <w:r>
              <w:rPr>
                <w:rFonts w:ascii="Verdana" w:hAnsi="Verdana"/>
                <w:color w:val="393939"/>
                <w:sz w:val="18"/>
                <w:szCs w:val="18"/>
              </w:rPr>
              <w:t>sqft</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note1"/>
                <w:rFonts w:ascii="Verdana" w:hAnsi="Verdana"/>
                <w:sz w:val="18"/>
                <w:szCs w:val="18"/>
              </w:rPr>
              <w:t>17,200</w:t>
            </w:r>
            <w:r>
              <w:rPr>
                <w:rFonts w:ascii="Verdana" w:hAnsi="Verdana"/>
                <w:color w:val="393939"/>
                <w:sz w:val="18"/>
                <w:szCs w:val="18"/>
              </w:rPr>
              <w:t xml:space="preserve"> sqft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w:t>
            </w:r>
            <w:r>
              <w:rPr>
                <w:rStyle w:val="note1"/>
                <w:rFonts w:ascii="Verdana" w:hAnsi="Verdana"/>
                <w:sz w:val="18"/>
                <w:szCs w:val="18"/>
              </w:rPr>
              <w:t>17,200</w:t>
            </w:r>
            <w:r>
              <w:rPr>
                <w:rFonts w:ascii="Verdana" w:hAnsi="Verdana"/>
                <w:color w:val="393939"/>
                <w:sz w:val="18"/>
                <w:szCs w:val="18"/>
              </w:rPr>
              <w:t xml:space="preserve">- </w:t>
            </w:r>
            <w:r>
              <w:rPr>
                <w:rStyle w:val="note1"/>
                <w:rFonts w:ascii="Verdana" w:hAnsi="Verdana"/>
                <w:sz w:val="18"/>
                <w:szCs w:val="18"/>
              </w:rPr>
              <w:t>16,600</w:t>
            </w:r>
            <w:r>
              <w:rPr>
                <w:rFonts w:ascii="Verdana" w:hAnsi="Verdana"/>
                <w:color w:val="393939"/>
                <w:sz w:val="18"/>
                <w:szCs w:val="18"/>
              </w:rPr>
              <w:t xml:space="preserve">) × </w:t>
            </w:r>
            <w:r>
              <w:rPr>
                <w:rStyle w:val="note1"/>
                <w:rFonts w:ascii="Verdana" w:hAnsi="Verdana"/>
                <w:sz w:val="18"/>
                <w:szCs w:val="18"/>
              </w:rPr>
              <w:t>$56.00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33,600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note1"/>
                <w:rFonts w:ascii="Verdana" w:hAnsi="Verdana"/>
                <w:sz w:val="18"/>
                <w:szCs w:val="18"/>
              </w:rPr>
              <w:t>25</w:t>
            </w:r>
            <w:r>
              <w:rPr>
                <w:rFonts w:ascii="Verdana" w:hAnsi="Verdana"/>
                <w:color w:val="393939"/>
                <w:sz w:val="18"/>
                <w:szCs w:val="18"/>
              </w:rPr>
              <w:t xml:space="preserve"> years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Style w:val="note1"/>
                <w:rFonts w:ascii="Verdana" w:hAnsi="Verdana"/>
                <w:sz w:val="18"/>
                <w:szCs w:val="18"/>
              </w:rPr>
              <w:t>20</w:t>
            </w:r>
            <w:r>
              <w:rPr>
                <w:rFonts w:ascii="Verdana" w:hAnsi="Verdana"/>
                <w:color w:val="393939"/>
                <w:sz w:val="18"/>
                <w:szCs w:val="18"/>
              </w:rPr>
              <w:t xml:space="preserve"> years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w:t>
            </w:r>
            <w:r>
              <w:rPr>
                <w:rStyle w:val="note1"/>
                <w:rFonts w:ascii="Verdana" w:hAnsi="Verdana"/>
                <w:sz w:val="18"/>
                <w:szCs w:val="18"/>
              </w:rPr>
              <w:t>25</w:t>
            </w:r>
            <w:r>
              <w:rPr>
                <w:rFonts w:ascii="Verdana" w:hAnsi="Verdana"/>
                <w:color w:val="393939"/>
                <w:sz w:val="18"/>
                <w:szCs w:val="18"/>
              </w:rPr>
              <w:t xml:space="preserve"> - </w:t>
            </w:r>
            <w:r>
              <w:rPr>
                <w:rStyle w:val="note1"/>
                <w:rFonts w:ascii="Verdana" w:hAnsi="Verdana"/>
                <w:sz w:val="18"/>
                <w:szCs w:val="18"/>
              </w:rPr>
              <w:t>20</w:t>
            </w:r>
            <w:r>
              <w:rPr>
                <w:rFonts w:ascii="Verdana" w:hAnsi="Verdana"/>
                <w:color w:val="393939"/>
                <w:sz w:val="18"/>
                <w:szCs w:val="18"/>
              </w:rPr>
              <w:t xml:space="preserve">) × </w:t>
            </w:r>
            <w:r>
              <w:rPr>
                <w:rStyle w:val="note1"/>
                <w:rFonts w:ascii="Verdana" w:hAnsi="Verdana"/>
                <w:sz w:val="18"/>
                <w:szCs w:val="18"/>
              </w:rPr>
              <w:t>22,000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110,000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No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One-car garage</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te"/>
              <w:spacing w:line="288" w:lineRule="auto"/>
              <w:rPr>
                <w:rFonts w:ascii="Verdana" w:hAnsi="Verdana"/>
                <w:sz w:val="18"/>
                <w:szCs w:val="18"/>
              </w:rPr>
            </w:pPr>
            <w:r>
              <w:rPr>
                <w:rFonts w:ascii="Verdana" w:hAnsi="Verdana"/>
                <w:sz w:val="18"/>
                <w:szCs w:val="18"/>
              </w:rPr>
              <w:t>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25,000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Financing</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Conventional</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0</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rPr>
                <w:rFonts w:ascii="Verdana" w:hAnsi="Verdana"/>
                <w:color w:val="393939"/>
                <w:sz w:val="18"/>
                <w:szCs w:val="18"/>
              </w:rPr>
            </w:pP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Others</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pStyle w:val="NormalWeb"/>
              <w:spacing w:line="288" w:lineRule="auto"/>
              <w:rPr>
                <w:rFonts w:ascii="Verdana" w:hAnsi="Verdana"/>
                <w:color w:val="393939"/>
                <w:sz w:val="18"/>
                <w:szCs w:val="18"/>
              </w:rPr>
            </w:pPr>
            <w:r>
              <w:rPr>
                <w:rFonts w:ascii="Verdana" w:hAnsi="Verdana"/>
                <w:color w:val="393939"/>
                <w:sz w:val="18"/>
                <w:szCs w:val="18"/>
              </w:rPr>
              <w:t>No</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xml:space="preserve">Swimming pool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30,000</w:t>
            </w:r>
          </w:p>
        </w:tc>
      </w:tr>
      <w:tr w:rsidR="00EC3EAB" w:rsidTr="00EC3EAB">
        <w:tc>
          <w:tcPr>
            <w:tcW w:w="2250" w:type="dxa"/>
            <w:tcBorders>
              <w:bottom w:val="single" w:sz="6" w:space="0" w:color="C0C0C0"/>
            </w:tcBorders>
            <w:shd w:val="clear" w:color="auto" w:fill="202020"/>
            <w:tcMar>
              <w:top w:w="90" w:type="dxa"/>
              <w:left w:w="180" w:type="dxa"/>
              <w:bottom w:w="90" w:type="dxa"/>
              <w:right w:w="90" w:type="dxa"/>
            </w:tcMar>
            <w:vAlign w:val="center"/>
            <w:hideMark/>
          </w:tcPr>
          <w:p w:rsidR="00EC3EAB" w:rsidRDefault="00EC3EAB">
            <w:pPr>
              <w:rPr>
                <w:rFonts w:ascii="Verdana" w:hAnsi="Verdana"/>
                <w:b/>
                <w:bCs/>
                <w:color w:val="9E9E9E"/>
                <w:sz w:val="18"/>
                <w:szCs w:val="18"/>
              </w:rPr>
            </w:pPr>
            <w:r>
              <w:rPr>
                <w:rFonts w:ascii="Verdana" w:hAnsi="Verdana"/>
                <w:b/>
                <w:bCs/>
                <w:color w:val="9E9E9E"/>
                <w:sz w:val="18"/>
                <w:szCs w:val="18"/>
              </w:rPr>
              <w:t xml:space="preserve">Estimated Selling Price of Subject Property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center"/>
            <w:hideMark/>
          </w:tcPr>
          <w:p w:rsidR="00EC3EAB" w:rsidRDefault="00EC3EAB">
            <w:pPr>
              <w:rPr>
                <w:rFonts w:ascii="Verdana" w:hAnsi="Verdana"/>
                <w:color w:val="393939"/>
                <w:sz w:val="18"/>
                <w:szCs w:val="18"/>
              </w:rPr>
            </w:pPr>
            <w:r>
              <w:rPr>
                <w:rFonts w:ascii="Verdana" w:hAnsi="Verdana"/>
                <w:color w:val="393939"/>
                <w:sz w:val="18"/>
                <w:szCs w:val="18"/>
              </w:rPr>
              <w:t> </w:t>
            </w:r>
          </w:p>
        </w:tc>
        <w:tc>
          <w:tcPr>
            <w:tcW w:w="0" w:type="auto"/>
            <w:tcBorders>
              <w:bottom w:val="single" w:sz="6" w:space="0" w:color="88A8AE"/>
            </w:tcBorders>
            <w:shd w:val="clear" w:color="auto" w:fill="FFFFFF"/>
            <w:tcMar>
              <w:top w:w="90" w:type="dxa"/>
              <w:left w:w="90" w:type="dxa"/>
              <w:bottom w:w="90" w:type="dxa"/>
              <w:right w:w="90" w:type="dxa"/>
            </w:tcMar>
            <w:vAlign w:val="bottom"/>
            <w:hideMark/>
          </w:tcPr>
          <w:p w:rsidR="00EC3EAB" w:rsidRDefault="00EC3EAB">
            <w:pPr>
              <w:jc w:val="center"/>
              <w:rPr>
                <w:rFonts w:ascii="Verdana" w:hAnsi="Verdana"/>
                <w:color w:val="393939"/>
                <w:sz w:val="18"/>
                <w:szCs w:val="18"/>
              </w:rPr>
            </w:pPr>
            <w:r>
              <w:rPr>
                <w:rFonts w:ascii="Verdana" w:hAnsi="Verdana"/>
                <w:color w:val="393939"/>
                <w:sz w:val="18"/>
                <w:szCs w:val="18"/>
              </w:rPr>
              <w:t>716,400</w:t>
            </w:r>
          </w:p>
        </w:tc>
      </w:tr>
    </w:tbl>
    <w:p w:rsidR="00EC3EAB" w:rsidRDefault="00EC3EAB"/>
    <w:p w:rsidR="00EC3EAB" w:rsidRDefault="00EC3EAB">
      <w:bookmarkStart w:id="0" w:name="_GoBack"/>
      <w:bookmarkEnd w:id="0"/>
    </w:p>
    <w:sectPr w:rsidR="00EC3E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2437E"/>
    <w:multiLevelType w:val="multilevel"/>
    <w:tmpl w:val="D174CD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A8419F"/>
    <w:multiLevelType w:val="multilevel"/>
    <w:tmpl w:val="823CC5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8B788D"/>
    <w:multiLevelType w:val="multilevel"/>
    <w:tmpl w:val="294821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AF0465"/>
    <w:multiLevelType w:val="multilevel"/>
    <w:tmpl w:val="812048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FC4B60"/>
    <w:multiLevelType w:val="multilevel"/>
    <w:tmpl w:val="A7B8D3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707A01"/>
    <w:multiLevelType w:val="hybridMultilevel"/>
    <w:tmpl w:val="7898E0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4170D24"/>
    <w:multiLevelType w:val="multilevel"/>
    <w:tmpl w:val="9CD0407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BD461BF"/>
    <w:multiLevelType w:val="multilevel"/>
    <w:tmpl w:val="2D405B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3"/>
  </w:num>
  <w:num w:numId="4">
    <w:abstractNumId w:val="0"/>
  </w:num>
  <w:num w:numId="5">
    <w:abstractNumId w:val="4"/>
  </w:num>
  <w:num w:numId="6">
    <w:abstractNumId w:val="6"/>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6BA"/>
    <w:rsid w:val="006A016E"/>
    <w:rsid w:val="00D756BA"/>
    <w:rsid w:val="00EC3EAB"/>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756BA"/>
    <w:pPr>
      <w:spacing w:before="75" w:after="75" w:line="240" w:lineRule="auto"/>
      <w:outlineLvl w:val="1"/>
    </w:pPr>
    <w:rPr>
      <w:rFonts w:ascii="Verdana" w:eastAsia="Times New Roman" w:hAnsi="Verdana" w:cs="Times New Roman"/>
      <w:b/>
      <w:bCs/>
      <w:color w:val="000000"/>
      <w:sz w:val="24"/>
      <w:szCs w:val="24"/>
    </w:rPr>
  </w:style>
  <w:style w:type="paragraph" w:styleId="Heading3">
    <w:name w:val="heading 3"/>
    <w:basedOn w:val="Normal"/>
    <w:link w:val="Heading3Char"/>
    <w:uiPriority w:val="9"/>
    <w:qFormat/>
    <w:rsid w:val="00D756BA"/>
    <w:pPr>
      <w:spacing w:before="75" w:after="75" w:line="240" w:lineRule="auto"/>
      <w:outlineLvl w:val="2"/>
    </w:pPr>
    <w:rPr>
      <w:rFonts w:ascii="Verdana" w:eastAsia="Times New Roman" w:hAnsi="Verdana" w:cs="Times New Roman"/>
      <w:b/>
      <w:bCs/>
      <w:color w:val="958616"/>
      <w:sz w:val="24"/>
      <w:szCs w:val="24"/>
    </w:rPr>
  </w:style>
  <w:style w:type="paragraph" w:styleId="Heading4">
    <w:name w:val="heading 4"/>
    <w:basedOn w:val="Normal"/>
    <w:link w:val="Heading4Char"/>
    <w:uiPriority w:val="9"/>
    <w:qFormat/>
    <w:rsid w:val="00D756BA"/>
    <w:pPr>
      <w:spacing w:before="75" w:after="75" w:line="240" w:lineRule="auto"/>
      <w:outlineLvl w:val="3"/>
    </w:pPr>
    <w:rPr>
      <w:rFonts w:ascii="Verdana" w:eastAsia="Times New Roman" w:hAnsi="Verdana" w:cs="Times New Roman"/>
      <w:b/>
      <w:bCs/>
      <w:color w:val="000000"/>
      <w:sz w:val="20"/>
      <w:szCs w:val="20"/>
    </w:rPr>
  </w:style>
  <w:style w:type="paragraph" w:styleId="Heading5">
    <w:name w:val="heading 5"/>
    <w:basedOn w:val="Normal"/>
    <w:next w:val="Normal"/>
    <w:link w:val="Heading5Char"/>
    <w:uiPriority w:val="9"/>
    <w:semiHidden/>
    <w:unhideWhenUsed/>
    <w:qFormat/>
    <w:rsid w:val="00D756B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56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56BA"/>
    <w:rPr>
      <w:rFonts w:ascii="Tahoma" w:hAnsi="Tahoma" w:cs="Tahoma"/>
      <w:sz w:val="16"/>
      <w:szCs w:val="16"/>
    </w:rPr>
  </w:style>
  <w:style w:type="character" w:customStyle="1" w:styleId="Heading2Char">
    <w:name w:val="Heading 2 Char"/>
    <w:basedOn w:val="DefaultParagraphFont"/>
    <w:link w:val="Heading2"/>
    <w:uiPriority w:val="9"/>
    <w:rsid w:val="00D756BA"/>
    <w:rPr>
      <w:rFonts w:ascii="Verdana" w:eastAsia="Times New Roman" w:hAnsi="Verdana" w:cs="Times New Roman"/>
      <w:b/>
      <w:bCs/>
      <w:color w:val="000000"/>
      <w:sz w:val="24"/>
      <w:szCs w:val="24"/>
    </w:rPr>
  </w:style>
  <w:style w:type="character" w:customStyle="1" w:styleId="Heading3Char">
    <w:name w:val="Heading 3 Char"/>
    <w:basedOn w:val="DefaultParagraphFont"/>
    <w:link w:val="Heading3"/>
    <w:uiPriority w:val="9"/>
    <w:rsid w:val="00D756BA"/>
    <w:rPr>
      <w:rFonts w:ascii="Verdana" w:eastAsia="Times New Roman" w:hAnsi="Verdana" w:cs="Times New Roman"/>
      <w:b/>
      <w:bCs/>
      <w:color w:val="958616"/>
      <w:sz w:val="24"/>
      <w:szCs w:val="24"/>
    </w:rPr>
  </w:style>
  <w:style w:type="character" w:customStyle="1" w:styleId="Heading4Char">
    <w:name w:val="Heading 4 Char"/>
    <w:basedOn w:val="DefaultParagraphFont"/>
    <w:link w:val="Heading4"/>
    <w:uiPriority w:val="9"/>
    <w:rsid w:val="00D756BA"/>
    <w:rPr>
      <w:rFonts w:ascii="Verdana" w:eastAsia="Times New Roman" w:hAnsi="Verdana" w:cs="Times New Roman"/>
      <w:b/>
      <w:bCs/>
      <w:color w:val="000000"/>
      <w:sz w:val="20"/>
      <w:szCs w:val="20"/>
    </w:rPr>
  </w:style>
  <w:style w:type="character" w:styleId="Strong">
    <w:name w:val="Strong"/>
    <w:basedOn w:val="DefaultParagraphFont"/>
    <w:uiPriority w:val="22"/>
    <w:qFormat/>
    <w:rsid w:val="00D756BA"/>
    <w:rPr>
      <w:b/>
      <w:bCs/>
      <w:i w:val="0"/>
      <w:iCs w:val="0"/>
    </w:rPr>
  </w:style>
  <w:style w:type="paragraph" w:styleId="NormalWeb">
    <w:name w:val="Normal (Web)"/>
    <w:basedOn w:val="Normal"/>
    <w:uiPriority w:val="99"/>
    <w:unhideWhenUsed/>
    <w:rsid w:val="00D756BA"/>
    <w:pPr>
      <w:spacing w:before="75" w:after="75" w:line="240" w:lineRule="auto"/>
    </w:pPr>
    <w:rPr>
      <w:rFonts w:ascii="Times New Roman" w:eastAsia="Times New Roman" w:hAnsi="Times New Roman" w:cs="Times New Roman"/>
      <w:sz w:val="24"/>
      <w:szCs w:val="24"/>
    </w:rPr>
  </w:style>
  <w:style w:type="character" w:customStyle="1" w:styleId="note1">
    <w:name w:val="note1"/>
    <w:basedOn w:val="DefaultParagraphFont"/>
    <w:rsid w:val="00D756BA"/>
    <w:rPr>
      <w:color w:val="393939"/>
    </w:rPr>
  </w:style>
  <w:style w:type="character" w:styleId="Hyperlink">
    <w:name w:val="Hyperlink"/>
    <w:basedOn w:val="DefaultParagraphFont"/>
    <w:uiPriority w:val="99"/>
    <w:semiHidden/>
    <w:unhideWhenUsed/>
    <w:rsid w:val="00D756BA"/>
    <w:rPr>
      <w:color w:val="597D9A"/>
      <w:u w:val="single"/>
    </w:rPr>
  </w:style>
  <w:style w:type="character" w:customStyle="1" w:styleId="Heading5Char">
    <w:name w:val="Heading 5 Char"/>
    <w:basedOn w:val="DefaultParagraphFont"/>
    <w:link w:val="Heading5"/>
    <w:uiPriority w:val="9"/>
    <w:semiHidden/>
    <w:rsid w:val="00D756BA"/>
    <w:rPr>
      <w:rFonts w:asciiTheme="majorHAnsi" w:eastAsiaTheme="majorEastAsia" w:hAnsiTheme="majorHAnsi" w:cstheme="majorBidi"/>
      <w:color w:val="243F60" w:themeColor="accent1" w:themeShade="7F"/>
    </w:rPr>
  </w:style>
  <w:style w:type="character" w:styleId="Emphasis">
    <w:name w:val="Emphasis"/>
    <w:basedOn w:val="DefaultParagraphFont"/>
    <w:uiPriority w:val="20"/>
    <w:qFormat/>
    <w:rsid w:val="00D756BA"/>
    <w:rPr>
      <w:b w:val="0"/>
      <w:bCs w:val="0"/>
      <w:i/>
      <w:iCs/>
    </w:rPr>
  </w:style>
  <w:style w:type="paragraph" w:customStyle="1" w:styleId="note">
    <w:name w:val="note"/>
    <w:basedOn w:val="Normal"/>
    <w:rsid w:val="00D756BA"/>
    <w:pPr>
      <w:spacing w:before="75" w:after="75" w:line="240" w:lineRule="auto"/>
    </w:pPr>
    <w:rPr>
      <w:rFonts w:ascii="Times New Roman" w:eastAsia="Times New Roman" w:hAnsi="Times New Roman" w:cs="Times New Roman"/>
      <w:color w:val="393939"/>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756BA"/>
    <w:pPr>
      <w:spacing w:before="75" w:after="75" w:line="240" w:lineRule="auto"/>
      <w:outlineLvl w:val="1"/>
    </w:pPr>
    <w:rPr>
      <w:rFonts w:ascii="Verdana" w:eastAsia="Times New Roman" w:hAnsi="Verdana" w:cs="Times New Roman"/>
      <w:b/>
      <w:bCs/>
      <w:color w:val="000000"/>
      <w:sz w:val="24"/>
      <w:szCs w:val="24"/>
    </w:rPr>
  </w:style>
  <w:style w:type="paragraph" w:styleId="Heading3">
    <w:name w:val="heading 3"/>
    <w:basedOn w:val="Normal"/>
    <w:link w:val="Heading3Char"/>
    <w:uiPriority w:val="9"/>
    <w:qFormat/>
    <w:rsid w:val="00D756BA"/>
    <w:pPr>
      <w:spacing w:before="75" w:after="75" w:line="240" w:lineRule="auto"/>
      <w:outlineLvl w:val="2"/>
    </w:pPr>
    <w:rPr>
      <w:rFonts w:ascii="Verdana" w:eastAsia="Times New Roman" w:hAnsi="Verdana" w:cs="Times New Roman"/>
      <w:b/>
      <w:bCs/>
      <w:color w:val="958616"/>
      <w:sz w:val="24"/>
      <w:szCs w:val="24"/>
    </w:rPr>
  </w:style>
  <w:style w:type="paragraph" w:styleId="Heading4">
    <w:name w:val="heading 4"/>
    <w:basedOn w:val="Normal"/>
    <w:link w:val="Heading4Char"/>
    <w:uiPriority w:val="9"/>
    <w:qFormat/>
    <w:rsid w:val="00D756BA"/>
    <w:pPr>
      <w:spacing w:before="75" w:after="75" w:line="240" w:lineRule="auto"/>
      <w:outlineLvl w:val="3"/>
    </w:pPr>
    <w:rPr>
      <w:rFonts w:ascii="Verdana" w:eastAsia="Times New Roman" w:hAnsi="Verdana" w:cs="Times New Roman"/>
      <w:b/>
      <w:bCs/>
      <w:color w:val="000000"/>
      <w:sz w:val="20"/>
      <w:szCs w:val="20"/>
    </w:rPr>
  </w:style>
  <w:style w:type="paragraph" w:styleId="Heading5">
    <w:name w:val="heading 5"/>
    <w:basedOn w:val="Normal"/>
    <w:next w:val="Normal"/>
    <w:link w:val="Heading5Char"/>
    <w:uiPriority w:val="9"/>
    <w:semiHidden/>
    <w:unhideWhenUsed/>
    <w:qFormat/>
    <w:rsid w:val="00D756B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56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56BA"/>
    <w:rPr>
      <w:rFonts w:ascii="Tahoma" w:hAnsi="Tahoma" w:cs="Tahoma"/>
      <w:sz w:val="16"/>
      <w:szCs w:val="16"/>
    </w:rPr>
  </w:style>
  <w:style w:type="character" w:customStyle="1" w:styleId="Heading2Char">
    <w:name w:val="Heading 2 Char"/>
    <w:basedOn w:val="DefaultParagraphFont"/>
    <w:link w:val="Heading2"/>
    <w:uiPriority w:val="9"/>
    <w:rsid w:val="00D756BA"/>
    <w:rPr>
      <w:rFonts w:ascii="Verdana" w:eastAsia="Times New Roman" w:hAnsi="Verdana" w:cs="Times New Roman"/>
      <w:b/>
      <w:bCs/>
      <w:color w:val="000000"/>
      <w:sz w:val="24"/>
      <w:szCs w:val="24"/>
    </w:rPr>
  </w:style>
  <w:style w:type="character" w:customStyle="1" w:styleId="Heading3Char">
    <w:name w:val="Heading 3 Char"/>
    <w:basedOn w:val="DefaultParagraphFont"/>
    <w:link w:val="Heading3"/>
    <w:uiPriority w:val="9"/>
    <w:rsid w:val="00D756BA"/>
    <w:rPr>
      <w:rFonts w:ascii="Verdana" w:eastAsia="Times New Roman" w:hAnsi="Verdana" w:cs="Times New Roman"/>
      <w:b/>
      <w:bCs/>
      <w:color w:val="958616"/>
      <w:sz w:val="24"/>
      <w:szCs w:val="24"/>
    </w:rPr>
  </w:style>
  <w:style w:type="character" w:customStyle="1" w:styleId="Heading4Char">
    <w:name w:val="Heading 4 Char"/>
    <w:basedOn w:val="DefaultParagraphFont"/>
    <w:link w:val="Heading4"/>
    <w:uiPriority w:val="9"/>
    <w:rsid w:val="00D756BA"/>
    <w:rPr>
      <w:rFonts w:ascii="Verdana" w:eastAsia="Times New Roman" w:hAnsi="Verdana" w:cs="Times New Roman"/>
      <w:b/>
      <w:bCs/>
      <w:color w:val="000000"/>
      <w:sz w:val="20"/>
      <w:szCs w:val="20"/>
    </w:rPr>
  </w:style>
  <w:style w:type="character" w:styleId="Strong">
    <w:name w:val="Strong"/>
    <w:basedOn w:val="DefaultParagraphFont"/>
    <w:uiPriority w:val="22"/>
    <w:qFormat/>
    <w:rsid w:val="00D756BA"/>
    <w:rPr>
      <w:b/>
      <w:bCs/>
      <w:i w:val="0"/>
      <w:iCs w:val="0"/>
    </w:rPr>
  </w:style>
  <w:style w:type="paragraph" w:styleId="NormalWeb">
    <w:name w:val="Normal (Web)"/>
    <w:basedOn w:val="Normal"/>
    <w:uiPriority w:val="99"/>
    <w:unhideWhenUsed/>
    <w:rsid w:val="00D756BA"/>
    <w:pPr>
      <w:spacing w:before="75" w:after="75" w:line="240" w:lineRule="auto"/>
    </w:pPr>
    <w:rPr>
      <w:rFonts w:ascii="Times New Roman" w:eastAsia="Times New Roman" w:hAnsi="Times New Roman" w:cs="Times New Roman"/>
      <w:sz w:val="24"/>
      <w:szCs w:val="24"/>
    </w:rPr>
  </w:style>
  <w:style w:type="character" w:customStyle="1" w:styleId="note1">
    <w:name w:val="note1"/>
    <w:basedOn w:val="DefaultParagraphFont"/>
    <w:rsid w:val="00D756BA"/>
    <w:rPr>
      <w:color w:val="393939"/>
    </w:rPr>
  </w:style>
  <w:style w:type="character" w:styleId="Hyperlink">
    <w:name w:val="Hyperlink"/>
    <w:basedOn w:val="DefaultParagraphFont"/>
    <w:uiPriority w:val="99"/>
    <w:semiHidden/>
    <w:unhideWhenUsed/>
    <w:rsid w:val="00D756BA"/>
    <w:rPr>
      <w:color w:val="597D9A"/>
      <w:u w:val="single"/>
    </w:rPr>
  </w:style>
  <w:style w:type="character" w:customStyle="1" w:styleId="Heading5Char">
    <w:name w:val="Heading 5 Char"/>
    <w:basedOn w:val="DefaultParagraphFont"/>
    <w:link w:val="Heading5"/>
    <w:uiPriority w:val="9"/>
    <w:semiHidden/>
    <w:rsid w:val="00D756BA"/>
    <w:rPr>
      <w:rFonts w:asciiTheme="majorHAnsi" w:eastAsiaTheme="majorEastAsia" w:hAnsiTheme="majorHAnsi" w:cstheme="majorBidi"/>
      <w:color w:val="243F60" w:themeColor="accent1" w:themeShade="7F"/>
    </w:rPr>
  </w:style>
  <w:style w:type="character" w:styleId="Emphasis">
    <w:name w:val="Emphasis"/>
    <w:basedOn w:val="DefaultParagraphFont"/>
    <w:uiPriority w:val="20"/>
    <w:qFormat/>
    <w:rsid w:val="00D756BA"/>
    <w:rPr>
      <w:b w:val="0"/>
      <w:bCs w:val="0"/>
      <w:i/>
      <w:iCs/>
    </w:rPr>
  </w:style>
  <w:style w:type="paragraph" w:customStyle="1" w:styleId="note">
    <w:name w:val="note"/>
    <w:basedOn w:val="Normal"/>
    <w:rsid w:val="00D756BA"/>
    <w:pPr>
      <w:spacing w:before="75" w:after="75" w:line="240" w:lineRule="auto"/>
    </w:pPr>
    <w:rPr>
      <w:rFonts w:ascii="Times New Roman" w:eastAsia="Times New Roman" w:hAnsi="Times New Roman" w:cs="Times New Roman"/>
      <w:color w:val="393939"/>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6666">
      <w:bodyDiv w:val="1"/>
      <w:marLeft w:val="0"/>
      <w:marRight w:val="0"/>
      <w:marTop w:val="0"/>
      <w:marBottom w:val="0"/>
      <w:divBdr>
        <w:top w:val="none" w:sz="0" w:space="0" w:color="auto"/>
        <w:left w:val="none" w:sz="0" w:space="0" w:color="auto"/>
        <w:bottom w:val="none" w:sz="0" w:space="0" w:color="auto"/>
        <w:right w:val="none" w:sz="0" w:space="0" w:color="auto"/>
      </w:divBdr>
      <w:divsChild>
        <w:div w:id="473640660">
          <w:marLeft w:val="0"/>
          <w:marRight w:val="0"/>
          <w:marTop w:val="0"/>
          <w:marBottom w:val="0"/>
          <w:divBdr>
            <w:top w:val="none" w:sz="0" w:space="0" w:color="auto"/>
            <w:left w:val="none" w:sz="0" w:space="0" w:color="auto"/>
            <w:bottom w:val="none" w:sz="0" w:space="0" w:color="auto"/>
            <w:right w:val="none" w:sz="0" w:space="0" w:color="auto"/>
          </w:divBdr>
          <w:divsChild>
            <w:div w:id="473765089">
              <w:marLeft w:val="0"/>
              <w:marRight w:val="0"/>
              <w:marTop w:val="0"/>
              <w:marBottom w:val="0"/>
              <w:divBdr>
                <w:top w:val="none" w:sz="0" w:space="0" w:color="auto"/>
                <w:left w:val="none" w:sz="0" w:space="0" w:color="auto"/>
                <w:bottom w:val="none" w:sz="0" w:space="0" w:color="auto"/>
                <w:right w:val="none" w:sz="0" w:space="0" w:color="auto"/>
              </w:divBdr>
              <w:divsChild>
                <w:div w:id="1645156785">
                  <w:marLeft w:val="0"/>
                  <w:marRight w:val="0"/>
                  <w:marTop w:val="0"/>
                  <w:marBottom w:val="0"/>
                  <w:divBdr>
                    <w:top w:val="none" w:sz="0" w:space="0" w:color="auto"/>
                    <w:left w:val="none" w:sz="0" w:space="0" w:color="auto"/>
                    <w:bottom w:val="none" w:sz="0" w:space="0" w:color="auto"/>
                    <w:right w:val="none" w:sz="0" w:space="0" w:color="auto"/>
                  </w:divBdr>
                  <w:divsChild>
                    <w:div w:id="169679152">
                      <w:marLeft w:val="0"/>
                      <w:marRight w:val="0"/>
                      <w:marTop w:val="0"/>
                      <w:marBottom w:val="0"/>
                      <w:divBdr>
                        <w:top w:val="none" w:sz="0" w:space="0" w:color="auto"/>
                        <w:left w:val="none" w:sz="0" w:space="0" w:color="auto"/>
                        <w:bottom w:val="none" w:sz="0" w:space="0" w:color="auto"/>
                        <w:right w:val="none" w:sz="0" w:space="0" w:color="auto"/>
                      </w:divBdr>
                      <w:divsChild>
                        <w:div w:id="1280802074">
                          <w:marLeft w:val="0"/>
                          <w:marRight w:val="0"/>
                          <w:marTop w:val="0"/>
                          <w:marBottom w:val="0"/>
                          <w:divBdr>
                            <w:top w:val="none" w:sz="0" w:space="0" w:color="auto"/>
                            <w:left w:val="none" w:sz="0" w:space="0" w:color="auto"/>
                            <w:bottom w:val="none" w:sz="0" w:space="0" w:color="auto"/>
                            <w:right w:val="none" w:sz="0" w:space="0" w:color="auto"/>
                          </w:divBdr>
                          <w:divsChild>
                            <w:div w:id="1068066782">
                              <w:marLeft w:val="0"/>
                              <w:marRight w:val="0"/>
                              <w:marTop w:val="0"/>
                              <w:marBottom w:val="0"/>
                              <w:divBdr>
                                <w:top w:val="none" w:sz="0" w:space="0" w:color="auto"/>
                                <w:left w:val="none" w:sz="0" w:space="0" w:color="auto"/>
                                <w:bottom w:val="none" w:sz="0" w:space="0" w:color="auto"/>
                                <w:right w:val="none" w:sz="0" w:space="0" w:color="auto"/>
                              </w:divBdr>
                              <w:divsChild>
                                <w:div w:id="1314020397">
                                  <w:marLeft w:val="150"/>
                                  <w:marRight w:val="30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620581">
      <w:bodyDiv w:val="1"/>
      <w:marLeft w:val="0"/>
      <w:marRight w:val="0"/>
      <w:marTop w:val="0"/>
      <w:marBottom w:val="0"/>
      <w:divBdr>
        <w:top w:val="none" w:sz="0" w:space="0" w:color="auto"/>
        <w:left w:val="none" w:sz="0" w:space="0" w:color="auto"/>
        <w:bottom w:val="none" w:sz="0" w:space="0" w:color="auto"/>
        <w:right w:val="none" w:sz="0" w:space="0" w:color="auto"/>
      </w:divBdr>
      <w:divsChild>
        <w:div w:id="1667896558">
          <w:marLeft w:val="0"/>
          <w:marRight w:val="0"/>
          <w:marTop w:val="0"/>
          <w:marBottom w:val="0"/>
          <w:divBdr>
            <w:top w:val="none" w:sz="0" w:space="0" w:color="auto"/>
            <w:left w:val="none" w:sz="0" w:space="0" w:color="auto"/>
            <w:bottom w:val="none" w:sz="0" w:space="0" w:color="auto"/>
            <w:right w:val="none" w:sz="0" w:space="0" w:color="auto"/>
          </w:divBdr>
          <w:divsChild>
            <w:div w:id="1310747848">
              <w:marLeft w:val="0"/>
              <w:marRight w:val="0"/>
              <w:marTop w:val="0"/>
              <w:marBottom w:val="0"/>
              <w:divBdr>
                <w:top w:val="none" w:sz="0" w:space="0" w:color="auto"/>
                <w:left w:val="none" w:sz="0" w:space="0" w:color="auto"/>
                <w:bottom w:val="none" w:sz="0" w:space="0" w:color="auto"/>
                <w:right w:val="none" w:sz="0" w:space="0" w:color="auto"/>
              </w:divBdr>
              <w:divsChild>
                <w:div w:id="609779706">
                  <w:marLeft w:val="0"/>
                  <w:marRight w:val="0"/>
                  <w:marTop w:val="0"/>
                  <w:marBottom w:val="0"/>
                  <w:divBdr>
                    <w:top w:val="none" w:sz="0" w:space="0" w:color="auto"/>
                    <w:left w:val="none" w:sz="0" w:space="0" w:color="auto"/>
                    <w:bottom w:val="none" w:sz="0" w:space="0" w:color="auto"/>
                    <w:right w:val="none" w:sz="0" w:space="0" w:color="auto"/>
                  </w:divBdr>
                  <w:divsChild>
                    <w:div w:id="163669497">
                      <w:marLeft w:val="0"/>
                      <w:marRight w:val="0"/>
                      <w:marTop w:val="0"/>
                      <w:marBottom w:val="0"/>
                      <w:divBdr>
                        <w:top w:val="none" w:sz="0" w:space="0" w:color="auto"/>
                        <w:left w:val="none" w:sz="0" w:space="0" w:color="auto"/>
                        <w:bottom w:val="none" w:sz="0" w:space="0" w:color="auto"/>
                        <w:right w:val="none" w:sz="0" w:space="0" w:color="auto"/>
                      </w:divBdr>
                      <w:divsChild>
                        <w:div w:id="1225606356">
                          <w:marLeft w:val="0"/>
                          <w:marRight w:val="0"/>
                          <w:marTop w:val="0"/>
                          <w:marBottom w:val="0"/>
                          <w:divBdr>
                            <w:top w:val="none" w:sz="0" w:space="0" w:color="auto"/>
                            <w:left w:val="none" w:sz="0" w:space="0" w:color="auto"/>
                            <w:bottom w:val="none" w:sz="0" w:space="0" w:color="auto"/>
                            <w:right w:val="none" w:sz="0" w:space="0" w:color="auto"/>
                          </w:divBdr>
                          <w:divsChild>
                            <w:div w:id="690692427">
                              <w:marLeft w:val="0"/>
                              <w:marRight w:val="0"/>
                              <w:marTop w:val="0"/>
                              <w:marBottom w:val="0"/>
                              <w:divBdr>
                                <w:top w:val="none" w:sz="0" w:space="0" w:color="auto"/>
                                <w:left w:val="none" w:sz="0" w:space="0" w:color="auto"/>
                                <w:bottom w:val="none" w:sz="0" w:space="0" w:color="auto"/>
                                <w:right w:val="none" w:sz="0" w:space="0" w:color="auto"/>
                              </w:divBdr>
                              <w:divsChild>
                                <w:div w:id="124495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009326">
      <w:bodyDiv w:val="1"/>
      <w:marLeft w:val="0"/>
      <w:marRight w:val="0"/>
      <w:marTop w:val="0"/>
      <w:marBottom w:val="0"/>
      <w:divBdr>
        <w:top w:val="none" w:sz="0" w:space="0" w:color="auto"/>
        <w:left w:val="none" w:sz="0" w:space="0" w:color="auto"/>
        <w:bottom w:val="none" w:sz="0" w:space="0" w:color="auto"/>
        <w:right w:val="none" w:sz="0" w:space="0" w:color="auto"/>
      </w:divBdr>
      <w:divsChild>
        <w:div w:id="2119713673">
          <w:marLeft w:val="0"/>
          <w:marRight w:val="0"/>
          <w:marTop w:val="0"/>
          <w:marBottom w:val="0"/>
          <w:divBdr>
            <w:top w:val="none" w:sz="0" w:space="0" w:color="auto"/>
            <w:left w:val="none" w:sz="0" w:space="0" w:color="auto"/>
            <w:bottom w:val="none" w:sz="0" w:space="0" w:color="auto"/>
            <w:right w:val="none" w:sz="0" w:space="0" w:color="auto"/>
          </w:divBdr>
          <w:divsChild>
            <w:div w:id="25719029">
              <w:marLeft w:val="0"/>
              <w:marRight w:val="0"/>
              <w:marTop w:val="0"/>
              <w:marBottom w:val="0"/>
              <w:divBdr>
                <w:top w:val="none" w:sz="0" w:space="0" w:color="auto"/>
                <w:left w:val="none" w:sz="0" w:space="0" w:color="auto"/>
                <w:bottom w:val="none" w:sz="0" w:space="0" w:color="auto"/>
                <w:right w:val="none" w:sz="0" w:space="0" w:color="auto"/>
              </w:divBdr>
              <w:divsChild>
                <w:div w:id="1977761603">
                  <w:marLeft w:val="0"/>
                  <w:marRight w:val="0"/>
                  <w:marTop w:val="0"/>
                  <w:marBottom w:val="0"/>
                  <w:divBdr>
                    <w:top w:val="none" w:sz="0" w:space="0" w:color="auto"/>
                    <w:left w:val="none" w:sz="0" w:space="0" w:color="auto"/>
                    <w:bottom w:val="none" w:sz="0" w:space="0" w:color="auto"/>
                    <w:right w:val="none" w:sz="0" w:space="0" w:color="auto"/>
                  </w:divBdr>
                  <w:divsChild>
                    <w:div w:id="1458329499">
                      <w:marLeft w:val="0"/>
                      <w:marRight w:val="0"/>
                      <w:marTop w:val="0"/>
                      <w:marBottom w:val="0"/>
                      <w:divBdr>
                        <w:top w:val="none" w:sz="0" w:space="0" w:color="auto"/>
                        <w:left w:val="none" w:sz="0" w:space="0" w:color="auto"/>
                        <w:bottom w:val="none" w:sz="0" w:space="0" w:color="auto"/>
                        <w:right w:val="none" w:sz="0" w:space="0" w:color="auto"/>
                      </w:divBdr>
                      <w:divsChild>
                        <w:div w:id="538786942">
                          <w:marLeft w:val="0"/>
                          <w:marRight w:val="0"/>
                          <w:marTop w:val="0"/>
                          <w:marBottom w:val="0"/>
                          <w:divBdr>
                            <w:top w:val="none" w:sz="0" w:space="0" w:color="auto"/>
                            <w:left w:val="none" w:sz="0" w:space="0" w:color="auto"/>
                            <w:bottom w:val="none" w:sz="0" w:space="0" w:color="auto"/>
                            <w:right w:val="none" w:sz="0" w:space="0" w:color="auto"/>
                          </w:divBdr>
                          <w:divsChild>
                            <w:div w:id="1716658186">
                              <w:marLeft w:val="0"/>
                              <w:marRight w:val="0"/>
                              <w:marTop w:val="0"/>
                              <w:marBottom w:val="0"/>
                              <w:divBdr>
                                <w:top w:val="none" w:sz="0" w:space="0" w:color="auto"/>
                                <w:left w:val="none" w:sz="0" w:space="0" w:color="auto"/>
                                <w:bottom w:val="none" w:sz="0" w:space="0" w:color="auto"/>
                                <w:right w:val="none" w:sz="0" w:space="0" w:color="auto"/>
                              </w:divBdr>
                              <w:divsChild>
                                <w:div w:id="909732460">
                                  <w:marLeft w:val="150"/>
                                  <w:marRight w:val="30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9846819">
      <w:bodyDiv w:val="1"/>
      <w:marLeft w:val="0"/>
      <w:marRight w:val="0"/>
      <w:marTop w:val="0"/>
      <w:marBottom w:val="0"/>
      <w:divBdr>
        <w:top w:val="none" w:sz="0" w:space="0" w:color="auto"/>
        <w:left w:val="none" w:sz="0" w:space="0" w:color="auto"/>
        <w:bottom w:val="none" w:sz="0" w:space="0" w:color="auto"/>
        <w:right w:val="none" w:sz="0" w:space="0" w:color="auto"/>
      </w:divBdr>
      <w:divsChild>
        <w:div w:id="621032886">
          <w:marLeft w:val="0"/>
          <w:marRight w:val="0"/>
          <w:marTop w:val="0"/>
          <w:marBottom w:val="0"/>
          <w:divBdr>
            <w:top w:val="none" w:sz="0" w:space="0" w:color="auto"/>
            <w:left w:val="none" w:sz="0" w:space="0" w:color="auto"/>
            <w:bottom w:val="none" w:sz="0" w:space="0" w:color="auto"/>
            <w:right w:val="none" w:sz="0" w:space="0" w:color="auto"/>
          </w:divBdr>
          <w:divsChild>
            <w:div w:id="969629093">
              <w:marLeft w:val="0"/>
              <w:marRight w:val="0"/>
              <w:marTop w:val="0"/>
              <w:marBottom w:val="0"/>
              <w:divBdr>
                <w:top w:val="none" w:sz="0" w:space="0" w:color="auto"/>
                <w:left w:val="none" w:sz="0" w:space="0" w:color="auto"/>
                <w:bottom w:val="none" w:sz="0" w:space="0" w:color="auto"/>
                <w:right w:val="none" w:sz="0" w:space="0" w:color="auto"/>
              </w:divBdr>
              <w:divsChild>
                <w:div w:id="2147157020">
                  <w:marLeft w:val="0"/>
                  <w:marRight w:val="0"/>
                  <w:marTop w:val="0"/>
                  <w:marBottom w:val="0"/>
                  <w:divBdr>
                    <w:top w:val="none" w:sz="0" w:space="0" w:color="auto"/>
                    <w:left w:val="none" w:sz="0" w:space="0" w:color="auto"/>
                    <w:bottom w:val="none" w:sz="0" w:space="0" w:color="auto"/>
                    <w:right w:val="none" w:sz="0" w:space="0" w:color="auto"/>
                  </w:divBdr>
                  <w:divsChild>
                    <w:div w:id="1066878821">
                      <w:marLeft w:val="0"/>
                      <w:marRight w:val="0"/>
                      <w:marTop w:val="0"/>
                      <w:marBottom w:val="0"/>
                      <w:divBdr>
                        <w:top w:val="none" w:sz="0" w:space="0" w:color="auto"/>
                        <w:left w:val="none" w:sz="0" w:space="0" w:color="auto"/>
                        <w:bottom w:val="none" w:sz="0" w:space="0" w:color="auto"/>
                        <w:right w:val="none" w:sz="0" w:space="0" w:color="auto"/>
                      </w:divBdr>
                      <w:divsChild>
                        <w:div w:id="856120054">
                          <w:marLeft w:val="0"/>
                          <w:marRight w:val="0"/>
                          <w:marTop w:val="0"/>
                          <w:marBottom w:val="0"/>
                          <w:divBdr>
                            <w:top w:val="none" w:sz="0" w:space="0" w:color="auto"/>
                            <w:left w:val="none" w:sz="0" w:space="0" w:color="auto"/>
                            <w:bottom w:val="none" w:sz="0" w:space="0" w:color="auto"/>
                            <w:right w:val="none" w:sz="0" w:space="0" w:color="auto"/>
                          </w:divBdr>
                          <w:divsChild>
                            <w:div w:id="1232499758">
                              <w:marLeft w:val="0"/>
                              <w:marRight w:val="0"/>
                              <w:marTop w:val="0"/>
                              <w:marBottom w:val="0"/>
                              <w:divBdr>
                                <w:top w:val="none" w:sz="0" w:space="0" w:color="auto"/>
                                <w:left w:val="none" w:sz="0" w:space="0" w:color="auto"/>
                                <w:bottom w:val="none" w:sz="0" w:space="0" w:color="auto"/>
                                <w:right w:val="none" w:sz="0" w:space="0" w:color="auto"/>
                              </w:divBdr>
                              <w:divsChild>
                                <w:div w:id="1542397618">
                                  <w:marLeft w:val="0"/>
                                  <w:marRight w:val="0"/>
                                  <w:marTop w:val="0"/>
                                  <w:marBottom w:val="0"/>
                                  <w:divBdr>
                                    <w:top w:val="none" w:sz="0" w:space="0" w:color="auto"/>
                                    <w:left w:val="none" w:sz="0" w:space="0" w:color="auto"/>
                                    <w:bottom w:val="none" w:sz="0" w:space="0" w:color="auto"/>
                                    <w:right w:val="none" w:sz="0" w:space="0" w:color="auto"/>
                                  </w:divBdr>
                                </w:div>
                                <w:div w:id="77751976">
                                  <w:marLeft w:val="0"/>
                                  <w:marRight w:val="0"/>
                                  <w:marTop w:val="0"/>
                                  <w:marBottom w:val="0"/>
                                  <w:divBdr>
                                    <w:top w:val="none" w:sz="0" w:space="0" w:color="auto"/>
                                    <w:left w:val="none" w:sz="0" w:space="0" w:color="auto"/>
                                    <w:bottom w:val="none" w:sz="0" w:space="0" w:color="auto"/>
                                    <w:right w:val="none" w:sz="0" w:space="0" w:color="auto"/>
                                  </w:divBdr>
                                </w:div>
                                <w:div w:id="165039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6324147">
      <w:bodyDiv w:val="1"/>
      <w:marLeft w:val="0"/>
      <w:marRight w:val="0"/>
      <w:marTop w:val="0"/>
      <w:marBottom w:val="0"/>
      <w:divBdr>
        <w:top w:val="none" w:sz="0" w:space="0" w:color="auto"/>
        <w:left w:val="none" w:sz="0" w:space="0" w:color="auto"/>
        <w:bottom w:val="none" w:sz="0" w:space="0" w:color="auto"/>
        <w:right w:val="none" w:sz="0" w:space="0" w:color="auto"/>
      </w:divBdr>
      <w:divsChild>
        <w:div w:id="2108769776">
          <w:marLeft w:val="0"/>
          <w:marRight w:val="0"/>
          <w:marTop w:val="0"/>
          <w:marBottom w:val="0"/>
          <w:divBdr>
            <w:top w:val="none" w:sz="0" w:space="0" w:color="auto"/>
            <w:left w:val="none" w:sz="0" w:space="0" w:color="auto"/>
            <w:bottom w:val="none" w:sz="0" w:space="0" w:color="auto"/>
            <w:right w:val="none" w:sz="0" w:space="0" w:color="auto"/>
          </w:divBdr>
          <w:divsChild>
            <w:div w:id="1845045568">
              <w:marLeft w:val="0"/>
              <w:marRight w:val="0"/>
              <w:marTop w:val="0"/>
              <w:marBottom w:val="0"/>
              <w:divBdr>
                <w:top w:val="none" w:sz="0" w:space="0" w:color="auto"/>
                <w:left w:val="none" w:sz="0" w:space="0" w:color="auto"/>
                <w:bottom w:val="none" w:sz="0" w:space="0" w:color="auto"/>
                <w:right w:val="none" w:sz="0" w:space="0" w:color="auto"/>
              </w:divBdr>
              <w:divsChild>
                <w:div w:id="466826804">
                  <w:marLeft w:val="0"/>
                  <w:marRight w:val="0"/>
                  <w:marTop w:val="0"/>
                  <w:marBottom w:val="0"/>
                  <w:divBdr>
                    <w:top w:val="none" w:sz="0" w:space="0" w:color="auto"/>
                    <w:left w:val="none" w:sz="0" w:space="0" w:color="auto"/>
                    <w:bottom w:val="none" w:sz="0" w:space="0" w:color="auto"/>
                    <w:right w:val="none" w:sz="0" w:space="0" w:color="auto"/>
                  </w:divBdr>
                  <w:divsChild>
                    <w:div w:id="1155535260">
                      <w:marLeft w:val="0"/>
                      <w:marRight w:val="0"/>
                      <w:marTop w:val="0"/>
                      <w:marBottom w:val="0"/>
                      <w:divBdr>
                        <w:top w:val="none" w:sz="0" w:space="0" w:color="auto"/>
                        <w:left w:val="none" w:sz="0" w:space="0" w:color="auto"/>
                        <w:bottom w:val="none" w:sz="0" w:space="0" w:color="auto"/>
                        <w:right w:val="none" w:sz="0" w:space="0" w:color="auto"/>
                      </w:divBdr>
                      <w:divsChild>
                        <w:div w:id="471093032">
                          <w:marLeft w:val="0"/>
                          <w:marRight w:val="0"/>
                          <w:marTop w:val="0"/>
                          <w:marBottom w:val="0"/>
                          <w:divBdr>
                            <w:top w:val="none" w:sz="0" w:space="0" w:color="auto"/>
                            <w:left w:val="none" w:sz="0" w:space="0" w:color="auto"/>
                            <w:bottom w:val="none" w:sz="0" w:space="0" w:color="auto"/>
                            <w:right w:val="none" w:sz="0" w:space="0" w:color="auto"/>
                          </w:divBdr>
                          <w:divsChild>
                            <w:div w:id="1197622834">
                              <w:marLeft w:val="0"/>
                              <w:marRight w:val="0"/>
                              <w:marTop w:val="0"/>
                              <w:marBottom w:val="0"/>
                              <w:divBdr>
                                <w:top w:val="none" w:sz="0" w:space="0" w:color="auto"/>
                                <w:left w:val="none" w:sz="0" w:space="0" w:color="auto"/>
                                <w:bottom w:val="none" w:sz="0" w:space="0" w:color="auto"/>
                                <w:right w:val="none" w:sz="0" w:space="0" w:color="auto"/>
                              </w:divBdr>
                              <w:divsChild>
                                <w:div w:id="167191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5480446">
      <w:bodyDiv w:val="1"/>
      <w:marLeft w:val="0"/>
      <w:marRight w:val="0"/>
      <w:marTop w:val="0"/>
      <w:marBottom w:val="0"/>
      <w:divBdr>
        <w:top w:val="none" w:sz="0" w:space="0" w:color="auto"/>
        <w:left w:val="none" w:sz="0" w:space="0" w:color="auto"/>
        <w:bottom w:val="none" w:sz="0" w:space="0" w:color="auto"/>
        <w:right w:val="none" w:sz="0" w:space="0" w:color="auto"/>
      </w:divBdr>
      <w:divsChild>
        <w:div w:id="59914011">
          <w:marLeft w:val="0"/>
          <w:marRight w:val="0"/>
          <w:marTop w:val="0"/>
          <w:marBottom w:val="0"/>
          <w:divBdr>
            <w:top w:val="none" w:sz="0" w:space="0" w:color="auto"/>
            <w:left w:val="none" w:sz="0" w:space="0" w:color="auto"/>
            <w:bottom w:val="none" w:sz="0" w:space="0" w:color="auto"/>
            <w:right w:val="none" w:sz="0" w:space="0" w:color="auto"/>
          </w:divBdr>
          <w:divsChild>
            <w:div w:id="2101873321">
              <w:marLeft w:val="0"/>
              <w:marRight w:val="0"/>
              <w:marTop w:val="0"/>
              <w:marBottom w:val="0"/>
              <w:divBdr>
                <w:top w:val="none" w:sz="0" w:space="0" w:color="auto"/>
                <w:left w:val="none" w:sz="0" w:space="0" w:color="auto"/>
                <w:bottom w:val="none" w:sz="0" w:space="0" w:color="auto"/>
                <w:right w:val="none" w:sz="0" w:space="0" w:color="auto"/>
              </w:divBdr>
              <w:divsChild>
                <w:div w:id="393047371">
                  <w:marLeft w:val="0"/>
                  <w:marRight w:val="0"/>
                  <w:marTop w:val="0"/>
                  <w:marBottom w:val="0"/>
                  <w:divBdr>
                    <w:top w:val="none" w:sz="0" w:space="0" w:color="auto"/>
                    <w:left w:val="none" w:sz="0" w:space="0" w:color="auto"/>
                    <w:bottom w:val="none" w:sz="0" w:space="0" w:color="auto"/>
                    <w:right w:val="none" w:sz="0" w:space="0" w:color="auto"/>
                  </w:divBdr>
                  <w:divsChild>
                    <w:div w:id="1998224743">
                      <w:marLeft w:val="0"/>
                      <w:marRight w:val="0"/>
                      <w:marTop w:val="0"/>
                      <w:marBottom w:val="0"/>
                      <w:divBdr>
                        <w:top w:val="none" w:sz="0" w:space="0" w:color="auto"/>
                        <w:left w:val="none" w:sz="0" w:space="0" w:color="auto"/>
                        <w:bottom w:val="none" w:sz="0" w:space="0" w:color="auto"/>
                        <w:right w:val="none" w:sz="0" w:space="0" w:color="auto"/>
                      </w:divBdr>
                      <w:divsChild>
                        <w:div w:id="1642611329">
                          <w:marLeft w:val="0"/>
                          <w:marRight w:val="0"/>
                          <w:marTop w:val="0"/>
                          <w:marBottom w:val="0"/>
                          <w:divBdr>
                            <w:top w:val="none" w:sz="0" w:space="0" w:color="auto"/>
                            <w:left w:val="none" w:sz="0" w:space="0" w:color="auto"/>
                            <w:bottom w:val="none" w:sz="0" w:space="0" w:color="auto"/>
                            <w:right w:val="none" w:sz="0" w:space="0" w:color="auto"/>
                          </w:divBdr>
                          <w:divsChild>
                            <w:div w:id="219437238">
                              <w:marLeft w:val="0"/>
                              <w:marRight w:val="0"/>
                              <w:marTop w:val="0"/>
                              <w:marBottom w:val="0"/>
                              <w:divBdr>
                                <w:top w:val="none" w:sz="0" w:space="0" w:color="auto"/>
                                <w:left w:val="none" w:sz="0" w:space="0" w:color="auto"/>
                                <w:bottom w:val="none" w:sz="0" w:space="0" w:color="auto"/>
                                <w:right w:val="none" w:sz="0" w:space="0" w:color="auto"/>
                              </w:divBdr>
                              <w:divsChild>
                                <w:div w:id="197120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7994596">
      <w:bodyDiv w:val="1"/>
      <w:marLeft w:val="0"/>
      <w:marRight w:val="0"/>
      <w:marTop w:val="0"/>
      <w:marBottom w:val="0"/>
      <w:divBdr>
        <w:top w:val="none" w:sz="0" w:space="0" w:color="auto"/>
        <w:left w:val="none" w:sz="0" w:space="0" w:color="auto"/>
        <w:bottom w:val="none" w:sz="0" w:space="0" w:color="auto"/>
        <w:right w:val="none" w:sz="0" w:space="0" w:color="auto"/>
      </w:divBdr>
      <w:divsChild>
        <w:div w:id="1993217923">
          <w:marLeft w:val="0"/>
          <w:marRight w:val="0"/>
          <w:marTop w:val="0"/>
          <w:marBottom w:val="0"/>
          <w:divBdr>
            <w:top w:val="none" w:sz="0" w:space="0" w:color="auto"/>
            <w:left w:val="none" w:sz="0" w:space="0" w:color="auto"/>
            <w:bottom w:val="none" w:sz="0" w:space="0" w:color="auto"/>
            <w:right w:val="none" w:sz="0" w:space="0" w:color="auto"/>
          </w:divBdr>
          <w:divsChild>
            <w:div w:id="1221164774">
              <w:marLeft w:val="0"/>
              <w:marRight w:val="0"/>
              <w:marTop w:val="0"/>
              <w:marBottom w:val="0"/>
              <w:divBdr>
                <w:top w:val="none" w:sz="0" w:space="0" w:color="auto"/>
                <w:left w:val="none" w:sz="0" w:space="0" w:color="auto"/>
                <w:bottom w:val="none" w:sz="0" w:space="0" w:color="auto"/>
                <w:right w:val="none" w:sz="0" w:space="0" w:color="auto"/>
              </w:divBdr>
              <w:divsChild>
                <w:div w:id="1473668348">
                  <w:marLeft w:val="0"/>
                  <w:marRight w:val="0"/>
                  <w:marTop w:val="0"/>
                  <w:marBottom w:val="0"/>
                  <w:divBdr>
                    <w:top w:val="none" w:sz="0" w:space="0" w:color="auto"/>
                    <w:left w:val="none" w:sz="0" w:space="0" w:color="auto"/>
                    <w:bottom w:val="none" w:sz="0" w:space="0" w:color="auto"/>
                    <w:right w:val="none" w:sz="0" w:space="0" w:color="auto"/>
                  </w:divBdr>
                  <w:divsChild>
                    <w:div w:id="381639495">
                      <w:marLeft w:val="0"/>
                      <w:marRight w:val="0"/>
                      <w:marTop w:val="0"/>
                      <w:marBottom w:val="0"/>
                      <w:divBdr>
                        <w:top w:val="none" w:sz="0" w:space="0" w:color="auto"/>
                        <w:left w:val="none" w:sz="0" w:space="0" w:color="auto"/>
                        <w:bottom w:val="none" w:sz="0" w:space="0" w:color="auto"/>
                        <w:right w:val="none" w:sz="0" w:space="0" w:color="auto"/>
                      </w:divBdr>
                      <w:divsChild>
                        <w:div w:id="722565486">
                          <w:marLeft w:val="0"/>
                          <w:marRight w:val="0"/>
                          <w:marTop w:val="0"/>
                          <w:marBottom w:val="0"/>
                          <w:divBdr>
                            <w:top w:val="none" w:sz="0" w:space="0" w:color="auto"/>
                            <w:left w:val="none" w:sz="0" w:space="0" w:color="auto"/>
                            <w:bottom w:val="none" w:sz="0" w:space="0" w:color="auto"/>
                            <w:right w:val="none" w:sz="0" w:space="0" w:color="auto"/>
                          </w:divBdr>
                          <w:divsChild>
                            <w:div w:id="6989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297601">
      <w:bodyDiv w:val="1"/>
      <w:marLeft w:val="0"/>
      <w:marRight w:val="0"/>
      <w:marTop w:val="0"/>
      <w:marBottom w:val="0"/>
      <w:divBdr>
        <w:top w:val="none" w:sz="0" w:space="0" w:color="auto"/>
        <w:left w:val="none" w:sz="0" w:space="0" w:color="auto"/>
        <w:bottom w:val="none" w:sz="0" w:space="0" w:color="auto"/>
        <w:right w:val="none" w:sz="0" w:space="0" w:color="auto"/>
      </w:divBdr>
      <w:divsChild>
        <w:div w:id="656304576">
          <w:marLeft w:val="0"/>
          <w:marRight w:val="0"/>
          <w:marTop w:val="0"/>
          <w:marBottom w:val="0"/>
          <w:divBdr>
            <w:top w:val="none" w:sz="0" w:space="0" w:color="auto"/>
            <w:left w:val="none" w:sz="0" w:space="0" w:color="auto"/>
            <w:bottom w:val="none" w:sz="0" w:space="0" w:color="auto"/>
            <w:right w:val="none" w:sz="0" w:space="0" w:color="auto"/>
          </w:divBdr>
          <w:divsChild>
            <w:div w:id="217327480">
              <w:marLeft w:val="0"/>
              <w:marRight w:val="0"/>
              <w:marTop w:val="0"/>
              <w:marBottom w:val="0"/>
              <w:divBdr>
                <w:top w:val="none" w:sz="0" w:space="0" w:color="auto"/>
                <w:left w:val="none" w:sz="0" w:space="0" w:color="auto"/>
                <w:bottom w:val="none" w:sz="0" w:space="0" w:color="auto"/>
                <w:right w:val="none" w:sz="0" w:space="0" w:color="auto"/>
              </w:divBdr>
              <w:divsChild>
                <w:div w:id="1848519697">
                  <w:marLeft w:val="0"/>
                  <w:marRight w:val="0"/>
                  <w:marTop w:val="0"/>
                  <w:marBottom w:val="0"/>
                  <w:divBdr>
                    <w:top w:val="none" w:sz="0" w:space="0" w:color="auto"/>
                    <w:left w:val="none" w:sz="0" w:space="0" w:color="auto"/>
                    <w:bottom w:val="none" w:sz="0" w:space="0" w:color="auto"/>
                    <w:right w:val="none" w:sz="0" w:space="0" w:color="auto"/>
                  </w:divBdr>
                  <w:divsChild>
                    <w:div w:id="435950833">
                      <w:marLeft w:val="0"/>
                      <w:marRight w:val="0"/>
                      <w:marTop w:val="0"/>
                      <w:marBottom w:val="0"/>
                      <w:divBdr>
                        <w:top w:val="none" w:sz="0" w:space="0" w:color="auto"/>
                        <w:left w:val="none" w:sz="0" w:space="0" w:color="auto"/>
                        <w:bottom w:val="none" w:sz="0" w:space="0" w:color="auto"/>
                        <w:right w:val="none" w:sz="0" w:space="0" w:color="auto"/>
                      </w:divBdr>
                      <w:divsChild>
                        <w:div w:id="1432512086">
                          <w:marLeft w:val="0"/>
                          <w:marRight w:val="0"/>
                          <w:marTop w:val="0"/>
                          <w:marBottom w:val="0"/>
                          <w:divBdr>
                            <w:top w:val="none" w:sz="0" w:space="0" w:color="auto"/>
                            <w:left w:val="none" w:sz="0" w:space="0" w:color="auto"/>
                            <w:bottom w:val="none" w:sz="0" w:space="0" w:color="auto"/>
                            <w:right w:val="none" w:sz="0" w:space="0" w:color="auto"/>
                          </w:divBdr>
                          <w:divsChild>
                            <w:div w:id="1252349647">
                              <w:marLeft w:val="0"/>
                              <w:marRight w:val="0"/>
                              <w:marTop w:val="0"/>
                              <w:marBottom w:val="0"/>
                              <w:divBdr>
                                <w:top w:val="none" w:sz="0" w:space="0" w:color="auto"/>
                                <w:left w:val="none" w:sz="0" w:space="0" w:color="auto"/>
                                <w:bottom w:val="none" w:sz="0" w:space="0" w:color="auto"/>
                                <w:right w:val="none" w:sz="0" w:space="0" w:color="auto"/>
                              </w:divBdr>
                              <w:divsChild>
                                <w:div w:id="90652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848584">
      <w:bodyDiv w:val="1"/>
      <w:marLeft w:val="0"/>
      <w:marRight w:val="0"/>
      <w:marTop w:val="0"/>
      <w:marBottom w:val="0"/>
      <w:divBdr>
        <w:top w:val="none" w:sz="0" w:space="0" w:color="auto"/>
        <w:left w:val="none" w:sz="0" w:space="0" w:color="auto"/>
        <w:bottom w:val="none" w:sz="0" w:space="0" w:color="auto"/>
        <w:right w:val="none" w:sz="0" w:space="0" w:color="auto"/>
      </w:divBdr>
      <w:divsChild>
        <w:div w:id="510533461">
          <w:marLeft w:val="0"/>
          <w:marRight w:val="0"/>
          <w:marTop w:val="0"/>
          <w:marBottom w:val="0"/>
          <w:divBdr>
            <w:top w:val="none" w:sz="0" w:space="0" w:color="auto"/>
            <w:left w:val="none" w:sz="0" w:space="0" w:color="auto"/>
            <w:bottom w:val="none" w:sz="0" w:space="0" w:color="auto"/>
            <w:right w:val="none" w:sz="0" w:space="0" w:color="auto"/>
          </w:divBdr>
          <w:divsChild>
            <w:div w:id="406651571">
              <w:marLeft w:val="0"/>
              <w:marRight w:val="0"/>
              <w:marTop w:val="0"/>
              <w:marBottom w:val="0"/>
              <w:divBdr>
                <w:top w:val="none" w:sz="0" w:space="0" w:color="auto"/>
                <w:left w:val="none" w:sz="0" w:space="0" w:color="auto"/>
                <w:bottom w:val="none" w:sz="0" w:space="0" w:color="auto"/>
                <w:right w:val="none" w:sz="0" w:space="0" w:color="auto"/>
              </w:divBdr>
              <w:divsChild>
                <w:div w:id="1077479155">
                  <w:marLeft w:val="0"/>
                  <w:marRight w:val="0"/>
                  <w:marTop w:val="0"/>
                  <w:marBottom w:val="0"/>
                  <w:divBdr>
                    <w:top w:val="none" w:sz="0" w:space="0" w:color="auto"/>
                    <w:left w:val="none" w:sz="0" w:space="0" w:color="auto"/>
                    <w:bottom w:val="none" w:sz="0" w:space="0" w:color="auto"/>
                    <w:right w:val="none" w:sz="0" w:space="0" w:color="auto"/>
                  </w:divBdr>
                  <w:divsChild>
                    <w:div w:id="1148285067">
                      <w:marLeft w:val="0"/>
                      <w:marRight w:val="0"/>
                      <w:marTop w:val="0"/>
                      <w:marBottom w:val="0"/>
                      <w:divBdr>
                        <w:top w:val="none" w:sz="0" w:space="0" w:color="auto"/>
                        <w:left w:val="none" w:sz="0" w:space="0" w:color="auto"/>
                        <w:bottom w:val="none" w:sz="0" w:space="0" w:color="auto"/>
                        <w:right w:val="none" w:sz="0" w:space="0" w:color="auto"/>
                      </w:divBdr>
                      <w:divsChild>
                        <w:div w:id="1930656608">
                          <w:marLeft w:val="0"/>
                          <w:marRight w:val="0"/>
                          <w:marTop w:val="0"/>
                          <w:marBottom w:val="0"/>
                          <w:divBdr>
                            <w:top w:val="none" w:sz="0" w:space="0" w:color="auto"/>
                            <w:left w:val="none" w:sz="0" w:space="0" w:color="auto"/>
                            <w:bottom w:val="none" w:sz="0" w:space="0" w:color="auto"/>
                            <w:right w:val="none" w:sz="0" w:space="0" w:color="auto"/>
                          </w:divBdr>
                          <w:divsChild>
                            <w:div w:id="169831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2720917">
      <w:bodyDiv w:val="1"/>
      <w:marLeft w:val="0"/>
      <w:marRight w:val="0"/>
      <w:marTop w:val="0"/>
      <w:marBottom w:val="0"/>
      <w:divBdr>
        <w:top w:val="none" w:sz="0" w:space="0" w:color="auto"/>
        <w:left w:val="none" w:sz="0" w:space="0" w:color="auto"/>
        <w:bottom w:val="none" w:sz="0" w:space="0" w:color="auto"/>
        <w:right w:val="none" w:sz="0" w:space="0" w:color="auto"/>
      </w:divBdr>
      <w:divsChild>
        <w:div w:id="1040714467">
          <w:marLeft w:val="0"/>
          <w:marRight w:val="0"/>
          <w:marTop w:val="0"/>
          <w:marBottom w:val="0"/>
          <w:divBdr>
            <w:top w:val="none" w:sz="0" w:space="0" w:color="auto"/>
            <w:left w:val="none" w:sz="0" w:space="0" w:color="auto"/>
            <w:bottom w:val="none" w:sz="0" w:space="0" w:color="auto"/>
            <w:right w:val="none" w:sz="0" w:space="0" w:color="auto"/>
          </w:divBdr>
          <w:divsChild>
            <w:div w:id="1713536280">
              <w:marLeft w:val="0"/>
              <w:marRight w:val="0"/>
              <w:marTop w:val="0"/>
              <w:marBottom w:val="0"/>
              <w:divBdr>
                <w:top w:val="none" w:sz="0" w:space="0" w:color="auto"/>
                <w:left w:val="none" w:sz="0" w:space="0" w:color="auto"/>
                <w:bottom w:val="none" w:sz="0" w:space="0" w:color="auto"/>
                <w:right w:val="none" w:sz="0" w:space="0" w:color="auto"/>
              </w:divBdr>
              <w:divsChild>
                <w:div w:id="1340893638">
                  <w:marLeft w:val="0"/>
                  <w:marRight w:val="0"/>
                  <w:marTop w:val="0"/>
                  <w:marBottom w:val="0"/>
                  <w:divBdr>
                    <w:top w:val="none" w:sz="0" w:space="0" w:color="auto"/>
                    <w:left w:val="none" w:sz="0" w:space="0" w:color="auto"/>
                    <w:bottom w:val="none" w:sz="0" w:space="0" w:color="auto"/>
                    <w:right w:val="none" w:sz="0" w:space="0" w:color="auto"/>
                  </w:divBdr>
                  <w:divsChild>
                    <w:div w:id="88043206">
                      <w:marLeft w:val="0"/>
                      <w:marRight w:val="0"/>
                      <w:marTop w:val="0"/>
                      <w:marBottom w:val="0"/>
                      <w:divBdr>
                        <w:top w:val="none" w:sz="0" w:space="0" w:color="auto"/>
                        <w:left w:val="none" w:sz="0" w:space="0" w:color="auto"/>
                        <w:bottom w:val="none" w:sz="0" w:space="0" w:color="auto"/>
                        <w:right w:val="none" w:sz="0" w:space="0" w:color="auto"/>
                      </w:divBdr>
                      <w:divsChild>
                        <w:div w:id="698162602">
                          <w:marLeft w:val="0"/>
                          <w:marRight w:val="0"/>
                          <w:marTop w:val="0"/>
                          <w:marBottom w:val="0"/>
                          <w:divBdr>
                            <w:top w:val="none" w:sz="0" w:space="0" w:color="auto"/>
                            <w:left w:val="none" w:sz="0" w:space="0" w:color="auto"/>
                            <w:bottom w:val="none" w:sz="0" w:space="0" w:color="auto"/>
                            <w:right w:val="none" w:sz="0" w:space="0" w:color="auto"/>
                          </w:divBdr>
                          <w:divsChild>
                            <w:div w:id="144410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000875">
      <w:bodyDiv w:val="1"/>
      <w:marLeft w:val="0"/>
      <w:marRight w:val="0"/>
      <w:marTop w:val="0"/>
      <w:marBottom w:val="0"/>
      <w:divBdr>
        <w:top w:val="none" w:sz="0" w:space="0" w:color="auto"/>
        <w:left w:val="none" w:sz="0" w:space="0" w:color="auto"/>
        <w:bottom w:val="none" w:sz="0" w:space="0" w:color="auto"/>
        <w:right w:val="none" w:sz="0" w:space="0" w:color="auto"/>
      </w:divBdr>
      <w:divsChild>
        <w:div w:id="1738671619">
          <w:marLeft w:val="0"/>
          <w:marRight w:val="0"/>
          <w:marTop w:val="0"/>
          <w:marBottom w:val="0"/>
          <w:divBdr>
            <w:top w:val="none" w:sz="0" w:space="0" w:color="auto"/>
            <w:left w:val="none" w:sz="0" w:space="0" w:color="auto"/>
            <w:bottom w:val="none" w:sz="0" w:space="0" w:color="auto"/>
            <w:right w:val="none" w:sz="0" w:space="0" w:color="auto"/>
          </w:divBdr>
          <w:divsChild>
            <w:div w:id="1413354006">
              <w:marLeft w:val="0"/>
              <w:marRight w:val="0"/>
              <w:marTop w:val="0"/>
              <w:marBottom w:val="0"/>
              <w:divBdr>
                <w:top w:val="none" w:sz="0" w:space="0" w:color="auto"/>
                <w:left w:val="none" w:sz="0" w:space="0" w:color="auto"/>
                <w:bottom w:val="none" w:sz="0" w:space="0" w:color="auto"/>
                <w:right w:val="none" w:sz="0" w:space="0" w:color="auto"/>
              </w:divBdr>
              <w:divsChild>
                <w:div w:id="1734618331">
                  <w:marLeft w:val="0"/>
                  <w:marRight w:val="0"/>
                  <w:marTop w:val="0"/>
                  <w:marBottom w:val="0"/>
                  <w:divBdr>
                    <w:top w:val="none" w:sz="0" w:space="0" w:color="auto"/>
                    <w:left w:val="none" w:sz="0" w:space="0" w:color="auto"/>
                    <w:bottom w:val="none" w:sz="0" w:space="0" w:color="auto"/>
                    <w:right w:val="none" w:sz="0" w:space="0" w:color="auto"/>
                  </w:divBdr>
                  <w:divsChild>
                    <w:div w:id="159084461">
                      <w:marLeft w:val="0"/>
                      <w:marRight w:val="0"/>
                      <w:marTop w:val="0"/>
                      <w:marBottom w:val="0"/>
                      <w:divBdr>
                        <w:top w:val="none" w:sz="0" w:space="0" w:color="auto"/>
                        <w:left w:val="none" w:sz="0" w:space="0" w:color="auto"/>
                        <w:bottom w:val="none" w:sz="0" w:space="0" w:color="auto"/>
                        <w:right w:val="none" w:sz="0" w:space="0" w:color="auto"/>
                      </w:divBdr>
                      <w:divsChild>
                        <w:div w:id="1455363394">
                          <w:marLeft w:val="0"/>
                          <w:marRight w:val="0"/>
                          <w:marTop w:val="0"/>
                          <w:marBottom w:val="0"/>
                          <w:divBdr>
                            <w:top w:val="none" w:sz="0" w:space="0" w:color="auto"/>
                            <w:left w:val="none" w:sz="0" w:space="0" w:color="auto"/>
                            <w:bottom w:val="none" w:sz="0" w:space="0" w:color="auto"/>
                            <w:right w:val="none" w:sz="0" w:space="0" w:color="auto"/>
                          </w:divBdr>
                          <w:divsChild>
                            <w:div w:id="754400579">
                              <w:marLeft w:val="0"/>
                              <w:marRight w:val="0"/>
                              <w:marTop w:val="0"/>
                              <w:marBottom w:val="0"/>
                              <w:divBdr>
                                <w:top w:val="none" w:sz="0" w:space="0" w:color="auto"/>
                                <w:left w:val="none" w:sz="0" w:space="0" w:color="auto"/>
                                <w:bottom w:val="none" w:sz="0" w:space="0" w:color="auto"/>
                                <w:right w:val="none" w:sz="0" w:space="0" w:color="auto"/>
                              </w:divBdr>
                              <w:divsChild>
                                <w:div w:id="46393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8650712">
      <w:bodyDiv w:val="1"/>
      <w:marLeft w:val="0"/>
      <w:marRight w:val="0"/>
      <w:marTop w:val="0"/>
      <w:marBottom w:val="0"/>
      <w:divBdr>
        <w:top w:val="none" w:sz="0" w:space="0" w:color="auto"/>
        <w:left w:val="none" w:sz="0" w:space="0" w:color="auto"/>
        <w:bottom w:val="none" w:sz="0" w:space="0" w:color="auto"/>
        <w:right w:val="none" w:sz="0" w:space="0" w:color="auto"/>
      </w:divBdr>
      <w:divsChild>
        <w:div w:id="1917475007">
          <w:marLeft w:val="0"/>
          <w:marRight w:val="0"/>
          <w:marTop w:val="0"/>
          <w:marBottom w:val="0"/>
          <w:divBdr>
            <w:top w:val="none" w:sz="0" w:space="0" w:color="auto"/>
            <w:left w:val="none" w:sz="0" w:space="0" w:color="auto"/>
            <w:bottom w:val="none" w:sz="0" w:space="0" w:color="auto"/>
            <w:right w:val="none" w:sz="0" w:space="0" w:color="auto"/>
          </w:divBdr>
          <w:divsChild>
            <w:div w:id="1119448565">
              <w:marLeft w:val="0"/>
              <w:marRight w:val="0"/>
              <w:marTop w:val="0"/>
              <w:marBottom w:val="0"/>
              <w:divBdr>
                <w:top w:val="none" w:sz="0" w:space="0" w:color="auto"/>
                <w:left w:val="none" w:sz="0" w:space="0" w:color="auto"/>
                <w:bottom w:val="none" w:sz="0" w:space="0" w:color="auto"/>
                <w:right w:val="none" w:sz="0" w:space="0" w:color="auto"/>
              </w:divBdr>
              <w:divsChild>
                <w:div w:id="604847420">
                  <w:marLeft w:val="0"/>
                  <w:marRight w:val="0"/>
                  <w:marTop w:val="0"/>
                  <w:marBottom w:val="0"/>
                  <w:divBdr>
                    <w:top w:val="none" w:sz="0" w:space="0" w:color="auto"/>
                    <w:left w:val="none" w:sz="0" w:space="0" w:color="auto"/>
                    <w:bottom w:val="none" w:sz="0" w:space="0" w:color="auto"/>
                    <w:right w:val="none" w:sz="0" w:space="0" w:color="auto"/>
                  </w:divBdr>
                  <w:divsChild>
                    <w:div w:id="601963128">
                      <w:marLeft w:val="0"/>
                      <w:marRight w:val="0"/>
                      <w:marTop w:val="0"/>
                      <w:marBottom w:val="0"/>
                      <w:divBdr>
                        <w:top w:val="none" w:sz="0" w:space="0" w:color="auto"/>
                        <w:left w:val="none" w:sz="0" w:space="0" w:color="auto"/>
                        <w:bottom w:val="none" w:sz="0" w:space="0" w:color="auto"/>
                        <w:right w:val="none" w:sz="0" w:space="0" w:color="auto"/>
                      </w:divBdr>
                      <w:divsChild>
                        <w:div w:id="1556314992">
                          <w:marLeft w:val="0"/>
                          <w:marRight w:val="0"/>
                          <w:marTop w:val="0"/>
                          <w:marBottom w:val="0"/>
                          <w:divBdr>
                            <w:top w:val="none" w:sz="0" w:space="0" w:color="auto"/>
                            <w:left w:val="none" w:sz="0" w:space="0" w:color="auto"/>
                            <w:bottom w:val="none" w:sz="0" w:space="0" w:color="auto"/>
                            <w:right w:val="none" w:sz="0" w:space="0" w:color="auto"/>
                          </w:divBdr>
                          <w:divsChild>
                            <w:div w:id="67214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3894976">
      <w:bodyDiv w:val="1"/>
      <w:marLeft w:val="0"/>
      <w:marRight w:val="0"/>
      <w:marTop w:val="0"/>
      <w:marBottom w:val="0"/>
      <w:divBdr>
        <w:top w:val="none" w:sz="0" w:space="0" w:color="auto"/>
        <w:left w:val="none" w:sz="0" w:space="0" w:color="auto"/>
        <w:bottom w:val="none" w:sz="0" w:space="0" w:color="auto"/>
        <w:right w:val="none" w:sz="0" w:space="0" w:color="auto"/>
      </w:divBdr>
      <w:divsChild>
        <w:div w:id="1823086418">
          <w:marLeft w:val="0"/>
          <w:marRight w:val="0"/>
          <w:marTop w:val="0"/>
          <w:marBottom w:val="0"/>
          <w:divBdr>
            <w:top w:val="none" w:sz="0" w:space="0" w:color="auto"/>
            <w:left w:val="none" w:sz="0" w:space="0" w:color="auto"/>
            <w:bottom w:val="none" w:sz="0" w:space="0" w:color="auto"/>
            <w:right w:val="none" w:sz="0" w:space="0" w:color="auto"/>
          </w:divBdr>
          <w:divsChild>
            <w:div w:id="1725523915">
              <w:marLeft w:val="0"/>
              <w:marRight w:val="0"/>
              <w:marTop w:val="0"/>
              <w:marBottom w:val="0"/>
              <w:divBdr>
                <w:top w:val="none" w:sz="0" w:space="0" w:color="auto"/>
                <w:left w:val="none" w:sz="0" w:space="0" w:color="auto"/>
                <w:bottom w:val="none" w:sz="0" w:space="0" w:color="auto"/>
                <w:right w:val="none" w:sz="0" w:space="0" w:color="auto"/>
              </w:divBdr>
              <w:divsChild>
                <w:div w:id="1303654012">
                  <w:marLeft w:val="0"/>
                  <w:marRight w:val="0"/>
                  <w:marTop w:val="0"/>
                  <w:marBottom w:val="0"/>
                  <w:divBdr>
                    <w:top w:val="none" w:sz="0" w:space="0" w:color="auto"/>
                    <w:left w:val="none" w:sz="0" w:space="0" w:color="auto"/>
                    <w:bottom w:val="none" w:sz="0" w:space="0" w:color="auto"/>
                    <w:right w:val="none" w:sz="0" w:space="0" w:color="auto"/>
                  </w:divBdr>
                  <w:divsChild>
                    <w:div w:id="1806385412">
                      <w:marLeft w:val="0"/>
                      <w:marRight w:val="0"/>
                      <w:marTop w:val="0"/>
                      <w:marBottom w:val="0"/>
                      <w:divBdr>
                        <w:top w:val="none" w:sz="0" w:space="0" w:color="auto"/>
                        <w:left w:val="none" w:sz="0" w:space="0" w:color="auto"/>
                        <w:bottom w:val="none" w:sz="0" w:space="0" w:color="auto"/>
                        <w:right w:val="none" w:sz="0" w:space="0" w:color="auto"/>
                      </w:divBdr>
                      <w:divsChild>
                        <w:div w:id="2086878849">
                          <w:marLeft w:val="0"/>
                          <w:marRight w:val="0"/>
                          <w:marTop w:val="0"/>
                          <w:marBottom w:val="0"/>
                          <w:divBdr>
                            <w:top w:val="none" w:sz="0" w:space="0" w:color="auto"/>
                            <w:left w:val="none" w:sz="0" w:space="0" w:color="auto"/>
                            <w:bottom w:val="none" w:sz="0" w:space="0" w:color="auto"/>
                            <w:right w:val="none" w:sz="0" w:space="0" w:color="auto"/>
                          </w:divBdr>
                          <w:divsChild>
                            <w:div w:id="284888558">
                              <w:marLeft w:val="0"/>
                              <w:marRight w:val="0"/>
                              <w:marTop w:val="0"/>
                              <w:marBottom w:val="0"/>
                              <w:divBdr>
                                <w:top w:val="none" w:sz="0" w:space="0" w:color="auto"/>
                                <w:left w:val="none" w:sz="0" w:space="0" w:color="auto"/>
                                <w:bottom w:val="none" w:sz="0" w:space="0" w:color="auto"/>
                                <w:right w:val="none" w:sz="0" w:space="0" w:color="auto"/>
                              </w:divBdr>
                              <w:divsChild>
                                <w:div w:id="1739325520">
                                  <w:marLeft w:val="0"/>
                                  <w:marRight w:val="0"/>
                                  <w:marTop w:val="0"/>
                                  <w:marBottom w:val="0"/>
                                  <w:divBdr>
                                    <w:top w:val="none" w:sz="0" w:space="0" w:color="auto"/>
                                    <w:left w:val="none" w:sz="0" w:space="0" w:color="auto"/>
                                    <w:bottom w:val="none" w:sz="0" w:space="0" w:color="auto"/>
                                    <w:right w:val="none" w:sz="0" w:space="0" w:color="auto"/>
                                  </w:divBdr>
                                </w:div>
                                <w:div w:id="1545830032">
                                  <w:marLeft w:val="0"/>
                                  <w:marRight w:val="0"/>
                                  <w:marTop w:val="0"/>
                                  <w:marBottom w:val="0"/>
                                  <w:divBdr>
                                    <w:top w:val="single" w:sz="6" w:space="9" w:color="E9E3AE"/>
                                    <w:left w:val="single" w:sz="6" w:space="9" w:color="E9E3AE"/>
                                    <w:bottom w:val="single" w:sz="6" w:space="9" w:color="E9E3AE"/>
                                    <w:right w:val="single" w:sz="6" w:space="9" w:color="E9E3AE"/>
                                  </w:divBdr>
                                  <w:divsChild>
                                    <w:div w:id="1439131688">
                                      <w:marLeft w:val="0"/>
                                      <w:marRight w:val="0"/>
                                      <w:marTop w:val="0"/>
                                      <w:marBottom w:val="0"/>
                                      <w:divBdr>
                                        <w:top w:val="none" w:sz="0" w:space="0" w:color="auto"/>
                                        <w:left w:val="none" w:sz="0" w:space="0" w:color="auto"/>
                                        <w:bottom w:val="none" w:sz="0" w:space="0" w:color="auto"/>
                                        <w:right w:val="none" w:sz="0" w:space="0" w:color="auto"/>
                                      </w:divBdr>
                                      <w:divsChild>
                                        <w:div w:id="65810319">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5804530">
      <w:bodyDiv w:val="1"/>
      <w:marLeft w:val="0"/>
      <w:marRight w:val="0"/>
      <w:marTop w:val="0"/>
      <w:marBottom w:val="0"/>
      <w:divBdr>
        <w:top w:val="none" w:sz="0" w:space="0" w:color="auto"/>
        <w:left w:val="none" w:sz="0" w:space="0" w:color="auto"/>
        <w:bottom w:val="none" w:sz="0" w:space="0" w:color="auto"/>
        <w:right w:val="none" w:sz="0" w:space="0" w:color="auto"/>
      </w:divBdr>
      <w:divsChild>
        <w:div w:id="781614543">
          <w:marLeft w:val="0"/>
          <w:marRight w:val="0"/>
          <w:marTop w:val="0"/>
          <w:marBottom w:val="0"/>
          <w:divBdr>
            <w:top w:val="none" w:sz="0" w:space="0" w:color="auto"/>
            <w:left w:val="none" w:sz="0" w:space="0" w:color="auto"/>
            <w:bottom w:val="none" w:sz="0" w:space="0" w:color="auto"/>
            <w:right w:val="none" w:sz="0" w:space="0" w:color="auto"/>
          </w:divBdr>
          <w:divsChild>
            <w:div w:id="1431858145">
              <w:marLeft w:val="0"/>
              <w:marRight w:val="0"/>
              <w:marTop w:val="0"/>
              <w:marBottom w:val="0"/>
              <w:divBdr>
                <w:top w:val="none" w:sz="0" w:space="0" w:color="auto"/>
                <w:left w:val="none" w:sz="0" w:space="0" w:color="auto"/>
                <w:bottom w:val="none" w:sz="0" w:space="0" w:color="auto"/>
                <w:right w:val="none" w:sz="0" w:space="0" w:color="auto"/>
              </w:divBdr>
              <w:divsChild>
                <w:div w:id="1251234614">
                  <w:marLeft w:val="0"/>
                  <w:marRight w:val="0"/>
                  <w:marTop w:val="0"/>
                  <w:marBottom w:val="0"/>
                  <w:divBdr>
                    <w:top w:val="none" w:sz="0" w:space="0" w:color="auto"/>
                    <w:left w:val="none" w:sz="0" w:space="0" w:color="auto"/>
                    <w:bottom w:val="none" w:sz="0" w:space="0" w:color="auto"/>
                    <w:right w:val="none" w:sz="0" w:space="0" w:color="auto"/>
                  </w:divBdr>
                  <w:divsChild>
                    <w:div w:id="1661887964">
                      <w:marLeft w:val="0"/>
                      <w:marRight w:val="0"/>
                      <w:marTop w:val="0"/>
                      <w:marBottom w:val="0"/>
                      <w:divBdr>
                        <w:top w:val="none" w:sz="0" w:space="0" w:color="auto"/>
                        <w:left w:val="none" w:sz="0" w:space="0" w:color="auto"/>
                        <w:bottom w:val="none" w:sz="0" w:space="0" w:color="auto"/>
                        <w:right w:val="none" w:sz="0" w:space="0" w:color="auto"/>
                      </w:divBdr>
                      <w:divsChild>
                        <w:div w:id="703675275">
                          <w:marLeft w:val="0"/>
                          <w:marRight w:val="0"/>
                          <w:marTop w:val="0"/>
                          <w:marBottom w:val="0"/>
                          <w:divBdr>
                            <w:top w:val="none" w:sz="0" w:space="0" w:color="auto"/>
                            <w:left w:val="none" w:sz="0" w:space="0" w:color="auto"/>
                            <w:bottom w:val="none" w:sz="0" w:space="0" w:color="auto"/>
                            <w:right w:val="none" w:sz="0" w:space="0" w:color="auto"/>
                          </w:divBdr>
                          <w:divsChild>
                            <w:div w:id="195782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860171">
      <w:bodyDiv w:val="1"/>
      <w:marLeft w:val="0"/>
      <w:marRight w:val="0"/>
      <w:marTop w:val="0"/>
      <w:marBottom w:val="0"/>
      <w:divBdr>
        <w:top w:val="none" w:sz="0" w:space="0" w:color="auto"/>
        <w:left w:val="none" w:sz="0" w:space="0" w:color="auto"/>
        <w:bottom w:val="none" w:sz="0" w:space="0" w:color="auto"/>
        <w:right w:val="none" w:sz="0" w:space="0" w:color="auto"/>
      </w:divBdr>
      <w:divsChild>
        <w:div w:id="1339237553">
          <w:marLeft w:val="0"/>
          <w:marRight w:val="0"/>
          <w:marTop w:val="0"/>
          <w:marBottom w:val="0"/>
          <w:divBdr>
            <w:top w:val="none" w:sz="0" w:space="0" w:color="auto"/>
            <w:left w:val="none" w:sz="0" w:space="0" w:color="auto"/>
            <w:bottom w:val="none" w:sz="0" w:space="0" w:color="auto"/>
            <w:right w:val="none" w:sz="0" w:space="0" w:color="auto"/>
          </w:divBdr>
          <w:divsChild>
            <w:div w:id="2113548213">
              <w:marLeft w:val="0"/>
              <w:marRight w:val="0"/>
              <w:marTop w:val="0"/>
              <w:marBottom w:val="0"/>
              <w:divBdr>
                <w:top w:val="none" w:sz="0" w:space="0" w:color="auto"/>
                <w:left w:val="none" w:sz="0" w:space="0" w:color="auto"/>
                <w:bottom w:val="none" w:sz="0" w:space="0" w:color="auto"/>
                <w:right w:val="none" w:sz="0" w:space="0" w:color="auto"/>
              </w:divBdr>
              <w:divsChild>
                <w:div w:id="718751095">
                  <w:marLeft w:val="0"/>
                  <w:marRight w:val="0"/>
                  <w:marTop w:val="0"/>
                  <w:marBottom w:val="0"/>
                  <w:divBdr>
                    <w:top w:val="none" w:sz="0" w:space="0" w:color="auto"/>
                    <w:left w:val="none" w:sz="0" w:space="0" w:color="auto"/>
                    <w:bottom w:val="none" w:sz="0" w:space="0" w:color="auto"/>
                    <w:right w:val="none" w:sz="0" w:space="0" w:color="auto"/>
                  </w:divBdr>
                  <w:divsChild>
                    <w:div w:id="1059279722">
                      <w:marLeft w:val="0"/>
                      <w:marRight w:val="0"/>
                      <w:marTop w:val="0"/>
                      <w:marBottom w:val="0"/>
                      <w:divBdr>
                        <w:top w:val="none" w:sz="0" w:space="0" w:color="auto"/>
                        <w:left w:val="none" w:sz="0" w:space="0" w:color="auto"/>
                        <w:bottom w:val="none" w:sz="0" w:space="0" w:color="auto"/>
                        <w:right w:val="none" w:sz="0" w:space="0" w:color="auto"/>
                      </w:divBdr>
                      <w:divsChild>
                        <w:div w:id="842621126">
                          <w:marLeft w:val="0"/>
                          <w:marRight w:val="0"/>
                          <w:marTop w:val="0"/>
                          <w:marBottom w:val="0"/>
                          <w:divBdr>
                            <w:top w:val="none" w:sz="0" w:space="0" w:color="auto"/>
                            <w:left w:val="none" w:sz="0" w:space="0" w:color="auto"/>
                            <w:bottom w:val="none" w:sz="0" w:space="0" w:color="auto"/>
                            <w:right w:val="none" w:sz="0" w:space="0" w:color="auto"/>
                          </w:divBdr>
                          <w:divsChild>
                            <w:div w:id="164759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1120683">
      <w:bodyDiv w:val="1"/>
      <w:marLeft w:val="0"/>
      <w:marRight w:val="0"/>
      <w:marTop w:val="0"/>
      <w:marBottom w:val="0"/>
      <w:divBdr>
        <w:top w:val="none" w:sz="0" w:space="0" w:color="auto"/>
        <w:left w:val="none" w:sz="0" w:space="0" w:color="auto"/>
        <w:bottom w:val="none" w:sz="0" w:space="0" w:color="auto"/>
        <w:right w:val="none" w:sz="0" w:space="0" w:color="auto"/>
      </w:divBdr>
      <w:divsChild>
        <w:div w:id="35394259">
          <w:marLeft w:val="0"/>
          <w:marRight w:val="0"/>
          <w:marTop w:val="0"/>
          <w:marBottom w:val="0"/>
          <w:divBdr>
            <w:top w:val="none" w:sz="0" w:space="0" w:color="auto"/>
            <w:left w:val="none" w:sz="0" w:space="0" w:color="auto"/>
            <w:bottom w:val="none" w:sz="0" w:space="0" w:color="auto"/>
            <w:right w:val="none" w:sz="0" w:space="0" w:color="auto"/>
          </w:divBdr>
          <w:divsChild>
            <w:div w:id="1638031513">
              <w:marLeft w:val="0"/>
              <w:marRight w:val="0"/>
              <w:marTop w:val="0"/>
              <w:marBottom w:val="0"/>
              <w:divBdr>
                <w:top w:val="none" w:sz="0" w:space="0" w:color="auto"/>
                <w:left w:val="none" w:sz="0" w:space="0" w:color="auto"/>
                <w:bottom w:val="none" w:sz="0" w:space="0" w:color="auto"/>
                <w:right w:val="none" w:sz="0" w:space="0" w:color="auto"/>
              </w:divBdr>
              <w:divsChild>
                <w:div w:id="1588343087">
                  <w:marLeft w:val="0"/>
                  <w:marRight w:val="0"/>
                  <w:marTop w:val="0"/>
                  <w:marBottom w:val="0"/>
                  <w:divBdr>
                    <w:top w:val="none" w:sz="0" w:space="0" w:color="auto"/>
                    <w:left w:val="none" w:sz="0" w:space="0" w:color="auto"/>
                    <w:bottom w:val="none" w:sz="0" w:space="0" w:color="auto"/>
                    <w:right w:val="none" w:sz="0" w:space="0" w:color="auto"/>
                  </w:divBdr>
                  <w:divsChild>
                    <w:div w:id="390005919">
                      <w:marLeft w:val="0"/>
                      <w:marRight w:val="0"/>
                      <w:marTop w:val="0"/>
                      <w:marBottom w:val="0"/>
                      <w:divBdr>
                        <w:top w:val="none" w:sz="0" w:space="0" w:color="auto"/>
                        <w:left w:val="none" w:sz="0" w:space="0" w:color="auto"/>
                        <w:bottom w:val="none" w:sz="0" w:space="0" w:color="auto"/>
                        <w:right w:val="none" w:sz="0" w:space="0" w:color="auto"/>
                      </w:divBdr>
                      <w:divsChild>
                        <w:div w:id="67463476">
                          <w:marLeft w:val="0"/>
                          <w:marRight w:val="0"/>
                          <w:marTop w:val="0"/>
                          <w:marBottom w:val="0"/>
                          <w:divBdr>
                            <w:top w:val="none" w:sz="0" w:space="0" w:color="auto"/>
                            <w:left w:val="none" w:sz="0" w:space="0" w:color="auto"/>
                            <w:bottom w:val="none" w:sz="0" w:space="0" w:color="auto"/>
                            <w:right w:val="none" w:sz="0" w:space="0" w:color="auto"/>
                          </w:divBdr>
                          <w:divsChild>
                            <w:div w:id="74010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7421952">
      <w:bodyDiv w:val="1"/>
      <w:marLeft w:val="0"/>
      <w:marRight w:val="0"/>
      <w:marTop w:val="0"/>
      <w:marBottom w:val="0"/>
      <w:divBdr>
        <w:top w:val="none" w:sz="0" w:space="0" w:color="auto"/>
        <w:left w:val="none" w:sz="0" w:space="0" w:color="auto"/>
        <w:bottom w:val="none" w:sz="0" w:space="0" w:color="auto"/>
        <w:right w:val="none" w:sz="0" w:space="0" w:color="auto"/>
      </w:divBdr>
      <w:divsChild>
        <w:div w:id="1762726381">
          <w:marLeft w:val="0"/>
          <w:marRight w:val="0"/>
          <w:marTop w:val="0"/>
          <w:marBottom w:val="0"/>
          <w:divBdr>
            <w:top w:val="none" w:sz="0" w:space="0" w:color="auto"/>
            <w:left w:val="none" w:sz="0" w:space="0" w:color="auto"/>
            <w:bottom w:val="none" w:sz="0" w:space="0" w:color="auto"/>
            <w:right w:val="none" w:sz="0" w:space="0" w:color="auto"/>
          </w:divBdr>
          <w:divsChild>
            <w:div w:id="459232234">
              <w:marLeft w:val="0"/>
              <w:marRight w:val="0"/>
              <w:marTop w:val="0"/>
              <w:marBottom w:val="0"/>
              <w:divBdr>
                <w:top w:val="none" w:sz="0" w:space="0" w:color="auto"/>
                <w:left w:val="none" w:sz="0" w:space="0" w:color="auto"/>
                <w:bottom w:val="none" w:sz="0" w:space="0" w:color="auto"/>
                <w:right w:val="none" w:sz="0" w:space="0" w:color="auto"/>
              </w:divBdr>
              <w:divsChild>
                <w:div w:id="1351645340">
                  <w:marLeft w:val="0"/>
                  <w:marRight w:val="0"/>
                  <w:marTop w:val="0"/>
                  <w:marBottom w:val="0"/>
                  <w:divBdr>
                    <w:top w:val="none" w:sz="0" w:space="0" w:color="auto"/>
                    <w:left w:val="none" w:sz="0" w:space="0" w:color="auto"/>
                    <w:bottom w:val="none" w:sz="0" w:space="0" w:color="auto"/>
                    <w:right w:val="none" w:sz="0" w:space="0" w:color="auto"/>
                  </w:divBdr>
                  <w:divsChild>
                    <w:div w:id="121777788">
                      <w:marLeft w:val="0"/>
                      <w:marRight w:val="0"/>
                      <w:marTop w:val="0"/>
                      <w:marBottom w:val="0"/>
                      <w:divBdr>
                        <w:top w:val="none" w:sz="0" w:space="0" w:color="auto"/>
                        <w:left w:val="none" w:sz="0" w:space="0" w:color="auto"/>
                        <w:bottom w:val="none" w:sz="0" w:space="0" w:color="auto"/>
                        <w:right w:val="none" w:sz="0" w:space="0" w:color="auto"/>
                      </w:divBdr>
                      <w:divsChild>
                        <w:div w:id="1803575480">
                          <w:marLeft w:val="0"/>
                          <w:marRight w:val="0"/>
                          <w:marTop w:val="0"/>
                          <w:marBottom w:val="0"/>
                          <w:divBdr>
                            <w:top w:val="none" w:sz="0" w:space="0" w:color="auto"/>
                            <w:left w:val="none" w:sz="0" w:space="0" w:color="auto"/>
                            <w:bottom w:val="none" w:sz="0" w:space="0" w:color="auto"/>
                            <w:right w:val="none" w:sz="0" w:space="0" w:color="auto"/>
                          </w:divBdr>
                          <w:divsChild>
                            <w:div w:id="1405296788">
                              <w:marLeft w:val="0"/>
                              <w:marRight w:val="0"/>
                              <w:marTop w:val="0"/>
                              <w:marBottom w:val="0"/>
                              <w:divBdr>
                                <w:top w:val="none" w:sz="0" w:space="0" w:color="auto"/>
                                <w:left w:val="none" w:sz="0" w:space="0" w:color="auto"/>
                                <w:bottom w:val="none" w:sz="0" w:space="0" w:color="auto"/>
                                <w:right w:val="none" w:sz="0" w:space="0" w:color="auto"/>
                              </w:divBdr>
                              <w:divsChild>
                                <w:div w:id="1380132653">
                                  <w:marLeft w:val="150"/>
                                  <w:marRight w:val="30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4893402">
      <w:bodyDiv w:val="1"/>
      <w:marLeft w:val="0"/>
      <w:marRight w:val="0"/>
      <w:marTop w:val="0"/>
      <w:marBottom w:val="0"/>
      <w:divBdr>
        <w:top w:val="none" w:sz="0" w:space="0" w:color="auto"/>
        <w:left w:val="none" w:sz="0" w:space="0" w:color="auto"/>
        <w:bottom w:val="none" w:sz="0" w:space="0" w:color="auto"/>
        <w:right w:val="none" w:sz="0" w:space="0" w:color="auto"/>
      </w:divBdr>
      <w:divsChild>
        <w:div w:id="84963541">
          <w:marLeft w:val="0"/>
          <w:marRight w:val="0"/>
          <w:marTop w:val="0"/>
          <w:marBottom w:val="0"/>
          <w:divBdr>
            <w:top w:val="none" w:sz="0" w:space="0" w:color="auto"/>
            <w:left w:val="none" w:sz="0" w:space="0" w:color="auto"/>
            <w:bottom w:val="none" w:sz="0" w:space="0" w:color="auto"/>
            <w:right w:val="none" w:sz="0" w:space="0" w:color="auto"/>
          </w:divBdr>
          <w:divsChild>
            <w:div w:id="1250188982">
              <w:marLeft w:val="0"/>
              <w:marRight w:val="0"/>
              <w:marTop w:val="0"/>
              <w:marBottom w:val="0"/>
              <w:divBdr>
                <w:top w:val="none" w:sz="0" w:space="0" w:color="auto"/>
                <w:left w:val="none" w:sz="0" w:space="0" w:color="auto"/>
                <w:bottom w:val="none" w:sz="0" w:space="0" w:color="auto"/>
                <w:right w:val="none" w:sz="0" w:space="0" w:color="auto"/>
              </w:divBdr>
              <w:divsChild>
                <w:div w:id="1750150369">
                  <w:marLeft w:val="0"/>
                  <w:marRight w:val="0"/>
                  <w:marTop w:val="0"/>
                  <w:marBottom w:val="0"/>
                  <w:divBdr>
                    <w:top w:val="none" w:sz="0" w:space="0" w:color="auto"/>
                    <w:left w:val="none" w:sz="0" w:space="0" w:color="auto"/>
                    <w:bottom w:val="none" w:sz="0" w:space="0" w:color="auto"/>
                    <w:right w:val="none" w:sz="0" w:space="0" w:color="auto"/>
                  </w:divBdr>
                  <w:divsChild>
                    <w:div w:id="2038311591">
                      <w:marLeft w:val="0"/>
                      <w:marRight w:val="0"/>
                      <w:marTop w:val="0"/>
                      <w:marBottom w:val="0"/>
                      <w:divBdr>
                        <w:top w:val="none" w:sz="0" w:space="0" w:color="auto"/>
                        <w:left w:val="none" w:sz="0" w:space="0" w:color="auto"/>
                        <w:bottom w:val="none" w:sz="0" w:space="0" w:color="auto"/>
                        <w:right w:val="none" w:sz="0" w:space="0" w:color="auto"/>
                      </w:divBdr>
                      <w:divsChild>
                        <w:div w:id="1237739117">
                          <w:marLeft w:val="0"/>
                          <w:marRight w:val="0"/>
                          <w:marTop w:val="0"/>
                          <w:marBottom w:val="0"/>
                          <w:divBdr>
                            <w:top w:val="none" w:sz="0" w:space="0" w:color="auto"/>
                            <w:left w:val="none" w:sz="0" w:space="0" w:color="auto"/>
                            <w:bottom w:val="none" w:sz="0" w:space="0" w:color="auto"/>
                            <w:right w:val="none" w:sz="0" w:space="0" w:color="auto"/>
                          </w:divBdr>
                          <w:divsChild>
                            <w:div w:id="1435784043">
                              <w:marLeft w:val="0"/>
                              <w:marRight w:val="0"/>
                              <w:marTop w:val="0"/>
                              <w:marBottom w:val="0"/>
                              <w:divBdr>
                                <w:top w:val="none" w:sz="0" w:space="0" w:color="auto"/>
                                <w:left w:val="none" w:sz="0" w:space="0" w:color="auto"/>
                                <w:bottom w:val="none" w:sz="0" w:space="0" w:color="auto"/>
                                <w:right w:val="none" w:sz="0" w:space="0" w:color="auto"/>
                              </w:divBdr>
                              <w:divsChild>
                                <w:div w:id="2086686159">
                                  <w:marLeft w:val="0"/>
                                  <w:marRight w:val="0"/>
                                  <w:marTop w:val="0"/>
                                  <w:marBottom w:val="0"/>
                                  <w:divBdr>
                                    <w:top w:val="single" w:sz="6" w:space="8" w:color="CCCCCC"/>
                                    <w:left w:val="single" w:sz="6" w:space="8" w:color="CCCCCC"/>
                                    <w:bottom w:val="single" w:sz="6" w:space="8" w:color="CCCCCC"/>
                                    <w:right w:val="single" w:sz="6" w:space="8" w:color="CCCCCC"/>
                                  </w:divBdr>
                                </w:div>
                              </w:divsChild>
                            </w:div>
                          </w:divsChild>
                        </w:div>
                      </w:divsChild>
                    </w:div>
                  </w:divsChild>
                </w:div>
              </w:divsChild>
            </w:div>
          </w:divsChild>
        </w:div>
      </w:divsChild>
    </w:div>
    <w:div w:id="1496529943">
      <w:bodyDiv w:val="1"/>
      <w:marLeft w:val="0"/>
      <w:marRight w:val="0"/>
      <w:marTop w:val="0"/>
      <w:marBottom w:val="0"/>
      <w:divBdr>
        <w:top w:val="none" w:sz="0" w:space="0" w:color="auto"/>
        <w:left w:val="none" w:sz="0" w:space="0" w:color="auto"/>
        <w:bottom w:val="none" w:sz="0" w:space="0" w:color="auto"/>
        <w:right w:val="none" w:sz="0" w:space="0" w:color="auto"/>
      </w:divBdr>
      <w:divsChild>
        <w:div w:id="1615137715">
          <w:marLeft w:val="0"/>
          <w:marRight w:val="0"/>
          <w:marTop w:val="0"/>
          <w:marBottom w:val="0"/>
          <w:divBdr>
            <w:top w:val="none" w:sz="0" w:space="0" w:color="auto"/>
            <w:left w:val="none" w:sz="0" w:space="0" w:color="auto"/>
            <w:bottom w:val="none" w:sz="0" w:space="0" w:color="auto"/>
            <w:right w:val="none" w:sz="0" w:space="0" w:color="auto"/>
          </w:divBdr>
          <w:divsChild>
            <w:div w:id="1834025112">
              <w:marLeft w:val="0"/>
              <w:marRight w:val="0"/>
              <w:marTop w:val="0"/>
              <w:marBottom w:val="0"/>
              <w:divBdr>
                <w:top w:val="none" w:sz="0" w:space="0" w:color="auto"/>
                <w:left w:val="none" w:sz="0" w:space="0" w:color="auto"/>
                <w:bottom w:val="none" w:sz="0" w:space="0" w:color="auto"/>
                <w:right w:val="none" w:sz="0" w:space="0" w:color="auto"/>
              </w:divBdr>
              <w:divsChild>
                <w:div w:id="1841771390">
                  <w:marLeft w:val="0"/>
                  <w:marRight w:val="0"/>
                  <w:marTop w:val="0"/>
                  <w:marBottom w:val="0"/>
                  <w:divBdr>
                    <w:top w:val="none" w:sz="0" w:space="0" w:color="auto"/>
                    <w:left w:val="none" w:sz="0" w:space="0" w:color="auto"/>
                    <w:bottom w:val="none" w:sz="0" w:space="0" w:color="auto"/>
                    <w:right w:val="none" w:sz="0" w:space="0" w:color="auto"/>
                  </w:divBdr>
                  <w:divsChild>
                    <w:div w:id="481848717">
                      <w:marLeft w:val="0"/>
                      <w:marRight w:val="0"/>
                      <w:marTop w:val="0"/>
                      <w:marBottom w:val="0"/>
                      <w:divBdr>
                        <w:top w:val="none" w:sz="0" w:space="0" w:color="auto"/>
                        <w:left w:val="none" w:sz="0" w:space="0" w:color="auto"/>
                        <w:bottom w:val="none" w:sz="0" w:space="0" w:color="auto"/>
                        <w:right w:val="none" w:sz="0" w:space="0" w:color="auto"/>
                      </w:divBdr>
                      <w:divsChild>
                        <w:div w:id="1070811992">
                          <w:marLeft w:val="0"/>
                          <w:marRight w:val="0"/>
                          <w:marTop w:val="0"/>
                          <w:marBottom w:val="0"/>
                          <w:divBdr>
                            <w:top w:val="none" w:sz="0" w:space="0" w:color="auto"/>
                            <w:left w:val="none" w:sz="0" w:space="0" w:color="auto"/>
                            <w:bottom w:val="none" w:sz="0" w:space="0" w:color="auto"/>
                            <w:right w:val="none" w:sz="0" w:space="0" w:color="auto"/>
                          </w:divBdr>
                          <w:divsChild>
                            <w:div w:id="1000738078">
                              <w:marLeft w:val="0"/>
                              <w:marRight w:val="0"/>
                              <w:marTop w:val="0"/>
                              <w:marBottom w:val="0"/>
                              <w:divBdr>
                                <w:top w:val="none" w:sz="0" w:space="0" w:color="auto"/>
                                <w:left w:val="none" w:sz="0" w:space="0" w:color="auto"/>
                                <w:bottom w:val="none" w:sz="0" w:space="0" w:color="auto"/>
                                <w:right w:val="none" w:sz="0" w:space="0" w:color="auto"/>
                              </w:divBdr>
                              <w:divsChild>
                                <w:div w:id="78114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7162732">
      <w:bodyDiv w:val="1"/>
      <w:marLeft w:val="0"/>
      <w:marRight w:val="0"/>
      <w:marTop w:val="0"/>
      <w:marBottom w:val="0"/>
      <w:divBdr>
        <w:top w:val="none" w:sz="0" w:space="0" w:color="auto"/>
        <w:left w:val="none" w:sz="0" w:space="0" w:color="auto"/>
        <w:bottom w:val="none" w:sz="0" w:space="0" w:color="auto"/>
        <w:right w:val="none" w:sz="0" w:space="0" w:color="auto"/>
      </w:divBdr>
      <w:divsChild>
        <w:div w:id="92214049">
          <w:marLeft w:val="0"/>
          <w:marRight w:val="0"/>
          <w:marTop w:val="0"/>
          <w:marBottom w:val="0"/>
          <w:divBdr>
            <w:top w:val="none" w:sz="0" w:space="0" w:color="auto"/>
            <w:left w:val="none" w:sz="0" w:space="0" w:color="auto"/>
            <w:bottom w:val="none" w:sz="0" w:space="0" w:color="auto"/>
            <w:right w:val="none" w:sz="0" w:space="0" w:color="auto"/>
          </w:divBdr>
          <w:divsChild>
            <w:div w:id="830948901">
              <w:marLeft w:val="0"/>
              <w:marRight w:val="0"/>
              <w:marTop w:val="0"/>
              <w:marBottom w:val="0"/>
              <w:divBdr>
                <w:top w:val="none" w:sz="0" w:space="0" w:color="auto"/>
                <w:left w:val="none" w:sz="0" w:space="0" w:color="auto"/>
                <w:bottom w:val="none" w:sz="0" w:space="0" w:color="auto"/>
                <w:right w:val="none" w:sz="0" w:space="0" w:color="auto"/>
              </w:divBdr>
              <w:divsChild>
                <w:div w:id="25912542">
                  <w:marLeft w:val="0"/>
                  <w:marRight w:val="0"/>
                  <w:marTop w:val="0"/>
                  <w:marBottom w:val="0"/>
                  <w:divBdr>
                    <w:top w:val="none" w:sz="0" w:space="0" w:color="auto"/>
                    <w:left w:val="none" w:sz="0" w:space="0" w:color="auto"/>
                    <w:bottom w:val="none" w:sz="0" w:space="0" w:color="auto"/>
                    <w:right w:val="none" w:sz="0" w:space="0" w:color="auto"/>
                  </w:divBdr>
                  <w:divsChild>
                    <w:div w:id="566304813">
                      <w:marLeft w:val="0"/>
                      <w:marRight w:val="0"/>
                      <w:marTop w:val="0"/>
                      <w:marBottom w:val="0"/>
                      <w:divBdr>
                        <w:top w:val="none" w:sz="0" w:space="0" w:color="auto"/>
                        <w:left w:val="none" w:sz="0" w:space="0" w:color="auto"/>
                        <w:bottom w:val="none" w:sz="0" w:space="0" w:color="auto"/>
                        <w:right w:val="none" w:sz="0" w:space="0" w:color="auto"/>
                      </w:divBdr>
                      <w:divsChild>
                        <w:div w:id="189758323">
                          <w:marLeft w:val="0"/>
                          <w:marRight w:val="0"/>
                          <w:marTop w:val="0"/>
                          <w:marBottom w:val="0"/>
                          <w:divBdr>
                            <w:top w:val="none" w:sz="0" w:space="0" w:color="auto"/>
                            <w:left w:val="none" w:sz="0" w:space="0" w:color="auto"/>
                            <w:bottom w:val="none" w:sz="0" w:space="0" w:color="auto"/>
                            <w:right w:val="none" w:sz="0" w:space="0" w:color="auto"/>
                          </w:divBdr>
                          <w:divsChild>
                            <w:div w:id="1209418443">
                              <w:marLeft w:val="0"/>
                              <w:marRight w:val="0"/>
                              <w:marTop w:val="0"/>
                              <w:marBottom w:val="0"/>
                              <w:divBdr>
                                <w:top w:val="none" w:sz="0" w:space="0" w:color="auto"/>
                                <w:left w:val="none" w:sz="0" w:space="0" w:color="auto"/>
                                <w:bottom w:val="none" w:sz="0" w:space="0" w:color="auto"/>
                                <w:right w:val="none" w:sz="0" w:space="0" w:color="auto"/>
                              </w:divBdr>
                              <w:divsChild>
                                <w:div w:id="1101950901">
                                  <w:marLeft w:val="0"/>
                                  <w:marRight w:val="0"/>
                                  <w:marTop w:val="0"/>
                                  <w:marBottom w:val="0"/>
                                  <w:divBdr>
                                    <w:top w:val="single" w:sz="6" w:space="8" w:color="CCCCCC"/>
                                    <w:left w:val="single" w:sz="6" w:space="8" w:color="CCCCCC"/>
                                    <w:bottom w:val="single" w:sz="6" w:space="8" w:color="CCCCCC"/>
                                    <w:right w:val="single" w:sz="6" w:space="8" w:color="CCCCCC"/>
                                  </w:divBdr>
                                </w:div>
                              </w:divsChild>
                            </w:div>
                          </w:divsChild>
                        </w:div>
                      </w:divsChild>
                    </w:div>
                  </w:divsChild>
                </w:div>
              </w:divsChild>
            </w:div>
          </w:divsChild>
        </w:div>
      </w:divsChild>
    </w:div>
    <w:div w:id="1791435847">
      <w:bodyDiv w:val="1"/>
      <w:marLeft w:val="0"/>
      <w:marRight w:val="0"/>
      <w:marTop w:val="0"/>
      <w:marBottom w:val="0"/>
      <w:divBdr>
        <w:top w:val="none" w:sz="0" w:space="0" w:color="auto"/>
        <w:left w:val="none" w:sz="0" w:space="0" w:color="auto"/>
        <w:bottom w:val="none" w:sz="0" w:space="0" w:color="auto"/>
        <w:right w:val="none" w:sz="0" w:space="0" w:color="auto"/>
      </w:divBdr>
      <w:divsChild>
        <w:div w:id="1052540519">
          <w:marLeft w:val="0"/>
          <w:marRight w:val="0"/>
          <w:marTop w:val="0"/>
          <w:marBottom w:val="0"/>
          <w:divBdr>
            <w:top w:val="none" w:sz="0" w:space="0" w:color="auto"/>
            <w:left w:val="none" w:sz="0" w:space="0" w:color="auto"/>
            <w:bottom w:val="none" w:sz="0" w:space="0" w:color="auto"/>
            <w:right w:val="none" w:sz="0" w:space="0" w:color="auto"/>
          </w:divBdr>
          <w:divsChild>
            <w:div w:id="897479640">
              <w:marLeft w:val="0"/>
              <w:marRight w:val="0"/>
              <w:marTop w:val="0"/>
              <w:marBottom w:val="0"/>
              <w:divBdr>
                <w:top w:val="none" w:sz="0" w:space="0" w:color="auto"/>
                <w:left w:val="none" w:sz="0" w:space="0" w:color="auto"/>
                <w:bottom w:val="none" w:sz="0" w:space="0" w:color="auto"/>
                <w:right w:val="none" w:sz="0" w:space="0" w:color="auto"/>
              </w:divBdr>
              <w:divsChild>
                <w:div w:id="769009838">
                  <w:marLeft w:val="0"/>
                  <w:marRight w:val="0"/>
                  <w:marTop w:val="0"/>
                  <w:marBottom w:val="0"/>
                  <w:divBdr>
                    <w:top w:val="none" w:sz="0" w:space="0" w:color="auto"/>
                    <w:left w:val="none" w:sz="0" w:space="0" w:color="auto"/>
                    <w:bottom w:val="none" w:sz="0" w:space="0" w:color="auto"/>
                    <w:right w:val="none" w:sz="0" w:space="0" w:color="auto"/>
                  </w:divBdr>
                  <w:divsChild>
                    <w:div w:id="207424417">
                      <w:marLeft w:val="0"/>
                      <w:marRight w:val="0"/>
                      <w:marTop w:val="0"/>
                      <w:marBottom w:val="0"/>
                      <w:divBdr>
                        <w:top w:val="none" w:sz="0" w:space="0" w:color="auto"/>
                        <w:left w:val="none" w:sz="0" w:space="0" w:color="auto"/>
                        <w:bottom w:val="none" w:sz="0" w:space="0" w:color="auto"/>
                        <w:right w:val="none" w:sz="0" w:space="0" w:color="auto"/>
                      </w:divBdr>
                      <w:divsChild>
                        <w:div w:id="407461872">
                          <w:marLeft w:val="0"/>
                          <w:marRight w:val="0"/>
                          <w:marTop w:val="0"/>
                          <w:marBottom w:val="0"/>
                          <w:divBdr>
                            <w:top w:val="none" w:sz="0" w:space="0" w:color="auto"/>
                            <w:left w:val="none" w:sz="0" w:space="0" w:color="auto"/>
                            <w:bottom w:val="none" w:sz="0" w:space="0" w:color="auto"/>
                            <w:right w:val="none" w:sz="0" w:space="0" w:color="auto"/>
                          </w:divBdr>
                          <w:divsChild>
                            <w:div w:id="1319768259">
                              <w:marLeft w:val="0"/>
                              <w:marRight w:val="0"/>
                              <w:marTop w:val="0"/>
                              <w:marBottom w:val="0"/>
                              <w:divBdr>
                                <w:top w:val="none" w:sz="0" w:space="0" w:color="auto"/>
                                <w:left w:val="none" w:sz="0" w:space="0" w:color="auto"/>
                                <w:bottom w:val="none" w:sz="0" w:space="0" w:color="auto"/>
                                <w:right w:val="none" w:sz="0" w:space="0" w:color="auto"/>
                              </w:divBdr>
                              <w:divsChild>
                                <w:div w:id="1638877895">
                                  <w:marLeft w:val="0"/>
                                  <w:marRight w:val="0"/>
                                  <w:marTop w:val="0"/>
                                  <w:marBottom w:val="0"/>
                                  <w:divBdr>
                                    <w:top w:val="none" w:sz="0" w:space="0" w:color="auto"/>
                                    <w:left w:val="none" w:sz="0" w:space="0" w:color="auto"/>
                                    <w:bottom w:val="none" w:sz="0" w:space="0" w:color="auto"/>
                                    <w:right w:val="none" w:sz="0" w:space="0" w:color="auto"/>
                                  </w:divBdr>
                                  <w:divsChild>
                                    <w:div w:id="530580151">
                                      <w:marLeft w:val="0"/>
                                      <w:marRight w:val="0"/>
                                      <w:marTop w:val="0"/>
                                      <w:marBottom w:val="0"/>
                                      <w:divBdr>
                                        <w:top w:val="single" w:sz="6" w:space="8" w:color="CCCCCC"/>
                                        <w:left w:val="single" w:sz="6" w:space="8" w:color="CCCCCC"/>
                                        <w:bottom w:val="single" w:sz="6" w:space="8" w:color="CCCCCC"/>
                                        <w:right w:val="single" w:sz="6" w:space="8" w:color="CCCCCC"/>
                                      </w:divBdr>
                                    </w:div>
                                  </w:divsChild>
                                </w:div>
                              </w:divsChild>
                            </w:div>
                          </w:divsChild>
                        </w:div>
                      </w:divsChild>
                    </w:div>
                  </w:divsChild>
                </w:div>
              </w:divsChild>
            </w:div>
          </w:divsChild>
        </w:div>
      </w:divsChild>
    </w:div>
    <w:div w:id="1897934770">
      <w:bodyDiv w:val="1"/>
      <w:marLeft w:val="0"/>
      <w:marRight w:val="0"/>
      <w:marTop w:val="0"/>
      <w:marBottom w:val="0"/>
      <w:divBdr>
        <w:top w:val="none" w:sz="0" w:space="0" w:color="auto"/>
        <w:left w:val="none" w:sz="0" w:space="0" w:color="auto"/>
        <w:bottom w:val="none" w:sz="0" w:space="0" w:color="auto"/>
        <w:right w:val="none" w:sz="0" w:space="0" w:color="auto"/>
      </w:divBdr>
      <w:divsChild>
        <w:div w:id="1169368243">
          <w:marLeft w:val="0"/>
          <w:marRight w:val="0"/>
          <w:marTop w:val="0"/>
          <w:marBottom w:val="0"/>
          <w:divBdr>
            <w:top w:val="none" w:sz="0" w:space="0" w:color="auto"/>
            <w:left w:val="none" w:sz="0" w:space="0" w:color="auto"/>
            <w:bottom w:val="none" w:sz="0" w:space="0" w:color="auto"/>
            <w:right w:val="none" w:sz="0" w:space="0" w:color="auto"/>
          </w:divBdr>
          <w:divsChild>
            <w:div w:id="230848055">
              <w:marLeft w:val="0"/>
              <w:marRight w:val="0"/>
              <w:marTop w:val="0"/>
              <w:marBottom w:val="0"/>
              <w:divBdr>
                <w:top w:val="none" w:sz="0" w:space="0" w:color="auto"/>
                <w:left w:val="none" w:sz="0" w:space="0" w:color="auto"/>
                <w:bottom w:val="none" w:sz="0" w:space="0" w:color="auto"/>
                <w:right w:val="none" w:sz="0" w:space="0" w:color="auto"/>
              </w:divBdr>
              <w:divsChild>
                <w:div w:id="178474250">
                  <w:marLeft w:val="0"/>
                  <w:marRight w:val="0"/>
                  <w:marTop w:val="0"/>
                  <w:marBottom w:val="0"/>
                  <w:divBdr>
                    <w:top w:val="none" w:sz="0" w:space="0" w:color="auto"/>
                    <w:left w:val="none" w:sz="0" w:space="0" w:color="auto"/>
                    <w:bottom w:val="none" w:sz="0" w:space="0" w:color="auto"/>
                    <w:right w:val="none" w:sz="0" w:space="0" w:color="auto"/>
                  </w:divBdr>
                  <w:divsChild>
                    <w:div w:id="939917762">
                      <w:marLeft w:val="0"/>
                      <w:marRight w:val="0"/>
                      <w:marTop w:val="0"/>
                      <w:marBottom w:val="0"/>
                      <w:divBdr>
                        <w:top w:val="none" w:sz="0" w:space="0" w:color="auto"/>
                        <w:left w:val="none" w:sz="0" w:space="0" w:color="auto"/>
                        <w:bottom w:val="none" w:sz="0" w:space="0" w:color="auto"/>
                        <w:right w:val="none" w:sz="0" w:space="0" w:color="auto"/>
                      </w:divBdr>
                      <w:divsChild>
                        <w:div w:id="756445984">
                          <w:marLeft w:val="0"/>
                          <w:marRight w:val="0"/>
                          <w:marTop w:val="0"/>
                          <w:marBottom w:val="0"/>
                          <w:divBdr>
                            <w:top w:val="none" w:sz="0" w:space="0" w:color="auto"/>
                            <w:left w:val="none" w:sz="0" w:space="0" w:color="auto"/>
                            <w:bottom w:val="none" w:sz="0" w:space="0" w:color="auto"/>
                            <w:right w:val="none" w:sz="0" w:space="0" w:color="auto"/>
                          </w:divBdr>
                          <w:divsChild>
                            <w:div w:id="283001028">
                              <w:marLeft w:val="0"/>
                              <w:marRight w:val="0"/>
                              <w:marTop w:val="0"/>
                              <w:marBottom w:val="0"/>
                              <w:divBdr>
                                <w:top w:val="none" w:sz="0" w:space="0" w:color="auto"/>
                                <w:left w:val="none" w:sz="0" w:space="0" w:color="auto"/>
                                <w:bottom w:val="none" w:sz="0" w:space="0" w:color="auto"/>
                                <w:right w:val="none" w:sz="0" w:space="0" w:color="auto"/>
                              </w:divBdr>
                              <w:divsChild>
                                <w:div w:id="3483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2942124">
      <w:bodyDiv w:val="1"/>
      <w:marLeft w:val="0"/>
      <w:marRight w:val="0"/>
      <w:marTop w:val="0"/>
      <w:marBottom w:val="0"/>
      <w:divBdr>
        <w:top w:val="none" w:sz="0" w:space="0" w:color="auto"/>
        <w:left w:val="none" w:sz="0" w:space="0" w:color="auto"/>
        <w:bottom w:val="none" w:sz="0" w:space="0" w:color="auto"/>
        <w:right w:val="none" w:sz="0" w:space="0" w:color="auto"/>
      </w:divBdr>
      <w:divsChild>
        <w:div w:id="406613944">
          <w:marLeft w:val="0"/>
          <w:marRight w:val="0"/>
          <w:marTop w:val="0"/>
          <w:marBottom w:val="0"/>
          <w:divBdr>
            <w:top w:val="none" w:sz="0" w:space="0" w:color="auto"/>
            <w:left w:val="none" w:sz="0" w:space="0" w:color="auto"/>
            <w:bottom w:val="none" w:sz="0" w:space="0" w:color="auto"/>
            <w:right w:val="none" w:sz="0" w:space="0" w:color="auto"/>
          </w:divBdr>
          <w:divsChild>
            <w:div w:id="2108260078">
              <w:marLeft w:val="0"/>
              <w:marRight w:val="0"/>
              <w:marTop w:val="0"/>
              <w:marBottom w:val="0"/>
              <w:divBdr>
                <w:top w:val="none" w:sz="0" w:space="0" w:color="auto"/>
                <w:left w:val="none" w:sz="0" w:space="0" w:color="auto"/>
                <w:bottom w:val="none" w:sz="0" w:space="0" w:color="auto"/>
                <w:right w:val="none" w:sz="0" w:space="0" w:color="auto"/>
              </w:divBdr>
              <w:divsChild>
                <w:div w:id="1569262276">
                  <w:marLeft w:val="0"/>
                  <w:marRight w:val="0"/>
                  <w:marTop w:val="0"/>
                  <w:marBottom w:val="0"/>
                  <w:divBdr>
                    <w:top w:val="none" w:sz="0" w:space="0" w:color="auto"/>
                    <w:left w:val="none" w:sz="0" w:space="0" w:color="auto"/>
                    <w:bottom w:val="none" w:sz="0" w:space="0" w:color="auto"/>
                    <w:right w:val="none" w:sz="0" w:space="0" w:color="auto"/>
                  </w:divBdr>
                  <w:divsChild>
                    <w:div w:id="1325354872">
                      <w:marLeft w:val="0"/>
                      <w:marRight w:val="0"/>
                      <w:marTop w:val="0"/>
                      <w:marBottom w:val="0"/>
                      <w:divBdr>
                        <w:top w:val="none" w:sz="0" w:space="0" w:color="auto"/>
                        <w:left w:val="none" w:sz="0" w:space="0" w:color="auto"/>
                        <w:bottom w:val="none" w:sz="0" w:space="0" w:color="auto"/>
                        <w:right w:val="none" w:sz="0" w:space="0" w:color="auto"/>
                      </w:divBdr>
                      <w:divsChild>
                        <w:div w:id="535894450">
                          <w:marLeft w:val="0"/>
                          <w:marRight w:val="0"/>
                          <w:marTop w:val="0"/>
                          <w:marBottom w:val="0"/>
                          <w:divBdr>
                            <w:top w:val="none" w:sz="0" w:space="0" w:color="auto"/>
                            <w:left w:val="none" w:sz="0" w:space="0" w:color="auto"/>
                            <w:bottom w:val="none" w:sz="0" w:space="0" w:color="auto"/>
                            <w:right w:val="none" w:sz="0" w:space="0" w:color="auto"/>
                          </w:divBdr>
                          <w:divsChild>
                            <w:div w:id="25914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151720">
      <w:bodyDiv w:val="1"/>
      <w:marLeft w:val="0"/>
      <w:marRight w:val="0"/>
      <w:marTop w:val="0"/>
      <w:marBottom w:val="0"/>
      <w:divBdr>
        <w:top w:val="none" w:sz="0" w:space="0" w:color="auto"/>
        <w:left w:val="none" w:sz="0" w:space="0" w:color="auto"/>
        <w:bottom w:val="none" w:sz="0" w:space="0" w:color="auto"/>
        <w:right w:val="none" w:sz="0" w:space="0" w:color="auto"/>
      </w:divBdr>
      <w:divsChild>
        <w:div w:id="1195456776">
          <w:marLeft w:val="0"/>
          <w:marRight w:val="0"/>
          <w:marTop w:val="0"/>
          <w:marBottom w:val="0"/>
          <w:divBdr>
            <w:top w:val="none" w:sz="0" w:space="0" w:color="auto"/>
            <w:left w:val="none" w:sz="0" w:space="0" w:color="auto"/>
            <w:bottom w:val="none" w:sz="0" w:space="0" w:color="auto"/>
            <w:right w:val="none" w:sz="0" w:space="0" w:color="auto"/>
          </w:divBdr>
          <w:divsChild>
            <w:div w:id="569929734">
              <w:marLeft w:val="0"/>
              <w:marRight w:val="0"/>
              <w:marTop w:val="0"/>
              <w:marBottom w:val="0"/>
              <w:divBdr>
                <w:top w:val="none" w:sz="0" w:space="0" w:color="auto"/>
                <w:left w:val="none" w:sz="0" w:space="0" w:color="auto"/>
                <w:bottom w:val="none" w:sz="0" w:space="0" w:color="auto"/>
                <w:right w:val="none" w:sz="0" w:space="0" w:color="auto"/>
              </w:divBdr>
              <w:divsChild>
                <w:div w:id="1849784963">
                  <w:marLeft w:val="0"/>
                  <w:marRight w:val="0"/>
                  <w:marTop w:val="0"/>
                  <w:marBottom w:val="0"/>
                  <w:divBdr>
                    <w:top w:val="none" w:sz="0" w:space="0" w:color="auto"/>
                    <w:left w:val="none" w:sz="0" w:space="0" w:color="auto"/>
                    <w:bottom w:val="none" w:sz="0" w:space="0" w:color="auto"/>
                    <w:right w:val="none" w:sz="0" w:space="0" w:color="auto"/>
                  </w:divBdr>
                  <w:divsChild>
                    <w:div w:id="455493369">
                      <w:marLeft w:val="0"/>
                      <w:marRight w:val="0"/>
                      <w:marTop w:val="0"/>
                      <w:marBottom w:val="0"/>
                      <w:divBdr>
                        <w:top w:val="none" w:sz="0" w:space="0" w:color="auto"/>
                        <w:left w:val="none" w:sz="0" w:space="0" w:color="auto"/>
                        <w:bottom w:val="none" w:sz="0" w:space="0" w:color="auto"/>
                        <w:right w:val="none" w:sz="0" w:space="0" w:color="auto"/>
                      </w:divBdr>
                      <w:divsChild>
                        <w:div w:id="690107513">
                          <w:marLeft w:val="0"/>
                          <w:marRight w:val="0"/>
                          <w:marTop w:val="0"/>
                          <w:marBottom w:val="0"/>
                          <w:divBdr>
                            <w:top w:val="none" w:sz="0" w:space="0" w:color="auto"/>
                            <w:left w:val="none" w:sz="0" w:space="0" w:color="auto"/>
                            <w:bottom w:val="none" w:sz="0" w:space="0" w:color="auto"/>
                            <w:right w:val="none" w:sz="0" w:space="0" w:color="auto"/>
                          </w:divBdr>
                          <w:divsChild>
                            <w:div w:id="19735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oncordia.com/courses/real_estate/lesson8_sm/140.aspx" TargetMode="External"/><Relationship Id="rId3" Type="http://schemas.microsoft.com/office/2007/relationships/stylesWithEffects" Target="stylesWithEffects.xml"/><Relationship Id="rId7" Type="http://schemas.openxmlformats.org/officeDocument/2006/relationships/hyperlink" Target="http://www.econcordia.com/courses/real_estate/lesson8_sm/090.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concordia.com/courses/real_estate/lesson8_sm/040.aspx"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17</Pages>
  <Words>2598</Words>
  <Characters>14811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2016-04-06T14:44:00Z</dcterms:created>
  <dcterms:modified xsi:type="dcterms:W3CDTF">2016-04-06T15:00:00Z</dcterms:modified>
</cp:coreProperties>
</file>