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16E" w:rsidRDefault="001126C4">
      <w:r>
        <w:t>FINA 210 LESSON 7 NOTES</w:t>
      </w:r>
    </w:p>
    <w:p w:rsidR="001126C4" w:rsidRPr="001126C4" w:rsidRDefault="001126C4" w:rsidP="001126C4">
      <w:pPr>
        <w:spacing w:before="75" w:after="75" w:line="240" w:lineRule="auto"/>
        <w:outlineLvl w:val="2"/>
        <w:rPr>
          <w:rFonts w:ascii="Verdana" w:eastAsia="Times New Roman" w:hAnsi="Verdana" w:cs="Times New Roman"/>
          <w:b/>
          <w:bCs/>
          <w:color w:val="958616"/>
          <w:sz w:val="24"/>
          <w:szCs w:val="24"/>
        </w:rPr>
      </w:pPr>
      <w:r w:rsidRPr="001126C4">
        <w:rPr>
          <w:rFonts w:ascii="Verdana" w:eastAsia="Times New Roman" w:hAnsi="Verdana" w:cs="Times New Roman"/>
          <w:b/>
          <w:bCs/>
          <w:color w:val="958616"/>
          <w:sz w:val="24"/>
          <w:szCs w:val="24"/>
        </w:rPr>
        <w:t>The Investment Decision: Criteria</w:t>
      </w:r>
    </w:p>
    <w:p w:rsidR="001126C4" w:rsidRPr="001126C4" w:rsidRDefault="001126C4" w:rsidP="001126C4">
      <w:pPr>
        <w:spacing w:after="0" w:line="240" w:lineRule="auto"/>
        <w:rPr>
          <w:rFonts w:ascii="Verdana" w:eastAsia="Times New Roman" w:hAnsi="Verdana" w:cs="Times New Roman"/>
          <w:color w:val="393939"/>
          <w:sz w:val="18"/>
          <w:szCs w:val="18"/>
        </w:rPr>
      </w:pPr>
    </w:p>
    <w:p w:rsidR="001126C4" w:rsidRPr="001126C4" w:rsidRDefault="001126C4" w:rsidP="001126C4">
      <w:pPr>
        <w:shd w:val="clear" w:color="auto" w:fill="E9E3AE"/>
        <w:spacing w:before="75" w:after="75" w:line="240" w:lineRule="auto"/>
        <w:outlineLvl w:val="2"/>
        <w:rPr>
          <w:rFonts w:ascii="Verdana" w:eastAsia="Times New Roman" w:hAnsi="Verdana" w:cs="Times New Roman"/>
          <w:b/>
          <w:bCs/>
          <w:color w:val="958616"/>
          <w:sz w:val="24"/>
          <w:szCs w:val="24"/>
        </w:rPr>
      </w:pPr>
      <w:r w:rsidRPr="001126C4">
        <w:rPr>
          <w:rFonts w:ascii="Verdana" w:eastAsia="Times New Roman" w:hAnsi="Verdana" w:cs="Times New Roman"/>
          <w:b/>
          <w:bCs/>
          <w:color w:val="958616"/>
          <w:sz w:val="24"/>
          <w:szCs w:val="24"/>
        </w:rPr>
        <w:t>Definition</w:t>
      </w:r>
    </w:p>
    <w:p w:rsidR="001126C4" w:rsidRPr="001126C4" w:rsidRDefault="001126C4" w:rsidP="001126C4">
      <w:pPr>
        <w:shd w:val="clear" w:color="auto" w:fill="FFFFFF"/>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The purpose of </w:t>
      </w:r>
      <w:r w:rsidRPr="001126C4">
        <w:rPr>
          <w:rFonts w:ascii="Verdana" w:eastAsia="Times New Roman" w:hAnsi="Verdana" w:cs="Times New Roman"/>
          <w:b/>
          <w:bCs/>
          <w:color w:val="393939"/>
          <w:sz w:val="18"/>
          <w:szCs w:val="18"/>
        </w:rPr>
        <w:t>investment decision criteria</w:t>
      </w:r>
      <w:r w:rsidRPr="001126C4">
        <w:rPr>
          <w:rFonts w:ascii="Verdana" w:eastAsia="Times New Roman" w:hAnsi="Verdana" w:cs="Times New Roman"/>
          <w:color w:val="393939"/>
          <w:sz w:val="18"/>
          <w:szCs w:val="18"/>
        </w:rPr>
        <w:t xml:space="preserve"> in real estate is to quantify certain measures in order to compare them to a predetermined benchmark or to rank properties according to the decision criteria of choice (i.e. payback). </w:t>
      </w:r>
    </w:p>
    <w:p w:rsidR="001126C4" w:rsidRPr="001126C4" w:rsidRDefault="001126C4" w:rsidP="001126C4">
      <w:pPr>
        <w:shd w:val="clear" w:color="auto" w:fill="FFFFFF"/>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Pr="001126C4" w:rsidRDefault="001126C4" w:rsidP="001126C4">
      <w:pPr>
        <w:shd w:val="clear" w:color="auto" w:fill="FFFFFF"/>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Ultimately, using these tools will facilitate the decision-making process.</w:t>
      </w:r>
    </w:p>
    <w:p w:rsidR="001126C4" w:rsidRPr="001126C4" w:rsidRDefault="001126C4" w:rsidP="001126C4">
      <w:pPr>
        <w:shd w:val="clear" w:color="auto" w:fill="FFFFFF"/>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Pr="001126C4" w:rsidRDefault="001126C4" w:rsidP="001126C4">
      <w:pPr>
        <w:numPr>
          <w:ilvl w:val="0"/>
          <w:numId w:val="1"/>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There are several formulas we use to evaluate real estate investment. </w:t>
      </w:r>
    </w:p>
    <w:p w:rsidR="001126C4" w:rsidRPr="001126C4" w:rsidRDefault="001126C4" w:rsidP="001126C4">
      <w:pPr>
        <w:numPr>
          <w:ilvl w:val="0"/>
          <w:numId w:val="1"/>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Some are simple (rules of thumb approach) and can be calculated quite easily using a basic calculator; others are more complex and require a financial calculator or a scientific calculator. </w:t>
      </w:r>
    </w:p>
    <w:p w:rsidR="001126C4" w:rsidRPr="001126C4" w:rsidRDefault="001126C4" w:rsidP="001126C4">
      <w:pPr>
        <w:numPr>
          <w:ilvl w:val="0"/>
          <w:numId w:val="1"/>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In this course we will use the Rules of Thumb Techniques. </w:t>
      </w:r>
    </w:p>
    <w:p w:rsidR="001126C4" w:rsidRDefault="001126C4"/>
    <w:p w:rsidR="001126C4" w:rsidRPr="001126C4" w:rsidRDefault="001126C4" w:rsidP="001126C4">
      <w:pPr>
        <w:spacing w:before="75" w:after="75" w:line="240" w:lineRule="auto"/>
        <w:outlineLvl w:val="2"/>
        <w:rPr>
          <w:rFonts w:ascii="Verdana" w:eastAsia="Times New Roman" w:hAnsi="Verdana" w:cs="Times New Roman"/>
          <w:b/>
          <w:bCs/>
          <w:color w:val="958616"/>
          <w:sz w:val="24"/>
          <w:szCs w:val="24"/>
        </w:rPr>
      </w:pPr>
      <w:r>
        <w:rPr>
          <w:rFonts w:ascii="Verdana" w:eastAsia="Times New Roman" w:hAnsi="Verdana" w:cs="Times New Roman"/>
          <w:b/>
          <w:bCs/>
          <w:color w:val="958616"/>
          <w:sz w:val="24"/>
          <w:szCs w:val="24"/>
        </w:rPr>
        <w:t>Rules of Thumb Techniques</w:t>
      </w:r>
      <w:r w:rsidRPr="001126C4">
        <w:rPr>
          <w:rFonts w:ascii="Verdana" w:eastAsia="Times New Roman" w:hAnsi="Verdana" w:cs="Times New Roman"/>
          <w:b/>
          <w:bCs/>
          <w:vanish/>
          <w:color w:val="958616"/>
          <w:sz w:val="24"/>
          <w:szCs w:val="24"/>
        </w:rPr>
        <w:t>Professor's Comments (audio)</w:t>
      </w:r>
    </w:p>
    <w:p w:rsidR="001126C4" w:rsidRDefault="001126C4" w:rsidP="001126C4">
      <w:pPr>
        <w:pStyle w:val="ListParagraph"/>
        <w:numPr>
          <w:ilvl w:val="0"/>
          <w:numId w:val="2"/>
        </w:num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The real estate income statement is a tool that will assist you in calculating Net Income Multipliers (NIM), Gross Income Multipliers (GIM), and Overall Capitalization Rates. It is also very helpful in determining the cash flow after taxes (CFAT) on assets.</w:t>
      </w:r>
    </w:p>
    <w:p w:rsidR="001126C4" w:rsidRPr="001126C4" w:rsidRDefault="001126C4" w:rsidP="001126C4">
      <w:pPr>
        <w:pStyle w:val="ListParagraph"/>
        <w:spacing w:before="75" w:after="75" w:line="288" w:lineRule="auto"/>
        <w:rPr>
          <w:rFonts w:ascii="Verdana" w:eastAsia="Times New Roman" w:hAnsi="Verdana" w:cs="Times New Roman"/>
          <w:color w:val="393939"/>
          <w:sz w:val="18"/>
          <w:szCs w:val="18"/>
        </w:rPr>
      </w:pPr>
    </w:p>
    <w:p w:rsidR="001126C4" w:rsidRPr="001126C4" w:rsidRDefault="001126C4" w:rsidP="001126C4">
      <w:pPr>
        <w:pStyle w:val="ListParagraph"/>
        <w:numPr>
          <w:ilvl w:val="0"/>
          <w:numId w:val="2"/>
        </w:num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The Rules of Thumb Techniques are based on the </w:t>
      </w:r>
      <w:r w:rsidRPr="001126C4">
        <w:rPr>
          <w:rFonts w:ascii="Verdana" w:eastAsia="Times New Roman" w:hAnsi="Verdana" w:cs="Times New Roman"/>
          <w:b/>
          <w:bCs/>
          <w:color w:val="393939"/>
          <w:sz w:val="18"/>
          <w:szCs w:val="18"/>
        </w:rPr>
        <w:t>real estate income statement</w:t>
      </w:r>
      <w:r w:rsidRPr="001126C4">
        <w:rPr>
          <w:rFonts w:ascii="Verdana" w:eastAsia="Times New Roman" w:hAnsi="Verdana" w:cs="Times New Roman"/>
          <w:i/>
          <w:iCs/>
          <w:color w:val="393939"/>
          <w:sz w:val="18"/>
          <w:szCs w:val="18"/>
        </w:rPr>
        <w:t xml:space="preserve">, </w:t>
      </w:r>
      <w:r w:rsidRPr="001126C4">
        <w:rPr>
          <w:rFonts w:ascii="Verdana" w:eastAsia="Times New Roman" w:hAnsi="Verdana" w:cs="Times New Roman"/>
          <w:color w:val="393939"/>
          <w:sz w:val="18"/>
          <w:szCs w:val="18"/>
        </w:rPr>
        <w:t xml:space="preserve">which is similar to the traditional income statement that companies use in their annual financial statements. However, the terms used on the statements differ. For example, instead of the </w:t>
      </w:r>
      <w:r w:rsidRPr="001126C4">
        <w:rPr>
          <w:rFonts w:ascii="Verdana" w:eastAsia="Times New Roman" w:hAnsi="Verdana" w:cs="Times New Roman"/>
          <w:b/>
          <w:bCs/>
          <w:color w:val="393939"/>
          <w:sz w:val="18"/>
          <w:szCs w:val="18"/>
        </w:rPr>
        <w:t>"sales"</w:t>
      </w:r>
      <w:r w:rsidRPr="001126C4">
        <w:rPr>
          <w:rFonts w:ascii="Verdana" w:eastAsia="Times New Roman" w:hAnsi="Verdana" w:cs="Times New Roman"/>
          <w:color w:val="393939"/>
          <w:sz w:val="18"/>
          <w:szCs w:val="18"/>
        </w:rPr>
        <w:t xml:space="preserve"> which usually appear on traditional accounting statements,</w:t>
      </w:r>
      <w:r w:rsidRPr="001126C4">
        <w:rPr>
          <w:rFonts w:ascii="Verdana" w:eastAsia="Times New Roman" w:hAnsi="Verdana" w:cs="Times New Roman"/>
          <w:b/>
          <w:bCs/>
          <w:color w:val="393939"/>
          <w:sz w:val="18"/>
          <w:szCs w:val="18"/>
        </w:rPr>
        <w:t xml:space="preserve"> "potential gross income"</w:t>
      </w:r>
      <w:r w:rsidRPr="001126C4">
        <w:rPr>
          <w:rFonts w:ascii="Verdana" w:eastAsia="Times New Roman" w:hAnsi="Verdana" w:cs="Times New Roman"/>
          <w:color w:val="393939"/>
          <w:sz w:val="18"/>
          <w:szCs w:val="18"/>
        </w:rPr>
        <w:t xml:space="preserve"> is used in real estate. </w:t>
      </w:r>
    </w:p>
    <w:p w:rsidR="001126C4" w:rsidRPr="001126C4" w:rsidRDefault="001126C4" w:rsidP="001126C4">
      <w:pPr>
        <w:spacing w:before="75" w:after="75" w:line="288" w:lineRule="auto"/>
        <w:rPr>
          <w:rFonts w:ascii="Verdana" w:eastAsia="Times New Roman" w:hAnsi="Verdana" w:cs="Times New Roman"/>
          <w:color w:val="393939"/>
          <w:sz w:val="18"/>
          <w:szCs w:val="18"/>
        </w:rPr>
      </w:pP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t xml:space="preserve">A Typical Real Estate Income Statement </w:t>
      </w:r>
    </w:p>
    <w:p w:rsidR="001126C4" w:rsidRDefault="001126C4" w:rsidP="001126C4">
      <w:pPr>
        <w:spacing w:after="0" w:line="240" w:lineRule="auto"/>
        <w:jc w:val="center"/>
        <w:rPr>
          <w:rFonts w:ascii="Verdana" w:eastAsia="Times New Roman" w:hAnsi="Verdana" w:cs="Times New Roman"/>
          <w:b/>
          <w:bCs/>
          <w:color w:val="9E9E9E"/>
          <w:sz w:val="18"/>
          <w:szCs w:val="18"/>
        </w:rPr>
        <w:sectPr w:rsidR="001126C4">
          <w:pgSz w:w="12240" w:h="15840"/>
          <w:pgMar w:top="1440" w:right="1440" w:bottom="1440" w:left="1440" w:header="708" w:footer="708" w:gutter="0"/>
          <w:cols w:space="708"/>
          <w:docGrid w:linePitch="360"/>
        </w:sectPr>
      </w:pP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274"/>
        <w:gridCol w:w="4419"/>
        <w:gridCol w:w="644"/>
      </w:tblGrid>
      <w:tr w:rsidR="001126C4" w:rsidRPr="001126C4" w:rsidTr="001126C4">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lastRenderedPageBreak/>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Potential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PGI</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VCL</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 xml:space="preserve">Effective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EGI</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Operating Costs (without Depreciation or CCA)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OE</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Net Operating Income</w:t>
            </w:r>
            <w:r w:rsidRPr="001126C4">
              <w:rPr>
                <w:rFonts w:ascii="Verdana" w:eastAsia="Times New Roman" w:hAnsi="Verdana" w:cs="Times New Roman"/>
                <w:color w:val="393939"/>
                <w:sz w:val="18"/>
                <w:szCs w:val="18"/>
              </w:rPr>
              <w:t xml:space="preserv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NOI</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Depreciation or Capital Cost Allowance (CCA)</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CCA</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Earnings Before Interests and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EBIT</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Interest expense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IE</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Earnings Before Taxes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EBT</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lastRenderedPageBreak/>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Taxes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TAX</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Earnings After Taxes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EAT</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Add Back</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Depreciation or Capital Cost Allowance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CCA</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Principle portion of Mortgage Payment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PRIN</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Cash Flow After Taxes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CFAT</w:t>
            </w:r>
          </w:p>
        </w:tc>
      </w:tr>
    </w:tbl>
    <w:p w:rsidR="001126C4" w:rsidRDefault="001126C4">
      <w:pPr>
        <w:sectPr w:rsidR="001126C4" w:rsidSect="001126C4">
          <w:type w:val="continuous"/>
          <w:pgSz w:w="12240" w:h="15840"/>
          <w:pgMar w:top="1440" w:right="1440" w:bottom="1440" w:left="1440" w:header="708" w:footer="708" w:gutter="0"/>
          <w:cols w:space="708"/>
          <w:docGrid w:linePitch="360"/>
        </w:sectPr>
      </w:pPr>
    </w:p>
    <w:p w:rsidR="001126C4" w:rsidRDefault="001126C4"/>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t>Payback Period (PB)</w:t>
      </w:r>
    </w:p>
    <w:p w:rsidR="001126C4" w:rsidRPr="001126C4" w:rsidRDefault="001126C4" w:rsidP="001126C4">
      <w:pPr>
        <w:numPr>
          <w:ilvl w:val="0"/>
          <w:numId w:val="3"/>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The number of years or period to recover your investment costs. </w:t>
      </w:r>
    </w:p>
    <w:p w:rsidR="001126C4" w:rsidRPr="001126C4" w:rsidRDefault="001126C4" w:rsidP="001126C4">
      <w:pPr>
        <w:numPr>
          <w:ilvl w:val="0"/>
          <w:numId w:val="3"/>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If the investment cost (cash outflow) is $60,000 and the cash inflow is $20,000 per year for 5 years, the PB is 3 years.</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t>Return on Asset (ROA)</w:t>
      </w:r>
    </w:p>
    <w:p w:rsidR="001126C4" w:rsidRPr="001126C4" w:rsidRDefault="001126C4" w:rsidP="001126C4">
      <w:pPr>
        <w:numPr>
          <w:ilvl w:val="0"/>
          <w:numId w:val="4"/>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This is the rate of return on the asset, often denominated on a per annum basis.</w:t>
      </w:r>
    </w:p>
    <w:p w:rsidR="001126C4" w:rsidRPr="001126C4" w:rsidRDefault="001126C4" w:rsidP="001126C4">
      <w:pPr>
        <w:numPr>
          <w:ilvl w:val="0"/>
          <w:numId w:val="4"/>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If the return or profit is $20,000 for the year and the investment costs $100,000 (total costs of the investment, i.e. loan plus the down payment), the ROA is 20%.</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t>Return on Investment (ROI) or Return on Equity (ROE)</w:t>
      </w:r>
    </w:p>
    <w:p w:rsidR="001126C4" w:rsidRPr="001126C4" w:rsidRDefault="001126C4" w:rsidP="001126C4">
      <w:pPr>
        <w:numPr>
          <w:ilvl w:val="0"/>
          <w:numId w:val="5"/>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This is the rate of return on the down payment (the equity) on the asset, often denominated on a per annum basis. </w:t>
      </w:r>
    </w:p>
    <w:p w:rsidR="001126C4" w:rsidRPr="001126C4" w:rsidRDefault="001126C4" w:rsidP="001126C4">
      <w:pPr>
        <w:numPr>
          <w:ilvl w:val="0"/>
          <w:numId w:val="5"/>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If the return or profit is $10,000 for the year and the down payment or equity is $40,000 (i.e. cost of investment is $100,000) less loan ($60,000), the ROI or ROE is 25% (i.e. 10,000 divided by 40,000).</w:t>
      </w:r>
    </w:p>
    <w:p w:rsidR="001126C4" w:rsidRDefault="001126C4"/>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t>Gross Income Multiplier (GIM)</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This is a multiplier or number of times.  The GIM is calculated as follows: </w:t>
      </w:r>
    </w:p>
    <w:p w:rsidR="001126C4" w:rsidRPr="001126C4" w:rsidRDefault="001126C4" w:rsidP="001126C4">
      <w:pPr>
        <w:spacing w:after="0" w:line="240" w:lineRule="auto"/>
        <w:rPr>
          <w:rFonts w:ascii="Verdana" w:eastAsia="Times New Roman" w:hAnsi="Verdana" w:cs="Times New Roman"/>
          <w:color w:val="393939"/>
          <w:sz w:val="18"/>
          <w:szCs w:val="18"/>
        </w:rPr>
      </w:pPr>
    </w:p>
    <w:p w:rsidR="001126C4" w:rsidRPr="001126C4" w:rsidRDefault="001126C4" w:rsidP="001126C4">
      <w:pPr>
        <w:spacing w:after="0" w:line="240" w:lineRule="auto"/>
        <w:jc w:val="center"/>
        <w:rPr>
          <w:rFonts w:ascii="Verdana" w:eastAsia="Times New Roman" w:hAnsi="Verdana" w:cs="Times New Roman"/>
          <w:color w:val="393939"/>
          <w:sz w:val="18"/>
          <w:szCs w:val="18"/>
        </w:rPr>
      </w:pPr>
      <w:r w:rsidRPr="001126C4">
        <w:rPr>
          <w:rFonts w:ascii="Verdana" w:eastAsia="Times New Roman" w:hAnsi="Verdana" w:cs="Times New Roman"/>
          <w:noProof/>
          <w:color w:val="393939"/>
          <w:sz w:val="18"/>
          <w:szCs w:val="18"/>
        </w:rPr>
        <w:drawing>
          <wp:inline distT="0" distB="0" distL="0" distR="0" wp14:anchorId="4CF1210B" wp14:editId="598D6EE6">
            <wp:extent cx="1763395" cy="361950"/>
            <wp:effectExtent l="0" t="0" r="8255" b="0"/>
            <wp:docPr id="4" name="Picture 4" descr="g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3395" cy="361950"/>
                    </a:xfrm>
                    <a:prstGeom prst="rect">
                      <a:avLst/>
                    </a:prstGeom>
                    <a:noFill/>
                    <a:ln>
                      <a:noFill/>
                    </a:ln>
                  </pic:spPr>
                </pic:pic>
              </a:graphicData>
            </a:graphic>
          </wp:inline>
        </w:drawing>
      </w:r>
    </w:p>
    <w:p w:rsidR="001126C4" w:rsidRPr="001126C4" w:rsidRDefault="001126C4" w:rsidP="001126C4">
      <w:pPr>
        <w:numPr>
          <w:ilvl w:val="0"/>
          <w:numId w:val="6"/>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Value of property</w:t>
      </w:r>
      <w:r w:rsidRPr="001126C4">
        <w:rPr>
          <w:rFonts w:ascii="Verdana" w:eastAsia="Times New Roman" w:hAnsi="Verdana" w:cs="Times New Roman"/>
          <w:color w:val="393939"/>
          <w:sz w:val="18"/>
          <w:szCs w:val="18"/>
        </w:rPr>
        <w:t xml:space="preserve"> equals the Asking Price (if the property has not been sold) or Selling Price if property has been sold. </w:t>
      </w:r>
    </w:p>
    <w:p w:rsidR="001126C4" w:rsidRPr="001126C4" w:rsidRDefault="001126C4" w:rsidP="001126C4">
      <w:pPr>
        <w:numPr>
          <w:ilvl w:val="0"/>
          <w:numId w:val="6"/>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Effective Gross Income</w:t>
      </w:r>
      <w:r w:rsidRPr="001126C4">
        <w:rPr>
          <w:rFonts w:ascii="Verdana" w:eastAsia="Times New Roman" w:hAnsi="Verdana" w:cs="Times New Roman"/>
          <w:color w:val="393939"/>
          <w:sz w:val="18"/>
          <w:szCs w:val="18"/>
        </w:rPr>
        <w:t xml:space="preserve"> is the Potential Gross Income (100% occupancy) less vacancy and Credit Losses. </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 xml:space="preserve">Note: </w:t>
      </w:r>
      <w:r w:rsidRPr="001126C4">
        <w:rPr>
          <w:rFonts w:ascii="Verdana" w:eastAsia="Times New Roman" w:hAnsi="Verdana" w:cs="Times New Roman"/>
          <w:color w:val="393939"/>
          <w:sz w:val="18"/>
          <w:szCs w:val="18"/>
        </w:rPr>
        <w:br/>
        <w:t>Both Seller and Buyer knows the Effective Gross Income and Seller wants a high price (high GIM) and Buyer wants a low price (low GIM). Remember: buy low, sell high.</w:t>
      </w:r>
    </w:p>
    <w:p w:rsid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br/>
      </w:r>
    </w:p>
    <w:p w:rsidR="001126C4" w:rsidRDefault="001126C4" w:rsidP="001126C4">
      <w:pPr>
        <w:spacing w:before="75" w:after="75" w:line="240" w:lineRule="auto"/>
        <w:outlineLvl w:val="3"/>
        <w:rPr>
          <w:rFonts w:ascii="Verdana" w:eastAsia="Times New Roman" w:hAnsi="Verdana" w:cs="Times New Roman"/>
          <w:b/>
          <w:bCs/>
          <w:color w:val="000000"/>
          <w:sz w:val="20"/>
          <w:szCs w:val="20"/>
        </w:rPr>
      </w:pPr>
    </w:p>
    <w:p w:rsidR="001126C4" w:rsidRDefault="001126C4" w:rsidP="001126C4">
      <w:pPr>
        <w:spacing w:before="75" w:after="75" w:line="240" w:lineRule="auto"/>
        <w:outlineLvl w:val="3"/>
        <w:rPr>
          <w:rFonts w:ascii="Verdana" w:eastAsia="Times New Roman" w:hAnsi="Verdana" w:cs="Times New Roman"/>
          <w:b/>
          <w:bCs/>
          <w:color w:val="000000"/>
          <w:sz w:val="20"/>
          <w:szCs w:val="20"/>
        </w:rPr>
      </w:pP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lastRenderedPageBreak/>
        <w:t xml:space="preserve">Example 1: Finding the GIM </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274"/>
        <w:gridCol w:w="2592"/>
        <w:gridCol w:w="529"/>
        <w:gridCol w:w="933"/>
      </w:tblGrid>
      <w:tr w:rsidR="001126C4" w:rsidRPr="001126C4" w:rsidTr="001126C4">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Potential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500,000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 xml:space="preserve">Effective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460,000</w:t>
            </w:r>
          </w:p>
        </w:tc>
      </w:tr>
    </w:tbl>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  </w:t>
      </w:r>
    </w:p>
    <w:p w:rsidR="001126C4" w:rsidRPr="001126C4" w:rsidRDefault="001126C4" w:rsidP="001126C4">
      <w:pPr>
        <w:numPr>
          <w:ilvl w:val="0"/>
          <w:numId w:val="7"/>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Suppose the asking price is $2,000,000 and the effective gross income is calculated above, the GIM = 4.347826 times, rounded to 4.35 times. Suppose the property was sold at a 10% discount (i.e. 90% of 2000000 = 1800000), the GIM = 3.913043 times, rounded to 3.91 times.</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Note:</w:t>
      </w:r>
      <w:r w:rsidRPr="001126C4">
        <w:rPr>
          <w:rFonts w:ascii="Verdana" w:eastAsia="Times New Roman" w:hAnsi="Verdana" w:cs="Times New Roman"/>
          <w:color w:val="393939"/>
          <w:sz w:val="18"/>
          <w:szCs w:val="18"/>
        </w:rPr>
        <w:br/>
        <w:t>Buyer wants low GIM (3.91), Seller wants high GIM (4.35).</w:t>
      </w:r>
    </w:p>
    <w:p w:rsidR="001126C4" w:rsidRDefault="001126C4"/>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t>Net Operating Income Multiplier (NIM)</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This is a multiplier or number of times.  The NIM is calculated as follows: </w:t>
      </w:r>
    </w:p>
    <w:p w:rsidR="001126C4" w:rsidRPr="001126C4" w:rsidRDefault="001126C4" w:rsidP="001126C4">
      <w:pPr>
        <w:spacing w:after="0" w:line="240" w:lineRule="auto"/>
        <w:rPr>
          <w:rFonts w:ascii="Verdana" w:eastAsia="Times New Roman" w:hAnsi="Verdana" w:cs="Times New Roman"/>
          <w:color w:val="393939"/>
          <w:sz w:val="18"/>
          <w:szCs w:val="18"/>
        </w:rPr>
      </w:pPr>
    </w:p>
    <w:p w:rsidR="001126C4" w:rsidRPr="001126C4" w:rsidRDefault="001126C4" w:rsidP="001126C4">
      <w:pPr>
        <w:spacing w:after="0" w:line="240" w:lineRule="auto"/>
        <w:jc w:val="center"/>
        <w:rPr>
          <w:rFonts w:ascii="Verdana" w:eastAsia="Times New Roman" w:hAnsi="Verdana" w:cs="Times New Roman"/>
          <w:color w:val="393939"/>
          <w:sz w:val="18"/>
          <w:szCs w:val="18"/>
        </w:rPr>
      </w:pPr>
      <w:r w:rsidRPr="001126C4">
        <w:rPr>
          <w:rFonts w:ascii="Verdana" w:eastAsia="Times New Roman" w:hAnsi="Verdana" w:cs="Times New Roman"/>
          <w:noProof/>
          <w:color w:val="393939"/>
          <w:sz w:val="18"/>
          <w:szCs w:val="18"/>
        </w:rPr>
        <w:drawing>
          <wp:inline distT="0" distB="0" distL="0" distR="0" wp14:anchorId="06DECBD6" wp14:editId="2C3E7FCC">
            <wp:extent cx="1674495" cy="391795"/>
            <wp:effectExtent l="0" t="0" r="1905" b="8255"/>
            <wp:docPr id="5" name="Picture 5" descr="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i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4495" cy="391795"/>
                    </a:xfrm>
                    <a:prstGeom prst="rect">
                      <a:avLst/>
                    </a:prstGeom>
                    <a:noFill/>
                    <a:ln>
                      <a:noFill/>
                    </a:ln>
                  </pic:spPr>
                </pic:pic>
              </a:graphicData>
            </a:graphic>
          </wp:inline>
        </w:drawing>
      </w:r>
    </w:p>
    <w:p w:rsidR="001126C4" w:rsidRPr="001126C4" w:rsidRDefault="001126C4" w:rsidP="001126C4">
      <w:pPr>
        <w:numPr>
          <w:ilvl w:val="0"/>
          <w:numId w:val="8"/>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Value of property</w:t>
      </w:r>
      <w:r w:rsidRPr="001126C4">
        <w:rPr>
          <w:rFonts w:ascii="Verdana" w:eastAsia="Times New Roman" w:hAnsi="Verdana" w:cs="Times New Roman"/>
          <w:color w:val="393939"/>
          <w:sz w:val="18"/>
          <w:szCs w:val="18"/>
        </w:rPr>
        <w:t xml:space="preserve"> equals the Asking Price (if the property has not been sold) or Selling Price if the property has been sold. </w:t>
      </w:r>
    </w:p>
    <w:p w:rsidR="001126C4" w:rsidRPr="001126C4" w:rsidRDefault="001126C4" w:rsidP="001126C4">
      <w:pPr>
        <w:numPr>
          <w:ilvl w:val="0"/>
          <w:numId w:val="8"/>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Net Operating Income</w:t>
      </w:r>
      <w:r w:rsidRPr="001126C4">
        <w:rPr>
          <w:rFonts w:ascii="Verdana" w:eastAsia="Times New Roman" w:hAnsi="Verdana" w:cs="Times New Roman"/>
          <w:color w:val="393939"/>
          <w:sz w:val="18"/>
          <w:szCs w:val="18"/>
        </w:rPr>
        <w:t xml:space="preserve"> is the Effective Gross Income less Operating Expenses (without depreciation also called capital cost allowance).</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Note: Both Seller and Buyer know the Net Operating Income and Seller wants a high price (high NIM) and Buyer wants a low price (low NIM).</w:t>
      </w: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br/>
        <w:t>Example 2: Finding the NIM</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Given: </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274"/>
        <w:gridCol w:w="4419"/>
        <w:gridCol w:w="533"/>
        <w:gridCol w:w="933"/>
      </w:tblGrid>
      <w:tr w:rsidR="001126C4" w:rsidRPr="001126C4" w:rsidTr="001126C4">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Potential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500,000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 xml:space="preserve">Effective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460,000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Operating Costs (without Depreciation or CCA)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60,000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Net Operating Income</w:t>
            </w:r>
            <w:r w:rsidRPr="001126C4">
              <w:rPr>
                <w:rFonts w:ascii="Verdana" w:eastAsia="Times New Roman" w:hAnsi="Verdana" w:cs="Times New Roman"/>
                <w:color w:val="393939"/>
                <w:sz w:val="18"/>
                <w:szCs w:val="18"/>
              </w:rPr>
              <w:t xml:space="preserv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400,000</w:t>
            </w:r>
          </w:p>
        </w:tc>
      </w:tr>
    </w:tbl>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Default="001126C4" w:rsidP="001126C4">
      <w:pPr>
        <w:numPr>
          <w:ilvl w:val="0"/>
          <w:numId w:val="9"/>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Suppose the asking price is $2,000,000 and the net operating income is calculated above, the NIM = 5.00 times. Suppose the property was sold at a 10% discount (i.e. 90% of 2000000 = 1800000), the NIM = 4.50 times.</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Note: Buyer wants low NIM (4.50), Seller wants high NIM (5.00).</w:t>
      </w: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lastRenderedPageBreak/>
        <w:t xml:space="preserve">Overall Capitalization Rate (OCR) </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This is a rate of return and not a multiplier, as the name suggests. It is calculated as follows:</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Pr="001126C4" w:rsidRDefault="001126C4" w:rsidP="001126C4">
      <w:pPr>
        <w:spacing w:after="0" w:line="240" w:lineRule="auto"/>
        <w:jc w:val="center"/>
        <w:rPr>
          <w:rFonts w:ascii="Verdana" w:eastAsia="Times New Roman" w:hAnsi="Verdana" w:cs="Times New Roman"/>
          <w:color w:val="393939"/>
          <w:sz w:val="18"/>
          <w:szCs w:val="18"/>
        </w:rPr>
      </w:pPr>
      <w:r w:rsidRPr="001126C4">
        <w:rPr>
          <w:rFonts w:ascii="Verdana" w:eastAsia="Times New Roman" w:hAnsi="Verdana" w:cs="Times New Roman"/>
          <w:noProof/>
          <w:color w:val="393939"/>
          <w:sz w:val="18"/>
          <w:szCs w:val="18"/>
        </w:rPr>
        <w:drawing>
          <wp:inline distT="0" distB="0" distL="0" distR="0" wp14:anchorId="2892426E" wp14:editId="0E0B45C3">
            <wp:extent cx="1798955" cy="391795"/>
            <wp:effectExtent l="0" t="0" r="0" b="8255"/>
            <wp:docPr id="6" name="Picture 6" descr="o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8955" cy="391795"/>
                    </a:xfrm>
                    <a:prstGeom prst="rect">
                      <a:avLst/>
                    </a:prstGeom>
                    <a:noFill/>
                    <a:ln>
                      <a:noFill/>
                    </a:ln>
                  </pic:spPr>
                </pic:pic>
              </a:graphicData>
            </a:graphic>
          </wp:inline>
        </w:drawing>
      </w:r>
    </w:p>
    <w:p w:rsidR="001126C4" w:rsidRPr="001126C4" w:rsidRDefault="001126C4" w:rsidP="001126C4">
      <w:pPr>
        <w:numPr>
          <w:ilvl w:val="0"/>
          <w:numId w:val="10"/>
        </w:numPr>
        <w:spacing w:before="120" w:after="24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Value of property</w:t>
      </w:r>
      <w:r w:rsidRPr="001126C4">
        <w:rPr>
          <w:rFonts w:ascii="Verdana" w:eastAsia="Times New Roman" w:hAnsi="Verdana" w:cs="Times New Roman"/>
          <w:color w:val="393939"/>
          <w:sz w:val="18"/>
          <w:szCs w:val="18"/>
        </w:rPr>
        <w:t xml:space="preserve"> equals the Asking Price (if the property has not been sold) or Selling Price if the property has been sold. </w:t>
      </w:r>
    </w:p>
    <w:p w:rsidR="001126C4" w:rsidRPr="001126C4" w:rsidRDefault="001126C4" w:rsidP="001126C4">
      <w:pPr>
        <w:numPr>
          <w:ilvl w:val="0"/>
          <w:numId w:val="10"/>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Net Operating Income</w:t>
      </w:r>
      <w:r w:rsidRPr="001126C4">
        <w:rPr>
          <w:rFonts w:ascii="Verdana" w:eastAsia="Times New Roman" w:hAnsi="Verdana" w:cs="Times New Roman"/>
          <w:color w:val="393939"/>
          <w:sz w:val="18"/>
          <w:szCs w:val="18"/>
        </w:rPr>
        <w:t xml:space="preserve"> is the Effective Gross Income less Operating Expenses (without depreciation, also called capital cost allowance). </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 xml:space="preserve">Note: </w:t>
      </w:r>
      <w:r w:rsidRPr="001126C4">
        <w:rPr>
          <w:rFonts w:ascii="Verdana" w:eastAsia="Times New Roman" w:hAnsi="Verdana" w:cs="Times New Roman"/>
          <w:color w:val="393939"/>
          <w:sz w:val="18"/>
          <w:szCs w:val="18"/>
        </w:rPr>
        <w:br/>
        <w:t>Both Seller and Buyer know the Net Operating Income and the Seller wants a high price (low OCR) and the Buyer wants a low price (high OCR). Note that this is the opposite of what was said about NIM.</w:t>
      </w:r>
    </w:p>
    <w:p w:rsidR="001126C4" w:rsidRPr="001126C4" w:rsidRDefault="001126C4" w:rsidP="001126C4">
      <w:pPr>
        <w:spacing w:before="75" w:after="75" w:line="240" w:lineRule="auto"/>
        <w:outlineLvl w:val="3"/>
        <w:rPr>
          <w:rFonts w:ascii="Verdana" w:eastAsia="Times New Roman" w:hAnsi="Verdana" w:cs="Times New Roman"/>
          <w:b/>
          <w:bCs/>
          <w:color w:val="000000"/>
          <w:sz w:val="20"/>
          <w:szCs w:val="20"/>
        </w:rPr>
      </w:pPr>
      <w:r w:rsidRPr="001126C4">
        <w:rPr>
          <w:rFonts w:ascii="Verdana" w:eastAsia="Times New Roman" w:hAnsi="Verdana" w:cs="Times New Roman"/>
          <w:b/>
          <w:bCs/>
          <w:color w:val="000000"/>
          <w:sz w:val="20"/>
          <w:szCs w:val="20"/>
        </w:rPr>
        <w:br/>
        <w:t>Example 3: Finding the OCR</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Given:</w:t>
      </w:r>
    </w:p>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tbl>
      <w:tblPr>
        <w:tblW w:w="0" w:type="auto"/>
        <w:jc w:val="center"/>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1274"/>
        <w:gridCol w:w="4419"/>
        <w:gridCol w:w="533"/>
        <w:gridCol w:w="933"/>
      </w:tblGrid>
      <w:tr w:rsidR="001126C4" w:rsidRPr="001126C4" w:rsidTr="001126C4">
        <w:trPr>
          <w:jc w:val="center"/>
        </w:trPr>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Operation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Calculation</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rsidR="001126C4" w:rsidRPr="001126C4" w:rsidRDefault="001126C4" w:rsidP="001126C4">
            <w:pPr>
              <w:spacing w:after="0" w:line="240" w:lineRule="auto"/>
              <w:jc w:val="center"/>
              <w:rPr>
                <w:rFonts w:ascii="Verdana" w:eastAsia="Times New Roman" w:hAnsi="Verdana" w:cs="Times New Roman"/>
                <w:b/>
                <w:bCs/>
                <w:color w:val="9E9E9E"/>
                <w:sz w:val="18"/>
                <w:szCs w:val="18"/>
              </w:rPr>
            </w:pPr>
            <w:r w:rsidRPr="001126C4">
              <w:rPr>
                <w:rFonts w:ascii="Verdana" w:eastAsia="Times New Roman" w:hAnsi="Verdana" w:cs="Times New Roman"/>
                <w:b/>
                <w:bCs/>
                <w:color w:val="9E9E9E"/>
                <w:sz w:val="18"/>
                <w:szCs w:val="18"/>
              </w:rPr>
              <w:t> </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Potential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PGI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500,000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Vacancy and Credit Losses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VCL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 xml:space="preserve">Effective Gross Income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EGI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460,000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Less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xml:space="preserve">Operating Costs (without Depreciation or CCA)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OE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60,000</w:t>
            </w:r>
          </w:p>
        </w:tc>
      </w:tr>
      <w:tr w:rsidR="001126C4" w:rsidRPr="001126C4" w:rsidTr="001126C4">
        <w:trPr>
          <w:jc w:val="center"/>
        </w:trPr>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Equal</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b/>
                <w:bCs/>
                <w:color w:val="393939"/>
                <w:sz w:val="18"/>
                <w:szCs w:val="18"/>
              </w:rPr>
              <w:t>Net Operating Income</w:t>
            </w:r>
            <w:r w:rsidRPr="001126C4">
              <w:rPr>
                <w:rFonts w:ascii="Verdana" w:eastAsia="Times New Roman" w:hAnsi="Verdana" w:cs="Times New Roman"/>
                <w:color w:val="393939"/>
                <w:sz w:val="18"/>
                <w:szCs w:val="18"/>
              </w:rPr>
              <w:t xml:space="preserve"> </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NOI</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vAlign w:val="center"/>
            <w:hideMark/>
          </w:tcPr>
          <w:p w:rsidR="001126C4" w:rsidRPr="001126C4" w:rsidRDefault="001126C4" w:rsidP="001126C4">
            <w:pPr>
              <w:spacing w:after="0" w:line="240"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400,000</w:t>
            </w:r>
          </w:p>
        </w:tc>
      </w:tr>
    </w:tbl>
    <w:p w:rsidR="001126C4" w:rsidRPr="001126C4" w:rsidRDefault="001126C4" w:rsidP="001126C4">
      <w:pPr>
        <w:spacing w:before="75" w:after="75" w:line="288" w:lineRule="auto"/>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 </w:t>
      </w:r>
    </w:p>
    <w:p w:rsidR="001126C4" w:rsidRPr="001126C4" w:rsidRDefault="001126C4" w:rsidP="001126C4">
      <w:pPr>
        <w:numPr>
          <w:ilvl w:val="0"/>
          <w:numId w:val="11"/>
        </w:numPr>
        <w:spacing w:before="120" w:after="0" w:line="240" w:lineRule="auto"/>
        <w:ind w:left="300"/>
        <w:rPr>
          <w:rFonts w:ascii="Verdana" w:eastAsia="Times New Roman" w:hAnsi="Verdana" w:cs="Times New Roman"/>
          <w:color w:val="393939"/>
          <w:sz w:val="18"/>
          <w:szCs w:val="18"/>
        </w:rPr>
      </w:pPr>
      <w:r w:rsidRPr="001126C4">
        <w:rPr>
          <w:rFonts w:ascii="Verdana" w:eastAsia="Times New Roman" w:hAnsi="Verdana" w:cs="Times New Roman"/>
          <w:color w:val="393939"/>
          <w:sz w:val="18"/>
          <w:szCs w:val="18"/>
        </w:rPr>
        <w:t>Suppose the asking price is $2,000,000 and the net operating income is calculated above, the OCR = 20%. Suppose the property was sold at a 10% discount (i.e. 90% of 2000000 = 1800000), the OCR = 22.22%.</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 xml:space="preserve">Note: </w:t>
      </w:r>
      <w:r w:rsidRPr="001126C4">
        <w:rPr>
          <w:rFonts w:ascii="Verdana" w:eastAsia="Times New Roman" w:hAnsi="Verdana" w:cs="Times New Roman"/>
          <w:color w:val="393939"/>
          <w:sz w:val="18"/>
          <w:szCs w:val="18"/>
        </w:rPr>
        <w:br/>
        <w:t>Buyer wants low price and Seller wants high price; this happens when buyer gets high OCR (22.22%) and Seller gets low OCR (20%).</w:t>
      </w:r>
      <w:r w:rsidRPr="001126C4">
        <w:rPr>
          <w:rFonts w:ascii="Verdana" w:eastAsia="Times New Roman" w:hAnsi="Verdana" w:cs="Times New Roman"/>
          <w:color w:val="393939"/>
          <w:sz w:val="18"/>
          <w:szCs w:val="18"/>
        </w:rPr>
        <w:br/>
      </w:r>
      <w:r w:rsidRPr="001126C4">
        <w:rPr>
          <w:rFonts w:ascii="Verdana" w:eastAsia="Times New Roman" w:hAnsi="Verdana" w:cs="Times New Roman"/>
          <w:color w:val="393939"/>
          <w:sz w:val="18"/>
          <w:szCs w:val="18"/>
        </w:rPr>
        <w:br/>
        <w:t>Note:</w:t>
      </w:r>
      <w:r w:rsidRPr="001126C4">
        <w:rPr>
          <w:rFonts w:ascii="Verdana" w:eastAsia="Times New Roman" w:hAnsi="Verdana" w:cs="Times New Roman"/>
          <w:color w:val="393939"/>
          <w:sz w:val="18"/>
          <w:szCs w:val="18"/>
        </w:rPr>
        <w:br/>
      </w:r>
      <w:r w:rsidRPr="001126C4">
        <w:rPr>
          <w:rFonts w:ascii="Verdana" w:eastAsia="Times New Roman" w:hAnsi="Verdana" w:cs="Times New Roman"/>
          <w:noProof/>
          <w:color w:val="393939"/>
          <w:sz w:val="18"/>
          <w:szCs w:val="18"/>
        </w:rPr>
        <w:drawing>
          <wp:inline distT="0" distB="0" distL="0" distR="0" wp14:anchorId="4FD12648" wp14:editId="25B6681B">
            <wp:extent cx="801370" cy="361950"/>
            <wp:effectExtent l="0" t="0" r="0" b="0"/>
            <wp:docPr id="7" name="Picture 7" descr="ocr_n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cr_ni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1370" cy="361950"/>
                    </a:xfrm>
                    <a:prstGeom prst="rect">
                      <a:avLst/>
                    </a:prstGeom>
                    <a:noFill/>
                    <a:ln>
                      <a:noFill/>
                    </a:ln>
                  </pic:spPr>
                </pic:pic>
              </a:graphicData>
            </a:graphic>
          </wp:inline>
        </w:drawing>
      </w:r>
    </w:p>
    <w:p w:rsidR="001126C4" w:rsidRPr="001126C4" w:rsidRDefault="001126C4" w:rsidP="001126C4">
      <w:pPr>
        <w:spacing w:before="120" w:after="0" w:line="240" w:lineRule="auto"/>
        <w:rPr>
          <w:rFonts w:ascii="Verdana" w:eastAsia="Times New Roman" w:hAnsi="Verdana" w:cs="Times New Roman"/>
          <w:color w:val="393939"/>
          <w:sz w:val="18"/>
          <w:szCs w:val="18"/>
        </w:rPr>
      </w:pPr>
      <w:bookmarkStart w:id="0" w:name="_GoBack"/>
      <w:bookmarkEnd w:id="0"/>
    </w:p>
    <w:p w:rsidR="001126C4" w:rsidRDefault="001126C4"/>
    <w:sectPr w:rsidR="001126C4" w:rsidSect="001126C4">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3F77"/>
    <w:multiLevelType w:val="hybridMultilevel"/>
    <w:tmpl w:val="A38E0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3002D5"/>
    <w:multiLevelType w:val="multilevel"/>
    <w:tmpl w:val="92868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050EC2"/>
    <w:multiLevelType w:val="multilevel"/>
    <w:tmpl w:val="91247F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4309A3"/>
    <w:multiLevelType w:val="multilevel"/>
    <w:tmpl w:val="BC161B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B65927"/>
    <w:multiLevelType w:val="multilevel"/>
    <w:tmpl w:val="0B58AA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2C3F66"/>
    <w:multiLevelType w:val="multilevel"/>
    <w:tmpl w:val="E7924B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316F63"/>
    <w:multiLevelType w:val="multilevel"/>
    <w:tmpl w:val="0756C4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11D6849"/>
    <w:multiLevelType w:val="multilevel"/>
    <w:tmpl w:val="170C84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1D309B"/>
    <w:multiLevelType w:val="multilevel"/>
    <w:tmpl w:val="BB30BC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1AB0A15"/>
    <w:multiLevelType w:val="multilevel"/>
    <w:tmpl w:val="FC8C3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EF5117"/>
    <w:multiLevelType w:val="multilevel"/>
    <w:tmpl w:val="2FD2DA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7"/>
  </w:num>
  <w:num w:numId="4">
    <w:abstractNumId w:val="9"/>
  </w:num>
  <w:num w:numId="5">
    <w:abstractNumId w:val="5"/>
  </w:num>
  <w:num w:numId="6">
    <w:abstractNumId w:val="4"/>
  </w:num>
  <w:num w:numId="7">
    <w:abstractNumId w:val="6"/>
  </w:num>
  <w:num w:numId="8">
    <w:abstractNumId w:val="2"/>
  </w:num>
  <w:num w:numId="9">
    <w:abstractNumId w:val="3"/>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oNotDisplayPageBoundarie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6C4"/>
    <w:rsid w:val="001126C4"/>
    <w:rsid w:val="006A016E"/>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6C4"/>
    <w:rPr>
      <w:rFonts w:ascii="Tahoma" w:hAnsi="Tahoma" w:cs="Tahoma"/>
      <w:sz w:val="16"/>
      <w:szCs w:val="16"/>
    </w:rPr>
  </w:style>
  <w:style w:type="paragraph" w:styleId="ListParagraph">
    <w:name w:val="List Paragraph"/>
    <w:basedOn w:val="Normal"/>
    <w:uiPriority w:val="34"/>
    <w:qFormat/>
    <w:rsid w:val="001126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26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6C4"/>
    <w:rPr>
      <w:rFonts w:ascii="Tahoma" w:hAnsi="Tahoma" w:cs="Tahoma"/>
      <w:sz w:val="16"/>
      <w:szCs w:val="16"/>
    </w:rPr>
  </w:style>
  <w:style w:type="paragraph" w:styleId="ListParagraph">
    <w:name w:val="List Paragraph"/>
    <w:basedOn w:val="Normal"/>
    <w:uiPriority w:val="34"/>
    <w:qFormat/>
    <w:rsid w:val="001126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17804">
      <w:bodyDiv w:val="1"/>
      <w:marLeft w:val="0"/>
      <w:marRight w:val="0"/>
      <w:marTop w:val="0"/>
      <w:marBottom w:val="0"/>
      <w:divBdr>
        <w:top w:val="none" w:sz="0" w:space="0" w:color="auto"/>
        <w:left w:val="none" w:sz="0" w:space="0" w:color="auto"/>
        <w:bottom w:val="none" w:sz="0" w:space="0" w:color="auto"/>
        <w:right w:val="none" w:sz="0" w:space="0" w:color="auto"/>
      </w:divBdr>
      <w:divsChild>
        <w:div w:id="1911574113">
          <w:marLeft w:val="0"/>
          <w:marRight w:val="0"/>
          <w:marTop w:val="0"/>
          <w:marBottom w:val="0"/>
          <w:divBdr>
            <w:top w:val="none" w:sz="0" w:space="0" w:color="auto"/>
            <w:left w:val="none" w:sz="0" w:space="0" w:color="auto"/>
            <w:bottom w:val="none" w:sz="0" w:space="0" w:color="auto"/>
            <w:right w:val="none" w:sz="0" w:space="0" w:color="auto"/>
          </w:divBdr>
          <w:divsChild>
            <w:div w:id="960190656">
              <w:marLeft w:val="0"/>
              <w:marRight w:val="0"/>
              <w:marTop w:val="0"/>
              <w:marBottom w:val="0"/>
              <w:divBdr>
                <w:top w:val="none" w:sz="0" w:space="0" w:color="auto"/>
                <w:left w:val="none" w:sz="0" w:space="0" w:color="auto"/>
                <w:bottom w:val="none" w:sz="0" w:space="0" w:color="auto"/>
                <w:right w:val="none" w:sz="0" w:space="0" w:color="auto"/>
              </w:divBdr>
              <w:divsChild>
                <w:div w:id="566644473">
                  <w:marLeft w:val="0"/>
                  <w:marRight w:val="0"/>
                  <w:marTop w:val="0"/>
                  <w:marBottom w:val="0"/>
                  <w:divBdr>
                    <w:top w:val="none" w:sz="0" w:space="0" w:color="auto"/>
                    <w:left w:val="none" w:sz="0" w:space="0" w:color="auto"/>
                    <w:bottom w:val="none" w:sz="0" w:space="0" w:color="auto"/>
                    <w:right w:val="none" w:sz="0" w:space="0" w:color="auto"/>
                  </w:divBdr>
                  <w:divsChild>
                    <w:div w:id="1894153883">
                      <w:marLeft w:val="0"/>
                      <w:marRight w:val="0"/>
                      <w:marTop w:val="0"/>
                      <w:marBottom w:val="0"/>
                      <w:divBdr>
                        <w:top w:val="none" w:sz="0" w:space="0" w:color="auto"/>
                        <w:left w:val="none" w:sz="0" w:space="0" w:color="auto"/>
                        <w:bottom w:val="none" w:sz="0" w:space="0" w:color="auto"/>
                        <w:right w:val="none" w:sz="0" w:space="0" w:color="auto"/>
                      </w:divBdr>
                      <w:divsChild>
                        <w:div w:id="1587575983">
                          <w:marLeft w:val="0"/>
                          <w:marRight w:val="0"/>
                          <w:marTop w:val="0"/>
                          <w:marBottom w:val="0"/>
                          <w:divBdr>
                            <w:top w:val="none" w:sz="0" w:space="0" w:color="auto"/>
                            <w:left w:val="none" w:sz="0" w:space="0" w:color="auto"/>
                            <w:bottom w:val="none" w:sz="0" w:space="0" w:color="auto"/>
                            <w:right w:val="none" w:sz="0" w:space="0" w:color="auto"/>
                          </w:divBdr>
                          <w:divsChild>
                            <w:div w:id="10322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183873">
      <w:bodyDiv w:val="1"/>
      <w:marLeft w:val="0"/>
      <w:marRight w:val="0"/>
      <w:marTop w:val="0"/>
      <w:marBottom w:val="0"/>
      <w:divBdr>
        <w:top w:val="none" w:sz="0" w:space="0" w:color="auto"/>
        <w:left w:val="none" w:sz="0" w:space="0" w:color="auto"/>
        <w:bottom w:val="none" w:sz="0" w:space="0" w:color="auto"/>
        <w:right w:val="none" w:sz="0" w:space="0" w:color="auto"/>
      </w:divBdr>
      <w:divsChild>
        <w:div w:id="597295117">
          <w:marLeft w:val="0"/>
          <w:marRight w:val="0"/>
          <w:marTop w:val="0"/>
          <w:marBottom w:val="0"/>
          <w:divBdr>
            <w:top w:val="none" w:sz="0" w:space="0" w:color="auto"/>
            <w:left w:val="none" w:sz="0" w:space="0" w:color="auto"/>
            <w:bottom w:val="none" w:sz="0" w:space="0" w:color="auto"/>
            <w:right w:val="none" w:sz="0" w:space="0" w:color="auto"/>
          </w:divBdr>
          <w:divsChild>
            <w:div w:id="62874158">
              <w:marLeft w:val="0"/>
              <w:marRight w:val="0"/>
              <w:marTop w:val="0"/>
              <w:marBottom w:val="0"/>
              <w:divBdr>
                <w:top w:val="none" w:sz="0" w:space="0" w:color="auto"/>
                <w:left w:val="none" w:sz="0" w:space="0" w:color="auto"/>
                <w:bottom w:val="none" w:sz="0" w:space="0" w:color="auto"/>
                <w:right w:val="none" w:sz="0" w:space="0" w:color="auto"/>
              </w:divBdr>
              <w:divsChild>
                <w:div w:id="1041126953">
                  <w:marLeft w:val="0"/>
                  <w:marRight w:val="0"/>
                  <w:marTop w:val="0"/>
                  <w:marBottom w:val="0"/>
                  <w:divBdr>
                    <w:top w:val="none" w:sz="0" w:space="0" w:color="auto"/>
                    <w:left w:val="none" w:sz="0" w:space="0" w:color="auto"/>
                    <w:bottom w:val="none" w:sz="0" w:space="0" w:color="auto"/>
                    <w:right w:val="none" w:sz="0" w:space="0" w:color="auto"/>
                  </w:divBdr>
                  <w:divsChild>
                    <w:div w:id="1973708121">
                      <w:marLeft w:val="0"/>
                      <w:marRight w:val="0"/>
                      <w:marTop w:val="0"/>
                      <w:marBottom w:val="0"/>
                      <w:divBdr>
                        <w:top w:val="none" w:sz="0" w:space="0" w:color="auto"/>
                        <w:left w:val="none" w:sz="0" w:space="0" w:color="auto"/>
                        <w:bottom w:val="none" w:sz="0" w:space="0" w:color="auto"/>
                        <w:right w:val="none" w:sz="0" w:space="0" w:color="auto"/>
                      </w:divBdr>
                      <w:divsChild>
                        <w:div w:id="576746460">
                          <w:marLeft w:val="0"/>
                          <w:marRight w:val="0"/>
                          <w:marTop w:val="0"/>
                          <w:marBottom w:val="0"/>
                          <w:divBdr>
                            <w:top w:val="none" w:sz="0" w:space="0" w:color="auto"/>
                            <w:left w:val="none" w:sz="0" w:space="0" w:color="auto"/>
                            <w:bottom w:val="none" w:sz="0" w:space="0" w:color="auto"/>
                            <w:right w:val="none" w:sz="0" w:space="0" w:color="auto"/>
                          </w:divBdr>
                          <w:divsChild>
                            <w:div w:id="4962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7557583">
      <w:bodyDiv w:val="1"/>
      <w:marLeft w:val="0"/>
      <w:marRight w:val="0"/>
      <w:marTop w:val="0"/>
      <w:marBottom w:val="0"/>
      <w:divBdr>
        <w:top w:val="none" w:sz="0" w:space="0" w:color="auto"/>
        <w:left w:val="none" w:sz="0" w:space="0" w:color="auto"/>
        <w:bottom w:val="none" w:sz="0" w:space="0" w:color="auto"/>
        <w:right w:val="none" w:sz="0" w:space="0" w:color="auto"/>
      </w:divBdr>
      <w:divsChild>
        <w:div w:id="1538197265">
          <w:marLeft w:val="0"/>
          <w:marRight w:val="0"/>
          <w:marTop w:val="0"/>
          <w:marBottom w:val="0"/>
          <w:divBdr>
            <w:top w:val="none" w:sz="0" w:space="0" w:color="auto"/>
            <w:left w:val="none" w:sz="0" w:space="0" w:color="auto"/>
            <w:bottom w:val="none" w:sz="0" w:space="0" w:color="auto"/>
            <w:right w:val="none" w:sz="0" w:space="0" w:color="auto"/>
          </w:divBdr>
          <w:divsChild>
            <w:div w:id="559249125">
              <w:marLeft w:val="0"/>
              <w:marRight w:val="0"/>
              <w:marTop w:val="0"/>
              <w:marBottom w:val="0"/>
              <w:divBdr>
                <w:top w:val="none" w:sz="0" w:space="0" w:color="auto"/>
                <w:left w:val="none" w:sz="0" w:space="0" w:color="auto"/>
                <w:bottom w:val="none" w:sz="0" w:space="0" w:color="auto"/>
                <w:right w:val="none" w:sz="0" w:space="0" w:color="auto"/>
              </w:divBdr>
              <w:divsChild>
                <w:div w:id="1949971387">
                  <w:marLeft w:val="0"/>
                  <w:marRight w:val="0"/>
                  <w:marTop w:val="0"/>
                  <w:marBottom w:val="0"/>
                  <w:divBdr>
                    <w:top w:val="none" w:sz="0" w:space="0" w:color="auto"/>
                    <w:left w:val="none" w:sz="0" w:space="0" w:color="auto"/>
                    <w:bottom w:val="none" w:sz="0" w:space="0" w:color="auto"/>
                    <w:right w:val="none" w:sz="0" w:space="0" w:color="auto"/>
                  </w:divBdr>
                  <w:divsChild>
                    <w:div w:id="1621106857">
                      <w:marLeft w:val="0"/>
                      <w:marRight w:val="0"/>
                      <w:marTop w:val="0"/>
                      <w:marBottom w:val="0"/>
                      <w:divBdr>
                        <w:top w:val="none" w:sz="0" w:space="0" w:color="auto"/>
                        <w:left w:val="none" w:sz="0" w:space="0" w:color="auto"/>
                        <w:bottom w:val="none" w:sz="0" w:space="0" w:color="auto"/>
                        <w:right w:val="none" w:sz="0" w:space="0" w:color="auto"/>
                      </w:divBdr>
                      <w:divsChild>
                        <w:div w:id="693581200">
                          <w:marLeft w:val="0"/>
                          <w:marRight w:val="0"/>
                          <w:marTop w:val="0"/>
                          <w:marBottom w:val="0"/>
                          <w:divBdr>
                            <w:top w:val="none" w:sz="0" w:space="0" w:color="auto"/>
                            <w:left w:val="none" w:sz="0" w:space="0" w:color="auto"/>
                            <w:bottom w:val="none" w:sz="0" w:space="0" w:color="auto"/>
                            <w:right w:val="none" w:sz="0" w:space="0" w:color="auto"/>
                          </w:divBdr>
                          <w:divsChild>
                            <w:div w:id="1000888227">
                              <w:marLeft w:val="0"/>
                              <w:marRight w:val="0"/>
                              <w:marTop w:val="0"/>
                              <w:marBottom w:val="0"/>
                              <w:divBdr>
                                <w:top w:val="none" w:sz="0" w:space="0" w:color="auto"/>
                                <w:left w:val="none" w:sz="0" w:space="0" w:color="auto"/>
                                <w:bottom w:val="none" w:sz="0" w:space="0" w:color="auto"/>
                                <w:right w:val="none" w:sz="0" w:space="0" w:color="auto"/>
                              </w:divBdr>
                              <w:divsChild>
                                <w:div w:id="1656493010">
                                  <w:marLeft w:val="0"/>
                                  <w:marRight w:val="0"/>
                                  <w:marTop w:val="0"/>
                                  <w:marBottom w:val="0"/>
                                  <w:divBdr>
                                    <w:top w:val="none" w:sz="0" w:space="0" w:color="auto"/>
                                    <w:left w:val="none" w:sz="0" w:space="0" w:color="auto"/>
                                    <w:bottom w:val="none" w:sz="0" w:space="0" w:color="auto"/>
                                    <w:right w:val="none" w:sz="0" w:space="0" w:color="auto"/>
                                  </w:divBdr>
                                </w:div>
                                <w:div w:id="1808738871">
                                  <w:marLeft w:val="0"/>
                                  <w:marRight w:val="0"/>
                                  <w:marTop w:val="0"/>
                                  <w:marBottom w:val="0"/>
                                  <w:divBdr>
                                    <w:top w:val="single" w:sz="6" w:space="9" w:color="E9E3AE"/>
                                    <w:left w:val="single" w:sz="6" w:space="9" w:color="E9E3AE"/>
                                    <w:bottom w:val="single" w:sz="6" w:space="9" w:color="E9E3AE"/>
                                    <w:right w:val="single" w:sz="6" w:space="9" w:color="E9E3AE"/>
                                  </w:divBdr>
                                  <w:divsChild>
                                    <w:div w:id="952249810">
                                      <w:marLeft w:val="0"/>
                                      <w:marRight w:val="0"/>
                                      <w:marTop w:val="0"/>
                                      <w:marBottom w:val="0"/>
                                      <w:divBdr>
                                        <w:top w:val="none" w:sz="0" w:space="0" w:color="auto"/>
                                        <w:left w:val="none" w:sz="0" w:space="0" w:color="auto"/>
                                        <w:bottom w:val="none" w:sz="0" w:space="0" w:color="auto"/>
                                        <w:right w:val="none" w:sz="0" w:space="0" w:color="auto"/>
                                      </w:divBdr>
                                      <w:divsChild>
                                        <w:div w:id="2119442863">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0591290">
      <w:bodyDiv w:val="1"/>
      <w:marLeft w:val="0"/>
      <w:marRight w:val="0"/>
      <w:marTop w:val="0"/>
      <w:marBottom w:val="0"/>
      <w:divBdr>
        <w:top w:val="none" w:sz="0" w:space="0" w:color="auto"/>
        <w:left w:val="none" w:sz="0" w:space="0" w:color="auto"/>
        <w:bottom w:val="none" w:sz="0" w:space="0" w:color="auto"/>
        <w:right w:val="none" w:sz="0" w:space="0" w:color="auto"/>
      </w:divBdr>
      <w:divsChild>
        <w:div w:id="1071388584">
          <w:marLeft w:val="0"/>
          <w:marRight w:val="0"/>
          <w:marTop w:val="0"/>
          <w:marBottom w:val="0"/>
          <w:divBdr>
            <w:top w:val="none" w:sz="0" w:space="0" w:color="auto"/>
            <w:left w:val="none" w:sz="0" w:space="0" w:color="auto"/>
            <w:bottom w:val="none" w:sz="0" w:space="0" w:color="auto"/>
            <w:right w:val="none" w:sz="0" w:space="0" w:color="auto"/>
          </w:divBdr>
          <w:divsChild>
            <w:div w:id="1068726212">
              <w:marLeft w:val="0"/>
              <w:marRight w:val="0"/>
              <w:marTop w:val="0"/>
              <w:marBottom w:val="0"/>
              <w:divBdr>
                <w:top w:val="none" w:sz="0" w:space="0" w:color="auto"/>
                <w:left w:val="none" w:sz="0" w:space="0" w:color="auto"/>
                <w:bottom w:val="none" w:sz="0" w:space="0" w:color="auto"/>
                <w:right w:val="none" w:sz="0" w:space="0" w:color="auto"/>
              </w:divBdr>
              <w:divsChild>
                <w:div w:id="415059798">
                  <w:marLeft w:val="0"/>
                  <w:marRight w:val="0"/>
                  <w:marTop w:val="0"/>
                  <w:marBottom w:val="0"/>
                  <w:divBdr>
                    <w:top w:val="none" w:sz="0" w:space="0" w:color="auto"/>
                    <w:left w:val="none" w:sz="0" w:space="0" w:color="auto"/>
                    <w:bottom w:val="none" w:sz="0" w:space="0" w:color="auto"/>
                    <w:right w:val="none" w:sz="0" w:space="0" w:color="auto"/>
                  </w:divBdr>
                  <w:divsChild>
                    <w:div w:id="1511531973">
                      <w:marLeft w:val="0"/>
                      <w:marRight w:val="0"/>
                      <w:marTop w:val="0"/>
                      <w:marBottom w:val="0"/>
                      <w:divBdr>
                        <w:top w:val="none" w:sz="0" w:space="0" w:color="auto"/>
                        <w:left w:val="none" w:sz="0" w:space="0" w:color="auto"/>
                        <w:bottom w:val="none" w:sz="0" w:space="0" w:color="auto"/>
                        <w:right w:val="none" w:sz="0" w:space="0" w:color="auto"/>
                      </w:divBdr>
                      <w:divsChild>
                        <w:div w:id="1292856647">
                          <w:marLeft w:val="0"/>
                          <w:marRight w:val="0"/>
                          <w:marTop w:val="0"/>
                          <w:marBottom w:val="0"/>
                          <w:divBdr>
                            <w:top w:val="none" w:sz="0" w:space="0" w:color="auto"/>
                            <w:left w:val="none" w:sz="0" w:space="0" w:color="auto"/>
                            <w:bottom w:val="none" w:sz="0" w:space="0" w:color="auto"/>
                            <w:right w:val="none" w:sz="0" w:space="0" w:color="auto"/>
                          </w:divBdr>
                          <w:divsChild>
                            <w:div w:id="712463107">
                              <w:marLeft w:val="0"/>
                              <w:marRight w:val="0"/>
                              <w:marTop w:val="0"/>
                              <w:marBottom w:val="0"/>
                              <w:divBdr>
                                <w:top w:val="none" w:sz="0" w:space="0" w:color="auto"/>
                                <w:left w:val="none" w:sz="0" w:space="0" w:color="auto"/>
                                <w:bottom w:val="none" w:sz="0" w:space="0" w:color="auto"/>
                                <w:right w:val="none" w:sz="0" w:space="0" w:color="auto"/>
                              </w:divBdr>
                              <w:divsChild>
                                <w:div w:id="2036227828">
                                  <w:marLeft w:val="0"/>
                                  <w:marRight w:val="0"/>
                                  <w:marTop w:val="0"/>
                                  <w:marBottom w:val="0"/>
                                  <w:divBdr>
                                    <w:top w:val="single" w:sz="6" w:space="8" w:color="CCCCCC"/>
                                    <w:left w:val="single" w:sz="6" w:space="8" w:color="CCCCCC"/>
                                    <w:bottom w:val="single" w:sz="6" w:space="8" w:color="CCCCCC"/>
                                    <w:right w:val="single" w:sz="6" w:space="8" w:color="CCCCCC"/>
                                  </w:divBdr>
                                </w:div>
                                <w:div w:id="1252813955">
                                  <w:marLeft w:val="150"/>
                                  <w:marRight w:val="30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2694147">
      <w:bodyDiv w:val="1"/>
      <w:marLeft w:val="0"/>
      <w:marRight w:val="0"/>
      <w:marTop w:val="0"/>
      <w:marBottom w:val="0"/>
      <w:divBdr>
        <w:top w:val="none" w:sz="0" w:space="0" w:color="auto"/>
        <w:left w:val="none" w:sz="0" w:space="0" w:color="auto"/>
        <w:bottom w:val="none" w:sz="0" w:space="0" w:color="auto"/>
        <w:right w:val="none" w:sz="0" w:space="0" w:color="auto"/>
      </w:divBdr>
      <w:divsChild>
        <w:div w:id="1601447107">
          <w:marLeft w:val="0"/>
          <w:marRight w:val="0"/>
          <w:marTop w:val="0"/>
          <w:marBottom w:val="0"/>
          <w:divBdr>
            <w:top w:val="none" w:sz="0" w:space="0" w:color="auto"/>
            <w:left w:val="none" w:sz="0" w:space="0" w:color="auto"/>
            <w:bottom w:val="none" w:sz="0" w:space="0" w:color="auto"/>
            <w:right w:val="none" w:sz="0" w:space="0" w:color="auto"/>
          </w:divBdr>
          <w:divsChild>
            <w:div w:id="1678724381">
              <w:marLeft w:val="0"/>
              <w:marRight w:val="0"/>
              <w:marTop w:val="0"/>
              <w:marBottom w:val="0"/>
              <w:divBdr>
                <w:top w:val="none" w:sz="0" w:space="0" w:color="auto"/>
                <w:left w:val="none" w:sz="0" w:space="0" w:color="auto"/>
                <w:bottom w:val="none" w:sz="0" w:space="0" w:color="auto"/>
                <w:right w:val="none" w:sz="0" w:space="0" w:color="auto"/>
              </w:divBdr>
              <w:divsChild>
                <w:div w:id="1657493423">
                  <w:marLeft w:val="0"/>
                  <w:marRight w:val="0"/>
                  <w:marTop w:val="0"/>
                  <w:marBottom w:val="0"/>
                  <w:divBdr>
                    <w:top w:val="none" w:sz="0" w:space="0" w:color="auto"/>
                    <w:left w:val="none" w:sz="0" w:space="0" w:color="auto"/>
                    <w:bottom w:val="none" w:sz="0" w:space="0" w:color="auto"/>
                    <w:right w:val="none" w:sz="0" w:space="0" w:color="auto"/>
                  </w:divBdr>
                  <w:divsChild>
                    <w:div w:id="1041981503">
                      <w:marLeft w:val="0"/>
                      <w:marRight w:val="0"/>
                      <w:marTop w:val="0"/>
                      <w:marBottom w:val="0"/>
                      <w:divBdr>
                        <w:top w:val="none" w:sz="0" w:space="0" w:color="auto"/>
                        <w:left w:val="none" w:sz="0" w:space="0" w:color="auto"/>
                        <w:bottom w:val="none" w:sz="0" w:space="0" w:color="auto"/>
                        <w:right w:val="none" w:sz="0" w:space="0" w:color="auto"/>
                      </w:divBdr>
                      <w:divsChild>
                        <w:div w:id="1809010869">
                          <w:marLeft w:val="0"/>
                          <w:marRight w:val="0"/>
                          <w:marTop w:val="0"/>
                          <w:marBottom w:val="0"/>
                          <w:divBdr>
                            <w:top w:val="none" w:sz="0" w:space="0" w:color="auto"/>
                            <w:left w:val="none" w:sz="0" w:space="0" w:color="auto"/>
                            <w:bottom w:val="none" w:sz="0" w:space="0" w:color="auto"/>
                            <w:right w:val="none" w:sz="0" w:space="0" w:color="auto"/>
                          </w:divBdr>
                          <w:divsChild>
                            <w:div w:id="97768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759820">
      <w:bodyDiv w:val="1"/>
      <w:marLeft w:val="0"/>
      <w:marRight w:val="0"/>
      <w:marTop w:val="0"/>
      <w:marBottom w:val="0"/>
      <w:divBdr>
        <w:top w:val="none" w:sz="0" w:space="0" w:color="auto"/>
        <w:left w:val="none" w:sz="0" w:space="0" w:color="auto"/>
        <w:bottom w:val="none" w:sz="0" w:space="0" w:color="auto"/>
        <w:right w:val="none" w:sz="0" w:space="0" w:color="auto"/>
      </w:divBdr>
      <w:divsChild>
        <w:div w:id="1686206055">
          <w:marLeft w:val="0"/>
          <w:marRight w:val="0"/>
          <w:marTop w:val="0"/>
          <w:marBottom w:val="0"/>
          <w:divBdr>
            <w:top w:val="none" w:sz="0" w:space="0" w:color="auto"/>
            <w:left w:val="none" w:sz="0" w:space="0" w:color="auto"/>
            <w:bottom w:val="none" w:sz="0" w:space="0" w:color="auto"/>
            <w:right w:val="none" w:sz="0" w:space="0" w:color="auto"/>
          </w:divBdr>
          <w:divsChild>
            <w:div w:id="1719012989">
              <w:marLeft w:val="0"/>
              <w:marRight w:val="0"/>
              <w:marTop w:val="0"/>
              <w:marBottom w:val="0"/>
              <w:divBdr>
                <w:top w:val="none" w:sz="0" w:space="0" w:color="auto"/>
                <w:left w:val="none" w:sz="0" w:space="0" w:color="auto"/>
                <w:bottom w:val="none" w:sz="0" w:space="0" w:color="auto"/>
                <w:right w:val="none" w:sz="0" w:space="0" w:color="auto"/>
              </w:divBdr>
              <w:divsChild>
                <w:div w:id="256796108">
                  <w:marLeft w:val="0"/>
                  <w:marRight w:val="0"/>
                  <w:marTop w:val="0"/>
                  <w:marBottom w:val="0"/>
                  <w:divBdr>
                    <w:top w:val="none" w:sz="0" w:space="0" w:color="auto"/>
                    <w:left w:val="none" w:sz="0" w:space="0" w:color="auto"/>
                    <w:bottom w:val="none" w:sz="0" w:space="0" w:color="auto"/>
                    <w:right w:val="none" w:sz="0" w:space="0" w:color="auto"/>
                  </w:divBdr>
                  <w:divsChild>
                    <w:div w:id="1257404611">
                      <w:marLeft w:val="0"/>
                      <w:marRight w:val="0"/>
                      <w:marTop w:val="0"/>
                      <w:marBottom w:val="0"/>
                      <w:divBdr>
                        <w:top w:val="none" w:sz="0" w:space="0" w:color="auto"/>
                        <w:left w:val="none" w:sz="0" w:space="0" w:color="auto"/>
                        <w:bottom w:val="none" w:sz="0" w:space="0" w:color="auto"/>
                        <w:right w:val="none" w:sz="0" w:space="0" w:color="auto"/>
                      </w:divBdr>
                      <w:divsChild>
                        <w:div w:id="744378352">
                          <w:marLeft w:val="0"/>
                          <w:marRight w:val="0"/>
                          <w:marTop w:val="0"/>
                          <w:marBottom w:val="0"/>
                          <w:divBdr>
                            <w:top w:val="none" w:sz="0" w:space="0" w:color="auto"/>
                            <w:left w:val="none" w:sz="0" w:space="0" w:color="auto"/>
                            <w:bottom w:val="none" w:sz="0" w:space="0" w:color="auto"/>
                            <w:right w:val="none" w:sz="0" w:space="0" w:color="auto"/>
                          </w:divBdr>
                          <w:divsChild>
                            <w:div w:id="138748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930</Words>
  <Characters>5302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2016-04-06T14:39:00Z</dcterms:created>
  <dcterms:modified xsi:type="dcterms:W3CDTF">2016-04-06T14:44:00Z</dcterms:modified>
</cp:coreProperties>
</file>