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C4323F" w14:textId="77777777" w:rsidR="007F5EB7" w:rsidRPr="00583BE6" w:rsidRDefault="007F5EB7" w:rsidP="007F5EB7">
      <w:pPr>
        <w:jc w:val="center"/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  <w:b/>
        </w:rPr>
        <w:t>PSY2174</w:t>
      </w:r>
    </w:p>
    <w:p w14:paraId="59C85EB2" w14:textId="77777777" w:rsidR="007F5EB7" w:rsidRPr="00583BE6" w:rsidRDefault="007F5EB7" w:rsidP="007F5EB7">
      <w:pPr>
        <w:jc w:val="center"/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  <w:b/>
        </w:rPr>
        <w:t>Answers to Activity #2</w:t>
      </w:r>
    </w:p>
    <w:p w14:paraId="76E5BB43" w14:textId="77777777" w:rsidR="007F5EB7" w:rsidRPr="00583BE6" w:rsidRDefault="007F5EB7" w:rsidP="007F5EB7">
      <w:pPr>
        <w:jc w:val="center"/>
        <w:rPr>
          <w:rFonts w:ascii="Gill Sans" w:hAnsi="Gill Sans" w:cs="Gill Sans"/>
          <w:b/>
        </w:rPr>
      </w:pPr>
    </w:p>
    <w:p w14:paraId="664DE90E" w14:textId="77777777" w:rsidR="007F5EB7" w:rsidRPr="00583BE6" w:rsidRDefault="007F5EB7" w:rsidP="007F5EB7">
      <w:pPr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  <w:b/>
        </w:rPr>
        <w:t>1. Identify the operational definitions of the IV and DV</w:t>
      </w:r>
    </w:p>
    <w:p w14:paraId="55F2B7B2" w14:textId="55B654BB" w:rsidR="00880F17" w:rsidRPr="00583BE6" w:rsidRDefault="00583BE6">
      <w:pPr>
        <w:rPr>
          <w:rFonts w:ascii="Gill Sans" w:hAnsi="Gill Sans" w:cs="Gill Sans"/>
        </w:rPr>
      </w:pPr>
      <w:r>
        <w:rPr>
          <w:rFonts w:ascii="Gill Sans" w:hAnsi="Gill Sans" w:cs="Gill Sans"/>
        </w:rPr>
        <w:t>The IV is the treatment type, with two levels:</w:t>
      </w:r>
      <w:r w:rsidR="006C524C" w:rsidRPr="00583BE6">
        <w:rPr>
          <w:rFonts w:ascii="Gill Sans" w:hAnsi="Gill Sans" w:cs="Gill Sans"/>
        </w:rPr>
        <w:t xml:space="preserve"> CBT (cognitive behavioral therapy) vs. EMDR (eye movement desensitization and reprocessing) </w:t>
      </w:r>
    </w:p>
    <w:p w14:paraId="5B7DF9EF" w14:textId="1FD622C2" w:rsidR="006C524C" w:rsidRPr="00583BE6" w:rsidRDefault="006C524C" w:rsidP="006C524C">
      <w:pPr>
        <w:pStyle w:val="ListParagraph"/>
        <w:numPr>
          <w:ilvl w:val="0"/>
          <w:numId w:val="1"/>
        </w:numPr>
        <w:rPr>
          <w:rFonts w:ascii="Gill Sans" w:hAnsi="Gill Sans" w:cs="Gill Sans"/>
        </w:rPr>
      </w:pPr>
      <w:r w:rsidRPr="00583BE6">
        <w:rPr>
          <w:rFonts w:ascii="Gill Sans" w:hAnsi="Gill Sans" w:cs="Gill Sans"/>
        </w:rPr>
        <w:t xml:space="preserve">There is no summary definition of CBT provided in the article. The operational definition is specified as follows in the article: ‘each treatment was </w:t>
      </w:r>
      <w:proofErr w:type="spellStart"/>
      <w:r w:rsidRPr="00583BE6">
        <w:rPr>
          <w:rFonts w:ascii="Gill Sans" w:hAnsi="Gill Sans" w:cs="Gill Sans"/>
        </w:rPr>
        <w:t>manualized</w:t>
      </w:r>
      <w:proofErr w:type="spellEnd"/>
      <w:r w:rsidRPr="00583BE6">
        <w:rPr>
          <w:rFonts w:ascii="Gill Sans" w:hAnsi="Gill Sans" w:cs="Gill Sans"/>
        </w:rPr>
        <w:t xml:space="preserve">, with reference to published texts for more details’. ‘CBT procedure was based on </w:t>
      </w:r>
      <w:proofErr w:type="spellStart"/>
      <w:r w:rsidRPr="00583BE6">
        <w:rPr>
          <w:rFonts w:ascii="Gill Sans" w:hAnsi="Gill Sans" w:cs="Gill Sans"/>
        </w:rPr>
        <w:t>Deblinger</w:t>
      </w:r>
      <w:proofErr w:type="spellEnd"/>
      <w:r w:rsidRPr="00583BE6">
        <w:rPr>
          <w:rFonts w:ascii="Gill Sans" w:hAnsi="Gill Sans" w:cs="Gill Sans"/>
        </w:rPr>
        <w:t xml:space="preserve"> and Heflin (1996) with additional activities from Camino (2000)’ </w:t>
      </w:r>
      <w:r w:rsidR="00583BE6">
        <w:rPr>
          <w:rFonts w:ascii="Gill Sans" w:hAnsi="Gill Sans" w:cs="Gill Sans"/>
        </w:rPr>
        <w:t>(</w:t>
      </w:r>
      <w:r w:rsidRPr="00583BE6">
        <w:rPr>
          <w:rFonts w:ascii="Gill Sans" w:hAnsi="Gill Sans" w:cs="Gill Sans"/>
        </w:rPr>
        <w:t>p. 362</w:t>
      </w:r>
      <w:r w:rsidR="00583BE6">
        <w:rPr>
          <w:rFonts w:ascii="Gill Sans" w:hAnsi="Gill Sans" w:cs="Gill Sans"/>
        </w:rPr>
        <w:t>)</w:t>
      </w:r>
    </w:p>
    <w:p w14:paraId="0AEA309A" w14:textId="77777777" w:rsidR="006C524C" w:rsidRPr="00583BE6" w:rsidRDefault="006C524C" w:rsidP="006C524C">
      <w:pPr>
        <w:pStyle w:val="ListParagraph"/>
        <w:numPr>
          <w:ilvl w:val="0"/>
          <w:numId w:val="1"/>
        </w:numPr>
        <w:rPr>
          <w:rFonts w:ascii="Gill Sans" w:hAnsi="Gill Sans" w:cs="Gill Sans"/>
        </w:rPr>
      </w:pPr>
      <w:r w:rsidRPr="00583BE6">
        <w:rPr>
          <w:rFonts w:ascii="Gill Sans" w:hAnsi="Gill Sans" w:cs="Gill Sans"/>
        </w:rPr>
        <w:t xml:space="preserve">A summary definition of EMDR is provided in the article: ‘treatment for traumatic memories and their </w:t>
      </w:r>
      <w:proofErr w:type="spellStart"/>
      <w:r w:rsidRPr="00583BE6">
        <w:rPr>
          <w:rFonts w:ascii="Gill Sans" w:hAnsi="Gill Sans" w:cs="Gill Sans"/>
        </w:rPr>
        <w:t>sequelae</w:t>
      </w:r>
      <w:proofErr w:type="spellEnd"/>
      <w:r w:rsidRPr="00583BE6">
        <w:rPr>
          <w:rFonts w:ascii="Gill Sans" w:hAnsi="Gill Sans" w:cs="Gill Sans"/>
        </w:rPr>
        <w:t xml:space="preserve"> that required the client to perform bilateral eye movements while concentrating on the trauma memory.’ (p. 359). The operational definition is later specified ‘ the EMDR procedure was based on Shapiro (1995), with age appropriate modifications suggested by Greenwald’ (P.362)</w:t>
      </w:r>
    </w:p>
    <w:p w14:paraId="55573133" w14:textId="77777777" w:rsidR="006C524C" w:rsidRPr="00583BE6" w:rsidRDefault="006C524C" w:rsidP="006C524C">
      <w:pPr>
        <w:rPr>
          <w:rFonts w:ascii="Gill Sans" w:hAnsi="Gill Sans" w:cs="Gill Sans"/>
        </w:rPr>
      </w:pPr>
    </w:p>
    <w:p w14:paraId="0D0766A5" w14:textId="72D7AF7C" w:rsidR="006C524C" w:rsidRPr="00583BE6" w:rsidRDefault="006C524C" w:rsidP="006C524C">
      <w:pPr>
        <w:rPr>
          <w:rFonts w:ascii="Gill Sans" w:hAnsi="Gill Sans" w:cs="Gill Sans"/>
        </w:rPr>
      </w:pPr>
      <w:r w:rsidRPr="00583BE6">
        <w:rPr>
          <w:rFonts w:ascii="Gill Sans" w:hAnsi="Gill Sans" w:cs="Gill Sans"/>
        </w:rPr>
        <w:t xml:space="preserve">The DV is PTSD symptoms plus ‘a wider range of symptoms’ (P.360). These symptoms are measured using four different </w:t>
      </w:r>
      <w:proofErr w:type="gramStart"/>
      <w:r w:rsidRPr="00583BE6">
        <w:rPr>
          <w:rFonts w:ascii="Gill Sans" w:hAnsi="Gill Sans" w:cs="Gill Sans"/>
        </w:rPr>
        <w:t>scales</w:t>
      </w:r>
      <w:r w:rsidR="000510EF">
        <w:rPr>
          <w:rFonts w:ascii="Gill Sans" w:hAnsi="Gill Sans" w:cs="Gill Sans"/>
        </w:rPr>
        <w:t>(</w:t>
      </w:r>
      <w:proofErr w:type="gramEnd"/>
      <w:r w:rsidR="000510EF">
        <w:rPr>
          <w:rFonts w:ascii="Gill Sans" w:hAnsi="Gill Sans" w:cs="Gill Sans"/>
        </w:rPr>
        <w:t>questionnaires)</w:t>
      </w:r>
      <w:r w:rsidRPr="00583BE6">
        <w:rPr>
          <w:rFonts w:ascii="Gill Sans" w:hAnsi="Gill Sans" w:cs="Gill Sans"/>
        </w:rPr>
        <w:t>:</w:t>
      </w:r>
    </w:p>
    <w:p w14:paraId="6FF977BE" w14:textId="77777777" w:rsidR="006C524C" w:rsidRPr="00583BE6" w:rsidRDefault="006C524C" w:rsidP="006C524C">
      <w:pPr>
        <w:pStyle w:val="ListParagraph"/>
        <w:numPr>
          <w:ilvl w:val="0"/>
          <w:numId w:val="2"/>
        </w:numPr>
        <w:rPr>
          <w:rFonts w:ascii="Gill Sans" w:hAnsi="Gill Sans" w:cs="Gill Sans"/>
        </w:rPr>
      </w:pPr>
      <w:r w:rsidRPr="00583BE6">
        <w:rPr>
          <w:rFonts w:ascii="Gill Sans" w:hAnsi="Gill Sans" w:cs="Gill Sans"/>
        </w:rPr>
        <w:t>CROPS: to measure a broad spectrum of post-traumatic symptoms in children</w:t>
      </w:r>
    </w:p>
    <w:p w14:paraId="5073AFE1" w14:textId="77777777" w:rsidR="006C524C" w:rsidRPr="00583BE6" w:rsidRDefault="006C524C" w:rsidP="006C524C">
      <w:pPr>
        <w:pStyle w:val="ListParagraph"/>
        <w:numPr>
          <w:ilvl w:val="0"/>
          <w:numId w:val="2"/>
        </w:numPr>
        <w:rPr>
          <w:rFonts w:ascii="Gill Sans" w:hAnsi="Gill Sans" w:cs="Gill Sans"/>
        </w:rPr>
      </w:pPr>
      <w:r w:rsidRPr="00583BE6">
        <w:rPr>
          <w:rFonts w:ascii="Gill Sans" w:hAnsi="Gill Sans" w:cs="Gill Sans"/>
        </w:rPr>
        <w:t xml:space="preserve">PROPS: also to measure a broad spectrum of post-traumatic symptoms but the parent completes the questionnaire </w:t>
      </w:r>
    </w:p>
    <w:p w14:paraId="012F2E52" w14:textId="77777777" w:rsidR="006C524C" w:rsidRDefault="006C524C" w:rsidP="006C524C">
      <w:pPr>
        <w:pStyle w:val="ListParagraph"/>
        <w:numPr>
          <w:ilvl w:val="0"/>
          <w:numId w:val="2"/>
        </w:numPr>
        <w:rPr>
          <w:rFonts w:ascii="Gill Sans" w:hAnsi="Gill Sans" w:cs="Gill Sans"/>
        </w:rPr>
      </w:pPr>
      <w:proofErr w:type="spellStart"/>
      <w:r w:rsidRPr="00583BE6">
        <w:rPr>
          <w:rFonts w:ascii="Gill Sans" w:hAnsi="Gill Sans" w:cs="Gill Sans"/>
        </w:rPr>
        <w:t>Rutter</w:t>
      </w:r>
      <w:proofErr w:type="spellEnd"/>
      <w:r w:rsidRPr="00583BE6">
        <w:rPr>
          <w:rFonts w:ascii="Gill Sans" w:hAnsi="Gill Sans" w:cs="Gill Sans"/>
        </w:rPr>
        <w:t xml:space="preserve"> Teacher Scale: to measure whether a child has a potential mental disturbance.</w:t>
      </w:r>
    </w:p>
    <w:p w14:paraId="5DB021FB" w14:textId="77777777" w:rsidR="00153919" w:rsidRDefault="00153919" w:rsidP="00153919">
      <w:pPr>
        <w:pStyle w:val="ListParagraph"/>
        <w:rPr>
          <w:rFonts w:ascii="Gill Sans" w:hAnsi="Gill Sans" w:cs="Gill Sans"/>
        </w:rPr>
      </w:pPr>
    </w:p>
    <w:p w14:paraId="21E28EE7" w14:textId="3C8F39FB" w:rsidR="00153919" w:rsidRPr="00153919" w:rsidRDefault="00153919" w:rsidP="00153919">
      <w:pPr>
        <w:rPr>
          <w:rFonts w:ascii="Gill Sans" w:hAnsi="Gill Sans" w:cs="Gill Sans"/>
          <w:color w:val="7F7F7F" w:themeColor="text1" w:themeTint="80"/>
        </w:rPr>
      </w:pPr>
      <w:r w:rsidRPr="00153919">
        <w:rPr>
          <w:rFonts w:ascii="Gill Sans" w:hAnsi="Gill Sans" w:cs="Gill Sans"/>
          <w:color w:val="7F7F7F" w:themeColor="text1" w:themeTint="80"/>
        </w:rPr>
        <w:t xml:space="preserve">NOTE: re: SUDS </w:t>
      </w:r>
      <w:proofErr w:type="gramStart"/>
      <w:r w:rsidRPr="00153919">
        <w:rPr>
          <w:rFonts w:ascii="Gill Sans" w:hAnsi="Gill Sans" w:cs="Gill Sans"/>
          <w:color w:val="7F7F7F" w:themeColor="text1" w:themeTint="80"/>
        </w:rPr>
        <w:t>was</w:t>
      </w:r>
      <w:proofErr w:type="gramEnd"/>
      <w:r w:rsidRPr="00153919">
        <w:rPr>
          <w:rFonts w:ascii="Gill Sans" w:hAnsi="Gill Sans" w:cs="Gill Sans"/>
          <w:color w:val="7F7F7F" w:themeColor="text1" w:themeTint="80"/>
        </w:rPr>
        <w:t xml:space="preserve"> </w:t>
      </w:r>
      <w:r w:rsidRPr="00153919">
        <w:rPr>
          <w:rFonts w:ascii="Gill Sans" w:hAnsi="Gill Sans" w:cs="Gill Sans"/>
          <w:color w:val="7F7F7F" w:themeColor="text1" w:themeTint="80"/>
        </w:rPr>
        <w:t>not used as an outcome measure but as a termination criteria so not technically a DV</w:t>
      </w:r>
    </w:p>
    <w:p w14:paraId="0A10C2A1" w14:textId="0616E76F" w:rsidR="006C524C" w:rsidRDefault="006C524C" w:rsidP="006C524C">
      <w:pPr>
        <w:pStyle w:val="ListParagraph"/>
        <w:numPr>
          <w:ilvl w:val="0"/>
          <w:numId w:val="2"/>
        </w:numPr>
        <w:rPr>
          <w:rFonts w:ascii="Gill Sans" w:hAnsi="Gill Sans" w:cs="Gill Sans"/>
          <w:color w:val="7F7F7F" w:themeColor="text1" w:themeTint="80"/>
        </w:rPr>
      </w:pPr>
      <w:r w:rsidRPr="00153919">
        <w:rPr>
          <w:rFonts w:ascii="Gill Sans" w:hAnsi="Gill Sans" w:cs="Gill Sans"/>
          <w:color w:val="7F7F7F" w:themeColor="text1" w:themeTint="80"/>
        </w:rPr>
        <w:t>SUDS: to measure intensity of subjective distress in response to a particular stimulus, such as a traumatic memory</w:t>
      </w:r>
      <w:r w:rsidR="00153919" w:rsidRPr="00153919">
        <w:rPr>
          <w:rFonts w:ascii="Gill Sans" w:hAnsi="Gill Sans" w:cs="Gill Sans"/>
          <w:color w:val="7F7F7F" w:themeColor="text1" w:themeTint="80"/>
        </w:rPr>
        <w:t xml:space="preserve"> – </w:t>
      </w:r>
    </w:p>
    <w:p w14:paraId="1A6DEE27" w14:textId="77777777" w:rsidR="00153919" w:rsidRPr="00153919" w:rsidRDefault="00153919" w:rsidP="00153919">
      <w:pPr>
        <w:pStyle w:val="ListParagraph"/>
        <w:numPr>
          <w:ilvl w:val="0"/>
          <w:numId w:val="2"/>
        </w:numPr>
        <w:rPr>
          <w:rFonts w:ascii="Gill Sans" w:hAnsi="Gill Sans" w:cs="Gill Sans"/>
          <w:b/>
          <w:color w:val="7F7F7F" w:themeColor="text1" w:themeTint="80"/>
        </w:rPr>
      </w:pPr>
      <w:bookmarkStart w:id="0" w:name="_GoBack"/>
      <w:r w:rsidRPr="00153919">
        <w:rPr>
          <w:rFonts w:ascii="Gill Sans" w:hAnsi="Gill Sans" w:cs="Gill Sans"/>
          <w:color w:val="7F7F7F" w:themeColor="text1" w:themeTint="80"/>
        </w:rPr>
        <w:t>SUDS: ‘ has been shown to correlate with several physiological measures of stress’. This statement suggests that the tool has good convergent validity</w:t>
      </w:r>
    </w:p>
    <w:bookmarkEnd w:id="0"/>
    <w:p w14:paraId="2402CC8C" w14:textId="77777777" w:rsidR="00153919" w:rsidRPr="00153919" w:rsidRDefault="00153919" w:rsidP="006C524C">
      <w:pPr>
        <w:pStyle w:val="ListParagraph"/>
        <w:numPr>
          <w:ilvl w:val="0"/>
          <w:numId w:val="2"/>
        </w:numPr>
        <w:rPr>
          <w:rFonts w:ascii="Gill Sans" w:hAnsi="Gill Sans" w:cs="Gill Sans"/>
          <w:color w:val="7F7F7F" w:themeColor="text1" w:themeTint="80"/>
        </w:rPr>
      </w:pPr>
    </w:p>
    <w:p w14:paraId="40074EDD" w14:textId="77777777" w:rsidR="007F5EB7" w:rsidRPr="00583BE6" w:rsidRDefault="007F5EB7" w:rsidP="007F5EB7">
      <w:pPr>
        <w:rPr>
          <w:rFonts w:ascii="Gill Sans" w:hAnsi="Gill Sans" w:cs="Gill Sans"/>
        </w:rPr>
      </w:pPr>
    </w:p>
    <w:p w14:paraId="73695859" w14:textId="1BE8CBA4" w:rsidR="007F5EB7" w:rsidRPr="00583BE6" w:rsidRDefault="007F5EB7" w:rsidP="007F5EB7">
      <w:pPr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  <w:b/>
        </w:rPr>
        <w:t>2. Judge the quality of the operational definitions of DV</w:t>
      </w:r>
      <w:r w:rsidR="000510EF">
        <w:rPr>
          <w:rFonts w:ascii="Gill Sans" w:hAnsi="Gill Sans" w:cs="Gill Sans"/>
          <w:b/>
        </w:rPr>
        <w:t>s</w:t>
      </w:r>
    </w:p>
    <w:p w14:paraId="2B6F519C" w14:textId="3E81E4F9" w:rsidR="007F5EB7" w:rsidRPr="00583BE6" w:rsidRDefault="007F5EB7" w:rsidP="007F5EB7">
      <w:pPr>
        <w:pStyle w:val="ListParagraph"/>
        <w:numPr>
          <w:ilvl w:val="0"/>
          <w:numId w:val="4"/>
        </w:numPr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</w:rPr>
        <w:t xml:space="preserve">To judge the quality of the operational definitions of the DV, one has to look at </w:t>
      </w:r>
      <w:r w:rsidR="00583BE6">
        <w:rPr>
          <w:rFonts w:ascii="Gill Sans" w:hAnsi="Gill Sans" w:cs="Gill Sans"/>
        </w:rPr>
        <w:t xml:space="preserve">their </w:t>
      </w:r>
      <w:r w:rsidR="00EC1D6B">
        <w:rPr>
          <w:rFonts w:ascii="Gill Sans" w:hAnsi="Gill Sans" w:cs="Gill Sans"/>
        </w:rPr>
        <w:t>construct</w:t>
      </w:r>
      <w:r w:rsidR="00583BE6">
        <w:rPr>
          <w:rFonts w:ascii="Gill Sans" w:hAnsi="Gill Sans" w:cs="Gill Sans"/>
        </w:rPr>
        <w:t xml:space="preserve"> </w:t>
      </w:r>
      <w:r w:rsidRPr="00583BE6">
        <w:rPr>
          <w:rFonts w:ascii="Gill Sans" w:hAnsi="Gill Sans" w:cs="Gill Sans"/>
        </w:rPr>
        <w:t>validity and reliability</w:t>
      </w:r>
    </w:p>
    <w:p w14:paraId="689A8A23" w14:textId="1839ED24" w:rsidR="007F5EB7" w:rsidRPr="00583BE6" w:rsidRDefault="007F5EB7" w:rsidP="007F5EB7">
      <w:pPr>
        <w:pStyle w:val="ListParagraph"/>
        <w:numPr>
          <w:ilvl w:val="0"/>
          <w:numId w:val="4"/>
        </w:numPr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</w:rPr>
        <w:t>With respect to the DV</w:t>
      </w:r>
      <w:r w:rsidR="000510EF">
        <w:rPr>
          <w:rFonts w:ascii="Gill Sans" w:hAnsi="Gill Sans" w:cs="Gill Sans"/>
        </w:rPr>
        <w:t>s</w:t>
      </w:r>
      <w:r w:rsidRPr="00583BE6">
        <w:rPr>
          <w:rFonts w:ascii="Gill Sans" w:hAnsi="Gill Sans" w:cs="Gill Sans"/>
        </w:rPr>
        <w:t xml:space="preserve">, </w:t>
      </w:r>
      <w:r w:rsidR="00583BE6">
        <w:rPr>
          <w:rFonts w:ascii="Gill Sans" w:hAnsi="Gill Sans" w:cs="Gill Sans"/>
        </w:rPr>
        <w:t xml:space="preserve">the </w:t>
      </w:r>
      <w:r w:rsidRPr="00583BE6">
        <w:rPr>
          <w:rFonts w:ascii="Gill Sans" w:hAnsi="Gill Sans" w:cs="Gill Sans"/>
        </w:rPr>
        <w:t>following information is provided in the article:</w:t>
      </w:r>
    </w:p>
    <w:p w14:paraId="0BB250F6" w14:textId="14AB866C" w:rsidR="007F5EB7" w:rsidRPr="00583BE6" w:rsidRDefault="007F5EB7" w:rsidP="007F5EB7">
      <w:pPr>
        <w:pStyle w:val="ListParagraph"/>
        <w:numPr>
          <w:ilvl w:val="1"/>
          <w:numId w:val="4"/>
        </w:numPr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</w:rPr>
        <w:t>CROPS: ‘has shown go</w:t>
      </w:r>
      <w:r w:rsidR="00583BE6">
        <w:rPr>
          <w:rFonts w:ascii="Gill Sans" w:hAnsi="Gill Sans" w:cs="Gill Sans"/>
        </w:rPr>
        <w:t>o</w:t>
      </w:r>
      <w:r w:rsidRPr="00583BE6">
        <w:rPr>
          <w:rFonts w:ascii="Gill Sans" w:hAnsi="Gill Sans" w:cs="Gill Sans"/>
        </w:rPr>
        <w:t>d validity and reliability’ (p.360)</w:t>
      </w:r>
    </w:p>
    <w:p w14:paraId="52D8A497" w14:textId="77777777" w:rsidR="007F5EB7" w:rsidRPr="00583BE6" w:rsidRDefault="007F5EB7" w:rsidP="007F5EB7">
      <w:pPr>
        <w:pStyle w:val="ListParagraph"/>
        <w:numPr>
          <w:ilvl w:val="1"/>
          <w:numId w:val="4"/>
        </w:numPr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</w:rPr>
        <w:t>PROPS: ‘with similar validity and reliability’ (p. 360)</w:t>
      </w:r>
    </w:p>
    <w:p w14:paraId="5C2F09AC" w14:textId="77777777" w:rsidR="007F5EB7" w:rsidRPr="00583BE6" w:rsidRDefault="007F5EB7" w:rsidP="007F5EB7">
      <w:pPr>
        <w:pStyle w:val="ListParagraph"/>
        <w:numPr>
          <w:ilvl w:val="1"/>
          <w:numId w:val="4"/>
        </w:numPr>
        <w:rPr>
          <w:rFonts w:ascii="Gill Sans" w:hAnsi="Gill Sans" w:cs="Gill Sans"/>
          <w:b/>
        </w:rPr>
      </w:pPr>
      <w:proofErr w:type="spellStart"/>
      <w:r w:rsidRPr="00583BE6">
        <w:rPr>
          <w:rFonts w:ascii="Gill Sans" w:hAnsi="Gill Sans" w:cs="Gill Sans"/>
        </w:rPr>
        <w:t>Rutter</w:t>
      </w:r>
      <w:proofErr w:type="spellEnd"/>
      <w:r w:rsidRPr="00583BE6">
        <w:rPr>
          <w:rFonts w:ascii="Gill Sans" w:hAnsi="Gill Sans" w:cs="Gill Sans"/>
        </w:rPr>
        <w:t>: ‘good reliability and validity …’ ‘ has good psychometric properties’ (p. 360)</w:t>
      </w:r>
    </w:p>
    <w:p w14:paraId="2CB59DD7" w14:textId="2475C6C1" w:rsidR="00DE141E" w:rsidRPr="00583BE6" w:rsidRDefault="007F5EB7" w:rsidP="00DE141E">
      <w:pPr>
        <w:pStyle w:val="ListParagraph"/>
        <w:numPr>
          <w:ilvl w:val="1"/>
          <w:numId w:val="4"/>
        </w:numPr>
        <w:rPr>
          <w:rFonts w:ascii="Gill Sans" w:hAnsi="Gill Sans" w:cs="Gill Sans"/>
          <w:b/>
        </w:rPr>
      </w:pPr>
      <w:r w:rsidRPr="00583BE6">
        <w:rPr>
          <w:rFonts w:ascii="Gill Sans" w:hAnsi="Gill Sans" w:cs="Gill Sans"/>
        </w:rPr>
        <w:t>T</w:t>
      </w:r>
      <w:r w:rsidR="00DE141E" w:rsidRPr="00583BE6">
        <w:rPr>
          <w:rFonts w:ascii="Gill Sans" w:hAnsi="Gill Sans" w:cs="Gill Sans"/>
        </w:rPr>
        <w:t xml:space="preserve">o conclude, </w:t>
      </w:r>
      <w:r w:rsidR="00583BE6">
        <w:rPr>
          <w:rFonts w:ascii="Gill Sans" w:hAnsi="Gill Sans" w:cs="Gill Sans"/>
        </w:rPr>
        <w:t>the information provided in the article</w:t>
      </w:r>
      <w:r w:rsidRPr="00583BE6">
        <w:rPr>
          <w:rFonts w:ascii="Gill Sans" w:hAnsi="Gill Sans" w:cs="Gill Sans"/>
        </w:rPr>
        <w:t xml:space="preserve"> suggest</w:t>
      </w:r>
      <w:r w:rsidR="00583BE6">
        <w:rPr>
          <w:rFonts w:ascii="Gill Sans" w:hAnsi="Gill Sans" w:cs="Gill Sans"/>
        </w:rPr>
        <w:t>s</w:t>
      </w:r>
      <w:r w:rsidRPr="00583BE6">
        <w:rPr>
          <w:rFonts w:ascii="Gill Sans" w:hAnsi="Gill Sans" w:cs="Gill Sans"/>
        </w:rPr>
        <w:t xml:space="preserve"> that all the</w:t>
      </w:r>
      <w:r w:rsidR="00DE141E" w:rsidRPr="00583BE6">
        <w:rPr>
          <w:rFonts w:ascii="Gill Sans" w:hAnsi="Gill Sans" w:cs="Gill Sans"/>
        </w:rPr>
        <w:t>se</w:t>
      </w:r>
      <w:r w:rsidRPr="00583BE6">
        <w:rPr>
          <w:rFonts w:ascii="Gill Sans" w:hAnsi="Gill Sans" w:cs="Gill Sans"/>
        </w:rPr>
        <w:t xml:space="preserve"> </w:t>
      </w:r>
      <w:r w:rsidR="00583BE6">
        <w:rPr>
          <w:rFonts w:ascii="Gill Sans" w:hAnsi="Gill Sans" w:cs="Gill Sans"/>
        </w:rPr>
        <w:t>measures</w:t>
      </w:r>
      <w:r w:rsidRPr="00583BE6">
        <w:rPr>
          <w:rFonts w:ascii="Gill Sans" w:hAnsi="Gill Sans" w:cs="Gill Sans"/>
        </w:rPr>
        <w:t xml:space="preserve"> </w:t>
      </w:r>
      <w:r w:rsidR="00583BE6">
        <w:rPr>
          <w:rFonts w:ascii="Gill Sans" w:hAnsi="Gill Sans" w:cs="Gill Sans"/>
        </w:rPr>
        <w:t xml:space="preserve">are of good quality. Specifically, it is indicated that they </w:t>
      </w:r>
      <w:r w:rsidRPr="00583BE6">
        <w:rPr>
          <w:rFonts w:ascii="Gill Sans" w:hAnsi="Gill Sans" w:cs="Gill Sans"/>
        </w:rPr>
        <w:t>have good validity and reliability</w:t>
      </w:r>
      <w:r w:rsidR="00583BE6">
        <w:rPr>
          <w:rFonts w:ascii="Gill Sans" w:hAnsi="Gill Sans" w:cs="Gill Sans"/>
        </w:rPr>
        <w:t xml:space="preserve"> and</w:t>
      </w:r>
      <w:r w:rsidRPr="00583BE6">
        <w:rPr>
          <w:rFonts w:ascii="Gill Sans" w:hAnsi="Gill Sans" w:cs="Gill Sans"/>
        </w:rPr>
        <w:t xml:space="preserve"> references are provided</w:t>
      </w:r>
      <w:r w:rsidR="00583BE6">
        <w:rPr>
          <w:rFonts w:ascii="Gill Sans" w:hAnsi="Gill Sans" w:cs="Gill Sans"/>
        </w:rPr>
        <w:t xml:space="preserve"> to support this claim</w:t>
      </w:r>
      <w:r w:rsidRPr="00583BE6">
        <w:rPr>
          <w:rFonts w:ascii="Gill Sans" w:hAnsi="Gill Sans" w:cs="Gill Sans"/>
        </w:rPr>
        <w:t xml:space="preserve">. </w:t>
      </w:r>
      <w:r w:rsidR="00B749D0">
        <w:rPr>
          <w:rFonts w:ascii="Gill Sans" w:hAnsi="Gill Sans" w:cs="Gill Sans"/>
        </w:rPr>
        <w:t>(Note</w:t>
      </w:r>
      <w:r w:rsidR="00D87806">
        <w:rPr>
          <w:rFonts w:ascii="Gill Sans" w:hAnsi="Gill Sans" w:cs="Gill Sans"/>
        </w:rPr>
        <w:t>:</w:t>
      </w:r>
      <w:r w:rsidR="00B749D0">
        <w:rPr>
          <w:rFonts w:ascii="Gill Sans" w:hAnsi="Gill Sans" w:cs="Gill Sans"/>
        </w:rPr>
        <w:t xml:space="preserve"> if the authors had specified that the measure is valid, then you could </w:t>
      </w:r>
      <w:r w:rsidR="00B749D0">
        <w:rPr>
          <w:rFonts w:ascii="Gill Sans" w:hAnsi="Gill Sans" w:cs="Gill Sans"/>
        </w:rPr>
        <w:lastRenderedPageBreak/>
        <w:t>have assumed that it is also reliable</w:t>
      </w:r>
      <w:r w:rsidR="00D87806">
        <w:rPr>
          <w:rFonts w:ascii="Gill Sans" w:hAnsi="Gill Sans" w:cs="Gill Sans"/>
        </w:rPr>
        <w:t xml:space="preserve"> even if not information to this effect had been provided</w:t>
      </w:r>
      <w:r w:rsidR="00B749D0">
        <w:rPr>
          <w:rFonts w:ascii="Gill Sans" w:hAnsi="Gill Sans" w:cs="Gill Sans"/>
        </w:rPr>
        <w:t>)</w:t>
      </w:r>
    </w:p>
    <w:p w14:paraId="0900C9F6" w14:textId="3499CC54" w:rsidR="007F5EB7" w:rsidRPr="00583BE6" w:rsidRDefault="007F5EB7" w:rsidP="00DE141E">
      <w:pPr>
        <w:ind w:left="720"/>
        <w:rPr>
          <w:rFonts w:ascii="Gill Sans" w:hAnsi="Gill Sans" w:cs="Gill Sans"/>
          <w:b/>
        </w:rPr>
      </w:pPr>
    </w:p>
    <w:p w14:paraId="0B4092A7" w14:textId="014B38E7" w:rsidR="00DE141E" w:rsidRPr="00583BE6" w:rsidRDefault="00DE141E" w:rsidP="007F5EB7">
      <w:pPr>
        <w:pStyle w:val="ListParagraph"/>
        <w:numPr>
          <w:ilvl w:val="1"/>
          <w:numId w:val="4"/>
        </w:numPr>
        <w:rPr>
          <w:rFonts w:ascii="Gill Sans" w:hAnsi="Gill Sans" w:cs="Gill Sans"/>
          <w:b/>
        </w:rPr>
      </w:pPr>
    </w:p>
    <w:sectPr w:rsidR="00DE141E" w:rsidRPr="00583BE6" w:rsidSect="001D4E7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B0E01"/>
    <w:multiLevelType w:val="hybridMultilevel"/>
    <w:tmpl w:val="BF6ACF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9C61319"/>
    <w:multiLevelType w:val="hybridMultilevel"/>
    <w:tmpl w:val="C56C45E0"/>
    <w:lvl w:ilvl="0" w:tplc="329C0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6508B7"/>
    <w:multiLevelType w:val="hybridMultilevel"/>
    <w:tmpl w:val="E9225E12"/>
    <w:lvl w:ilvl="0" w:tplc="329C0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976D77"/>
    <w:multiLevelType w:val="hybridMultilevel"/>
    <w:tmpl w:val="66F423A0"/>
    <w:lvl w:ilvl="0" w:tplc="329C06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24C"/>
    <w:rsid w:val="000510EF"/>
    <w:rsid w:val="00153919"/>
    <w:rsid w:val="001D4E7E"/>
    <w:rsid w:val="00443FCF"/>
    <w:rsid w:val="00583BE6"/>
    <w:rsid w:val="006C524C"/>
    <w:rsid w:val="007F5EB7"/>
    <w:rsid w:val="00880F17"/>
    <w:rsid w:val="00A95035"/>
    <w:rsid w:val="00B749D0"/>
    <w:rsid w:val="00D2338C"/>
    <w:rsid w:val="00D87806"/>
    <w:rsid w:val="00DE141E"/>
    <w:rsid w:val="00EB569B"/>
    <w:rsid w:val="00EC1D6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3DE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2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2211</Characters>
  <Application>Microsoft Macintosh Word</Application>
  <DocSecurity>0</DocSecurity>
  <Lines>18</Lines>
  <Paragraphs>5</Paragraphs>
  <ScaleCrop>false</ScaleCrop>
  <Company>University of Ottawa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Boutet</dc:creator>
  <cp:keywords/>
  <dc:description/>
  <cp:lastModifiedBy>Isabelle Boutet</cp:lastModifiedBy>
  <cp:revision>2</cp:revision>
  <cp:lastPrinted>2012-08-27T14:29:00Z</cp:lastPrinted>
  <dcterms:created xsi:type="dcterms:W3CDTF">2015-10-01T19:42:00Z</dcterms:created>
  <dcterms:modified xsi:type="dcterms:W3CDTF">2015-10-01T19:42:00Z</dcterms:modified>
</cp:coreProperties>
</file>