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8CE" w:rsidRPr="00A728CE" w:rsidRDefault="00A728CE" w:rsidP="00A728CE">
      <w:pPr>
        <w:spacing w:before="120" w:after="0" w:line="240" w:lineRule="auto"/>
        <w:jc w:val="both"/>
        <w:rPr>
          <w:rFonts w:ascii="Calibri" w:eastAsia="Times New Roman" w:hAnsi="Calibri" w:cs="Times New Roman"/>
          <w:color w:val="000000"/>
          <w:lang w:val="fr-CA" w:eastAsia="en-CA"/>
        </w:rPr>
      </w:pPr>
      <w:r w:rsidRPr="00A728CE">
        <w:rPr>
          <w:rFonts w:ascii="Times New Roman" w:eastAsia="Times New Roman" w:hAnsi="Times New Roman" w:cs="Times New Roman"/>
          <w:b/>
          <w:bCs/>
          <w:color w:val="000000"/>
          <w:sz w:val="24"/>
          <w:szCs w:val="24"/>
          <w:lang w:val="fr-CA" w:eastAsia="en-CA"/>
        </w:rPr>
        <w:t>Nom :</w:t>
      </w:r>
    </w:p>
    <w:p w:rsidR="00A728CE" w:rsidRPr="00A728CE" w:rsidRDefault="00A728CE" w:rsidP="00A728CE">
      <w:pPr>
        <w:spacing w:before="120" w:after="0" w:line="240" w:lineRule="auto"/>
        <w:jc w:val="both"/>
        <w:rPr>
          <w:rFonts w:ascii="Calibri" w:eastAsia="Times New Roman" w:hAnsi="Calibri" w:cs="Times New Roman"/>
          <w:color w:val="000000"/>
          <w:lang w:val="fr-CA" w:eastAsia="en-CA"/>
        </w:rPr>
      </w:pPr>
      <w:r w:rsidRPr="00A728CE">
        <w:rPr>
          <w:rFonts w:ascii="Times New Roman" w:eastAsia="Times New Roman" w:hAnsi="Times New Roman" w:cs="Times New Roman"/>
          <w:b/>
          <w:bCs/>
          <w:color w:val="000000"/>
          <w:sz w:val="24"/>
          <w:szCs w:val="24"/>
          <w:lang w:val="fr-CA" w:eastAsia="en-CA"/>
        </w:rPr>
        <w:t>Date :</w:t>
      </w:r>
    </w:p>
    <w:p w:rsidR="00A728CE" w:rsidRPr="00A728CE" w:rsidRDefault="00A728CE" w:rsidP="00A728CE">
      <w:pPr>
        <w:spacing w:before="120" w:after="0" w:line="240" w:lineRule="auto"/>
        <w:jc w:val="both"/>
        <w:rPr>
          <w:rFonts w:ascii="Calibri" w:eastAsia="Times New Roman" w:hAnsi="Calibri" w:cs="Times New Roman"/>
          <w:color w:val="000000"/>
          <w:lang w:val="fr-CA" w:eastAsia="en-CA"/>
        </w:rPr>
      </w:pPr>
      <w:r w:rsidRPr="00A728CE">
        <w:rPr>
          <w:rFonts w:ascii="Times New Roman" w:eastAsia="Times New Roman" w:hAnsi="Times New Roman" w:cs="Times New Roman"/>
          <w:b/>
          <w:bCs/>
          <w:color w:val="000000"/>
          <w:sz w:val="24"/>
          <w:szCs w:val="24"/>
          <w:lang w:val="fr-CA" w:eastAsia="en-CA"/>
        </w:rPr>
        <w:t> </w:t>
      </w:r>
    </w:p>
    <w:tbl>
      <w:tblPr>
        <w:tblStyle w:val="TableGrid"/>
        <w:tblW w:w="0" w:type="auto"/>
        <w:tblLook w:val="04A0" w:firstRow="1" w:lastRow="0" w:firstColumn="1" w:lastColumn="0" w:noHBand="0" w:noVBand="1"/>
      </w:tblPr>
      <w:tblGrid>
        <w:gridCol w:w="8630"/>
      </w:tblGrid>
      <w:tr w:rsidR="00A728CE" w:rsidTr="00A728CE">
        <w:tc>
          <w:tcPr>
            <w:tcW w:w="8630" w:type="dxa"/>
            <w:tcBorders>
              <w:top w:val="nil"/>
              <w:left w:val="nil"/>
              <w:right w:val="nil"/>
            </w:tcBorders>
          </w:tcPr>
          <w:p w:rsidR="00A728CE" w:rsidRDefault="004816FE" w:rsidP="00A728CE">
            <w:pPr>
              <w:spacing w:before="120"/>
              <w:rPr>
                <w:rFonts w:ascii="Calibri" w:eastAsia="Times New Roman" w:hAnsi="Calibri" w:cs="Times New Roman"/>
                <w:color w:val="000000"/>
                <w:lang w:val="fr-CA" w:eastAsia="en-CA"/>
              </w:rPr>
            </w:pPr>
            <w:r>
              <w:rPr>
                <w:rFonts w:ascii="Times New Roman" w:eastAsia="Times New Roman" w:hAnsi="Times New Roman" w:cs="Times New Roman"/>
                <w:b/>
                <w:bCs/>
                <w:color w:val="BF8F00" w:themeColor="accent4" w:themeShade="BF"/>
                <w:sz w:val="24"/>
                <w:szCs w:val="24"/>
                <w:lang w:val="fr-CA" w:eastAsia="en-CA"/>
              </w:rPr>
              <w:t>Travail 2</w:t>
            </w:r>
            <w:r w:rsidR="00A728CE" w:rsidRPr="00A728CE">
              <w:rPr>
                <w:rFonts w:ascii="Times New Roman" w:eastAsia="Times New Roman" w:hAnsi="Times New Roman" w:cs="Times New Roman"/>
                <w:b/>
                <w:bCs/>
                <w:color w:val="BF8F00" w:themeColor="accent4" w:themeShade="BF"/>
                <w:sz w:val="24"/>
                <w:szCs w:val="24"/>
                <w:lang w:val="fr-CA" w:eastAsia="en-CA"/>
              </w:rPr>
              <w:t>.1</w:t>
            </w:r>
          </w:p>
        </w:tc>
      </w:tr>
    </w:tbl>
    <w:p w:rsidR="004816FE" w:rsidRDefault="004816FE" w:rsidP="004816FE">
      <w:pPr>
        <w:spacing w:after="0" w:line="240" w:lineRule="auto"/>
        <w:jc w:val="both"/>
        <w:rPr>
          <w:rFonts w:ascii="Times New Roman" w:eastAsia="Times New Roman" w:hAnsi="Times New Roman" w:cs="Times New Roman"/>
          <w:b/>
          <w:color w:val="000000"/>
          <w:sz w:val="24"/>
          <w:szCs w:val="24"/>
          <w:lang w:val="fr-CA" w:eastAsia="en-CA"/>
        </w:rPr>
      </w:pPr>
    </w:p>
    <w:p w:rsidR="004816FE" w:rsidRPr="004816FE" w:rsidRDefault="004816FE" w:rsidP="004816FE">
      <w:pPr>
        <w:spacing w:before="120" w:after="0" w:line="240" w:lineRule="auto"/>
        <w:jc w:val="both"/>
        <w:rPr>
          <w:rFonts w:ascii="Calibri" w:eastAsia="Times New Roman" w:hAnsi="Calibri" w:cs="Times New Roman"/>
          <w:b/>
          <w:color w:val="000000"/>
          <w:lang w:eastAsia="en-CA"/>
        </w:rPr>
      </w:pPr>
      <w:r w:rsidRPr="004816FE">
        <w:rPr>
          <w:rFonts w:ascii="Times New Roman" w:eastAsia="Times New Roman" w:hAnsi="Times New Roman" w:cs="Times New Roman"/>
          <w:b/>
          <w:color w:val="000000"/>
          <w:sz w:val="24"/>
          <w:szCs w:val="24"/>
          <w:lang w:val="fr-CA" w:eastAsia="en-CA"/>
        </w:rPr>
        <w:t>À la lumière de la description des quatre approches présentées dans cette section, inscrivez à quelle approche vous associeriez chacune des citations ou extraits suivants. </w:t>
      </w:r>
      <w:proofErr w:type="spellStart"/>
      <w:r w:rsidRPr="004816FE">
        <w:rPr>
          <w:rFonts w:ascii="Times New Roman" w:eastAsia="Times New Roman" w:hAnsi="Times New Roman" w:cs="Times New Roman"/>
          <w:b/>
          <w:color w:val="000000"/>
          <w:sz w:val="24"/>
          <w:szCs w:val="24"/>
          <w:u w:val="single"/>
          <w:lang w:eastAsia="en-CA"/>
        </w:rPr>
        <w:t>Expliquer</w:t>
      </w:r>
      <w:proofErr w:type="spellEnd"/>
      <w:r w:rsidRPr="004816FE">
        <w:rPr>
          <w:rFonts w:ascii="Times New Roman" w:eastAsia="Times New Roman" w:hAnsi="Times New Roman" w:cs="Times New Roman"/>
          <w:b/>
          <w:color w:val="000000"/>
          <w:sz w:val="24"/>
          <w:szCs w:val="24"/>
          <w:u w:val="single"/>
          <w:lang w:eastAsia="en-CA"/>
        </w:rPr>
        <w:t xml:space="preserve"> </w:t>
      </w:r>
      <w:proofErr w:type="spellStart"/>
      <w:r w:rsidRPr="004816FE">
        <w:rPr>
          <w:rFonts w:ascii="Times New Roman" w:eastAsia="Times New Roman" w:hAnsi="Times New Roman" w:cs="Times New Roman"/>
          <w:b/>
          <w:color w:val="000000"/>
          <w:sz w:val="24"/>
          <w:szCs w:val="24"/>
          <w:u w:val="single"/>
          <w:lang w:eastAsia="en-CA"/>
        </w:rPr>
        <w:t>chaque</w:t>
      </w:r>
      <w:proofErr w:type="spellEnd"/>
      <w:r w:rsidRPr="004816FE">
        <w:rPr>
          <w:rFonts w:ascii="Times New Roman" w:eastAsia="Times New Roman" w:hAnsi="Times New Roman" w:cs="Times New Roman"/>
          <w:b/>
          <w:color w:val="000000"/>
          <w:sz w:val="24"/>
          <w:szCs w:val="24"/>
          <w:u w:val="single"/>
          <w:lang w:eastAsia="en-CA"/>
        </w:rPr>
        <w:t xml:space="preserve"> </w:t>
      </w:r>
      <w:proofErr w:type="spellStart"/>
      <w:r w:rsidRPr="004816FE">
        <w:rPr>
          <w:rFonts w:ascii="Times New Roman" w:eastAsia="Times New Roman" w:hAnsi="Times New Roman" w:cs="Times New Roman"/>
          <w:b/>
          <w:color w:val="000000"/>
          <w:sz w:val="24"/>
          <w:szCs w:val="24"/>
          <w:u w:val="single"/>
          <w:lang w:eastAsia="en-CA"/>
        </w:rPr>
        <w:t>choix</w:t>
      </w:r>
      <w:proofErr w:type="spellEnd"/>
      <w:r w:rsidRPr="004816FE">
        <w:rPr>
          <w:rFonts w:ascii="Times New Roman" w:eastAsia="Times New Roman" w:hAnsi="Times New Roman" w:cs="Times New Roman"/>
          <w:b/>
          <w:color w:val="000000"/>
          <w:sz w:val="24"/>
          <w:szCs w:val="24"/>
          <w:u w:val="single"/>
          <w:lang w:eastAsia="en-CA"/>
        </w:rPr>
        <w:t xml:space="preserve"> </w:t>
      </w:r>
      <w:proofErr w:type="spellStart"/>
      <w:r w:rsidRPr="004816FE">
        <w:rPr>
          <w:rFonts w:ascii="Times New Roman" w:eastAsia="Times New Roman" w:hAnsi="Times New Roman" w:cs="Times New Roman"/>
          <w:b/>
          <w:color w:val="000000"/>
          <w:sz w:val="24"/>
          <w:szCs w:val="24"/>
          <w:u w:val="single"/>
          <w:lang w:eastAsia="en-CA"/>
        </w:rPr>
        <w:t>en</w:t>
      </w:r>
      <w:proofErr w:type="spellEnd"/>
      <w:r w:rsidRPr="004816FE">
        <w:rPr>
          <w:rFonts w:ascii="Times New Roman" w:eastAsia="Times New Roman" w:hAnsi="Times New Roman" w:cs="Times New Roman"/>
          <w:b/>
          <w:color w:val="000000"/>
          <w:sz w:val="24"/>
          <w:szCs w:val="24"/>
          <w:u w:val="single"/>
          <w:lang w:eastAsia="en-CA"/>
        </w:rPr>
        <w:t xml:space="preserve"> </w:t>
      </w:r>
      <w:proofErr w:type="spellStart"/>
      <w:r w:rsidRPr="004816FE">
        <w:rPr>
          <w:rFonts w:ascii="Times New Roman" w:eastAsia="Times New Roman" w:hAnsi="Times New Roman" w:cs="Times New Roman"/>
          <w:b/>
          <w:color w:val="000000"/>
          <w:sz w:val="24"/>
          <w:szCs w:val="24"/>
          <w:u w:val="single"/>
          <w:lang w:eastAsia="en-CA"/>
        </w:rPr>
        <w:t>une</w:t>
      </w:r>
      <w:proofErr w:type="spellEnd"/>
      <w:r w:rsidRPr="004816FE">
        <w:rPr>
          <w:rFonts w:ascii="Times New Roman" w:eastAsia="Times New Roman" w:hAnsi="Times New Roman" w:cs="Times New Roman"/>
          <w:b/>
          <w:color w:val="000000"/>
          <w:sz w:val="24"/>
          <w:szCs w:val="24"/>
          <w:u w:val="single"/>
          <w:lang w:eastAsia="en-CA"/>
        </w:rPr>
        <w:t xml:space="preserve"> phrase </w:t>
      </w:r>
      <w:proofErr w:type="spellStart"/>
      <w:r w:rsidRPr="004816FE">
        <w:rPr>
          <w:rFonts w:ascii="Times New Roman" w:eastAsia="Times New Roman" w:hAnsi="Times New Roman" w:cs="Times New Roman"/>
          <w:b/>
          <w:color w:val="000000"/>
          <w:sz w:val="24"/>
          <w:szCs w:val="24"/>
          <w:u w:val="single"/>
          <w:lang w:eastAsia="en-CA"/>
        </w:rPr>
        <w:t>ou</w:t>
      </w:r>
      <w:proofErr w:type="spellEnd"/>
      <w:r w:rsidRPr="004816FE">
        <w:rPr>
          <w:rFonts w:ascii="Times New Roman" w:eastAsia="Times New Roman" w:hAnsi="Times New Roman" w:cs="Times New Roman"/>
          <w:b/>
          <w:color w:val="000000"/>
          <w:sz w:val="24"/>
          <w:szCs w:val="24"/>
          <w:u w:val="single"/>
          <w:lang w:eastAsia="en-CA"/>
        </w:rPr>
        <w:t xml:space="preserve"> </w:t>
      </w:r>
      <w:proofErr w:type="spellStart"/>
      <w:r w:rsidRPr="004816FE">
        <w:rPr>
          <w:rFonts w:ascii="Times New Roman" w:eastAsia="Times New Roman" w:hAnsi="Times New Roman" w:cs="Times New Roman"/>
          <w:b/>
          <w:color w:val="000000"/>
          <w:sz w:val="24"/>
          <w:szCs w:val="24"/>
          <w:u w:val="single"/>
          <w:lang w:eastAsia="en-CA"/>
        </w:rPr>
        <w:t>deux</w:t>
      </w:r>
      <w:proofErr w:type="spellEnd"/>
      <w:r w:rsidRPr="004816FE">
        <w:rPr>
          <w:rFonts w:ascii="Times New Roman" w:eastAsia="Times New Roman" w:hAnsi="Times New Roman" w:cs="Times New Roman"/>
          <w:b/>
          <w:color w:val="000000"/>
          <w:sz w:val="24"/>
          <w:szCs w:val="24"/>
          <w:lang w:eastAsia="en-CA"/>
        </w:rPr>
        <w:t>.</w:t>
      </w:r>
    </w:p>
    <w:p w:rsidR="004816FE" w:rsidRPr="004816FE" w:rsidRDefault="004816FE" w:rsidP="004816FE">
      <w:pPr>
        <w:spacing w:after="0" w:line="253" w:lineRule="atLeast"/>
        <w:jc w:val="both"/>
        <w:rPr>
          <w:rFonts w:ascii="Calibri" w:eastAsia="Times New Roman" w:hAnsi="Calibri" w:cs="Times New Roman"/>
          <w:b/>
          <w:color w:val="000000"/>
          <w:lang w:eastAsia="en-CA"/>
        </w:rPr>
      </w:pPr>
      <w:r w:rsidRPr="004816FE">
        <w:rPr>
          <w:rFonts w:ascii="Times New Roman" w:eastAsia="Times New Roman" w:hAnsi="Times New Roman" w:cs="Times New Roman"/>
          <w:b/>
          <w:color w:val="000000"/>
          <w:sz w:val="24"/>
          <w:szCs w:val="24"/>
          <w:lang w:eastAsia="en-CA"/>
        </w:rPr>
        <w:t> </w:t>
      </w:r>
    </w:p>
    <w:p w:rsidR="004816FE" w:rsidRPr="007F3DC2" w:rsidRDefault="004816FE" w:rsidP="004816FE">
      <w:pPr>
        <w:pStyle w:val="ListParagraph"/>
        <w:numPr>
          <w:ilvl w:val="0"/>
          <w:numId w:val="5"/>
        </w:numPr>
        <w:spacing w:line="253" w:lineRule="atLeast"/>
        <w:ind w:left="300" w:hanging="357"/>
        <w:jc w:val="both"/>
        <w:rPr>
          <w:rFonts w:ascii="Calibri" w:hAnsi="Calibri"/>
          <w:color w:val="000000"/>
        </w:rPr>
      </w:pPr>
      <w:r w:rsidRPr="004816FE">
        <w:rPr>
          <w:color w:val="000000"/>
        </w:rPr>
        <w:t>« All life is sacred or intrinsically valuable and worthy of being treated as the subject of human justice. Indeed, the recognition of intrinsic value in nonhuman creatures implies the recognition of their legitimate claims for appropriate treatment from the human community and, therefore, for some level of rights and human responsibilities » (Nash, 1993: 240).</w:t>
      </w:r>
    </w:p>
    <w:p w:rsidR="003157D5" w:rsidRDefault="003157D5" w:rsidP="003157D5">
      <w:pPr>
        <w:pStyle w:val="Heading2"/>
        <w:numPr>
          <w:ilvl w:val="0"/>
          <w:numId w:val="9"/>
        </w:numPr>
        <w:tabs>
          <w:tab w:val="left" w:pos="458"/>
        </w:tabs>
        <w:jc w:val="both"/>
        <w:rPr>
          <w:rFonts w:cs="Cambria"/>
          <w:b w:val="0"/>
          <w:bCs w:val="0"/>
        </w:rPr>
      </w:pPr>
      <w:r>
        <w:rPr>
          <w:color w:val="938953"/>
        </w:rPr>
        <w:t>Propositions</w:t>
      </w:r>
      <w:r>
        <w:rPr>
          <w:color w:val="938953"/>
          <w:spacing w:val="-1"/>
        </w:rPr>
        <w:t xml:space="preserve"> </w:t>
      </w:r>
      <w:proofErr w:type="spellStart"/>
      <w:r>
        <w:rPr>
          <w:color w:val="938953"/>
        </w:rPr>
        <w:t>écocentriques</w:t>
      </w:r>
      <w:proofErr w:type="spellEnd"/>
    </w:p>
    <w:p w:rsidR="007F3DC2" w:rsidRPr="003157D5" w:rsidRDefault="003157D5" w:rsidP="003157D5">
      <w:pPr>
        <w:pStyle w:val="ListParagraph"/>
        <w:numPr>
          <w:ilvl w:val="0"/>
          <w:numId w:val="11"/>
        </w:numPr>
        <w:spacing w:line="253" w:lineRule="atLeast"/>
        <w:jc w:val="both"/>
        <w:rPr>
          <w:rFonts w:ascii="Calibri" w:hAnsi="Calibri"/>
          <w:color w:val="000000"/>
          <w:lang w:val="fr-CA"/>
        </w:rPr>
      </w:pPr>
      <w:r w:rsidRPr="003157D5">
        <w:rPr>
          <w:rFonts w:ascii="Calibri" w:hAnsi="Calibri"/>
          <w:color w:val="000000"/>
          <w:lang w:val="fr-CA"/>
        </w:rPr>
        <w:t xml:space="preserve">Ici, on fait vraiment référence aux droits humains, sans trop tenir compte de l’environnement. </w:t>
      </w:r>
      <w:r>
        <w:rPr>
          <w:rFonts w:ascii="Calibri" w:hAnsi="Calibri"/>
          <w:color w:val="000000"/>
          <w:lang w:val="fr-CA"/>
        </w:rPr>
        <w:t>Sois, «</w:t>
      </w:r>
      <w:r w:rsidRPr="003157D5">
        <w:rPr>
          <w:rFonts w:ascii="Calibri" w:hAnsi="Calibri"/>
          <w:color w:val="000000"/>
          <w:lang w:val="fr-CA"/>
        </w:rPr>
        <w:t xml:space="preserve">La nature </w:t>
      </w:r>
      <w:proofErr w:type="gramStart"/>
      <w:r w:rsidRPr="003157D5">
        <w:rPr>
          <w:rFonts w:ascii="Calibri" w:hAnsi="Calibri"/>
          <w:color w:val="000000"/>
          <w:lang w:val="fr-CA"/>
        </w:rPr>
        <w:t>a</w:t>
      </w:r>
      <w:proofErr w:type="gramEnd"/>
      <w:r w:rsidRPr="003157D5">
        <w:rPr>
          <w:rFonts w:ascii="Calibri" w:hAnsi="Calibri"/>
          <w:color w:val="000000"/>
          <w:lang w:val="fr-CA"/>
        </w:rPr>
        <w:t xml:space="preserve"> une valeur intrinsèque et qu’elle doit être défendue pour elle-m</w:t>
      </w:r>
      <w:r>
        <w:rPr>
          <w:rFonts w:ascii="Calibri" w:hAnsi="Calibri"/>
          <w:color w:val="000000"/>
          <w:lang w:val="fr-CA"/>
        </w:rPr>
        <w:t xml:space="preserve">ême, et non pour les êtres humains qui en dépendent»  (Notes de cours, Taylor, 1998). </w:t>
      </w:r>
    </w:p>
    <w:p w:rsidR="004816FE" w:rsidRPr="00A15AAC" w:rsidRDefault="004816FE" w:rsidP="004816FE">
      <w:pPr>
        <w:pStyle w:val="ListParagraph"/>
        <w:numPr>
          <w:ilvl w:val="0"/>
          <w:numId w:val="5"/>
        </w:numPr>
        <w:spacing w:line="253" w:lineRule="atLeast"/>
        <w:ind w:left="300" w:hanging="357"/>
        <w:jc w:val="both"/>
        <w:rPr>
          <w:rFonts w:ascii="Calibri" w:hAnsi="Calibri"/>
          <w:color w:val="000000"/>
          <w:lang w:val="fr-CA"/>
        </w:rPr>
      </w:pPr>
      <w:r w:rsidRPr="004816FE">
        <w:rPr>
          <w:color w:val="000000"/>
          <w:sz w:val="22"/>
          <w:szCs w:val="22"/>
          <w:lang w:val="fr-CA"/>
        </w:rPr>
        <w:t>« [...] il convient d’offrir aux individus et à leurs groupements qui estiment que leur environnement est menacé, la possibilité d’intervenir avant qu’il ne soit trop tard, en les informant des projets pouvant leur être préjudiciables et en leur offrant la possibilité de participer aux décisions qui risqueraient de porter préjudice à leur droit » (</w:t>
      </w:r>
      <w:proofErr w:type="spellStart"/>
      <w:r w:rsidRPr="004816FE">
        <w:rPr>
          <w:color w:val="000000"/>
          <w:sz w:val="22"/>
          <w:szCs w:val="22"/>
          <w:lang w:val="fr-CA"/>
        </w:rPr>
        <w:t>Kiss</w:t>
      </w:r>
      <w:proofErr w:type="spellEnd"/>
      <w:r w:rsidRPr="004816FE">
        <w:rPr>
          <w:color w:val="000000"/>
          <w:sz w:val="22"/>
          <w:szCs w:val="22"/>
          <w:lang w:val="fr-CA"/>
        </w:rPr>
        <w:t>, 2004 :3).</w:t>
      </w:r>
    </w:p>
    <w:p w:rsidR="00A15AAC" w:rsidRPr="00370590" w:rsidRDefault="00A15AAC" w:rsidP="00A15AAC">
      <w:pPr>
        <w:pStyle w:val="Heading2"/>
        <w:numPr>
          <w:ilvl w:val="0"/>
          <w:numId w:val="9"/>
        </w:numPr>
        <w:tabs>
          <w:tab w:val="left" w:pos="458"/>
        </w:tabs>
        <w:spacing w:line="288" w:lineRule="auto"/>
        <w:ind w:right="124"/>
        <w:jc w:val="both"/>
        <w:rPr>
          <w:rFonts w:cs="Cambria"/>
          <w:b w:val="0"/>
          <w:bCs w:val="0"/>
          <w:lang w:val="fr-CA"/>
        </w:rPr>
      </w:pPr>
      <w:r w:rsidRPr="00370590">
        <w:rPr>
          <w:color w:val="938953"/>
          <w:lang w:val="fr-CA"/>
        </w:rPr>
        <w:t>Considération procédurale du droit à l’environnement</w:t>
      </w:r>
      <w:r w:rsidRPr="00370590">
        <w:rPr>
          <w:color w:val="938953"/>
          <w:spacing w:val="46"/>
          <w:lang w:val="fr-CA"/>
        </w:rPr>
        <w:t xml:space="preserve"> </w:t>
      </w:r>
      <w:r w:rsidRPr="00370590">
        <w:rPr>
          <w:color w:val="938953"/>
          <w:lang w:val="fr-CA"/>
        </w:rPr>
        <w:t>et</w:t>
      </w:r>
      <w:r w:rsidRPr="00370590">
        <w:rPr>
          <w:color w:val="938953"/>
          <w:w w:val="99"/>
          <w:lang w:val="fr-CA"/>
        </w:rPr>
        <w:t xml:space="preserve"> </w:t>
      </w:r>
      <w:r w:rsidRPr="00370590">
        <w:rPr>
          <w:rFonts w:cs="Cambria"/>
          <w:color w:val="938953"/>
          <w:lang w:val="fr-CA"/>
        </w:rPr>
        <w:t>renforcement des droits civils et politiques en faveur de la</w:t>
      </w:r>
      <w:r w:rsidRPr="00370590">
        <w:rPr>
          <w:rFonts w:cs="Cambria"/>
          <w:color w:val="938953"/>
          <w:spacing w:val="-19"/>
          <w:lang w:val="fr-CA"/>
        </w:rPr>
        <w:t xml:space="preserve"> </w:t>
      </w:r>
      <w:r w:rsidRPr="00370590">
        <w:rPr>
          <w:rFonts w:cs="Cambria"/>
          <w:color w:val="938953"/>
          <w:lang w:val="fr-CA"/>
        </w:rPr>
        <w:t>protection</w:t>
      </w:r>
      <w:r w:rsidRPr="00370590">
        <w:rPr>
          <w:rFonts w:cs="Cambria"/>
          <w:color w:val="938953"/>
          <w:w w:val="99"/>
          <w:lang w:val="fr-CA"/>
        </w:rPr>
        <w:t xml:space="preserve"> </w:t>
      </w:r>
      <w:r w:rsidRPr="00370590">
        <w:rPr>
          <w:color w:val="938953"/>
          <w:lang w:val="fr-CA"/>
        </w:rPr>
        <w:t>de</w:t>
      </w:r>
      <w:r w:rsidRPr="00370590">
        <w:rPr>
          <w:color w:val="938953"/>
          <w:spacing w:val="-2"/>
          <w:lang w:val="fr-CA"/>
        </w:rPr>
        <w:t xml:space="preserve"> </w:t>
      </w:r>
      <w:r w:rsidRPr="00370590">
        <w:rPr>
          <w:color w:val="938953"/>
          <w:lang w:val="fr-CA"/>
        </w:rPr>
        <w:t>l’</w:t>
      </w:r>
      <w:r w:rsidRPr="00370590">
        <w:rPr>
          <w:rFonts w:cs="Cambria"/>
          <w:color w:val="938953"/>
          <w:lang w:val="fr-CA"/>
        </w:rPr>
        <w:t>environnement</w:t>
      </w:r>
    </w:p>
    <w:p w:rsidR="00EB04FF" w:rsidRPr="00A15AAC" w:rsidRDefault="00A15AAC" w:rsidP="00062B5E">
      <w:pPr>
        <w:pStyle w:val="ListParagraph"/>
        <w:numPr>
          <w:ilvl w:val="0"/>
          <w:numId w:val="10"/>
        </w:numPr>
        <w:spacing w:line="253" w:lineRule="atLeast"/>
        <w:ind w:left="300"/>
        <w:jc w:val="both"/>
        <w:rPr>
          <w:rFonts w:ascii="Calibri" w:hAnsi="Calibri"/>
          <w:color w:val="000000"/>
          <w:lang w:val="fr-CA"/>
        </w:rPr>
      </w:pPr>
      <w:r w:rsidRPr="00A15AAC">
        <w:rPr>
          <w:rFonts w:ascii="Calibri" w:hAnsi="Calibri"/>
          <w:color w:val="000000"/>
          <w:lang w:val="fr-CA"/>
        </w:rPr>
        <w:t xml:space="preserve">On fait allusion que les individus ont droit de participer aux prises de décisions touchant l’environnement, ou d’avoir accès  à de l’information qui concerne l’environnement. </w:t>
      </w:r>
    </w:p>
    <w:p w:rsidR="004816FE" w:rsidRPr="00EB04FF" w:rsidRDefault="004816FE" w:rsidP="004816FE">
      <w:pPr>
        <w:pStyle w:val="ListParagraph"/>
        <w:numPr>
          <w:ilvl w:val="0"/>
          <w:numId w:val="5"/>
        </w:numPr>
        <w:spacing w:line="253" w:lineRule="atLeast"/>
        <w:ind w:left="300" w:hanging="357"/>
        <w:jc w:val="both"/>
        <w:rPr>
          <w:rFonts w:ascii="Calibri" w:hAnsi="Calibri"/>
          <w:color w:val="000000"/>
        </w:rPr>
      </w:pPr>
      <w:r w:rsidRPr="004816FE">
        <w:rPr>
          <w:color w:val="000000"/>
          <w:sz w:val="22"/>
          <w:szCs w:val="22"/>
        </w:rPr>
        <w:t>« The protection of the environment is likewise a vital part of contemporary human rights doctrine, for it is a sine qua non for numerous human rights such as the right to health and the right to life itself. It is scarcely necessary to elaborate on this, as damage to the environment can impair and undermine all the human rights spoken of in the Universal Declaration and other human rights instruments » (</w:t>
      </w:r>
      <w:proofErr w:type="spellStart"/>
      <w:r w:rsidRPr="004816FE">
        <w:rPr>
          <w:color w:val="000000"/>
          <w:sz w:val="22"/>
          <w:szCs w:val="22"/>
        </w:rPr>
        <w:t>Juge</w:t>
      </w:r>
      <w:proofErr w:type="spellEnd"/>
      <w:r w:rsidRPr="004816FE">
        <w:rPr>
          <w:color w:val="000000"/>
          <w:sz w:val="22"/>
          <w:szCs w:val="22"/>
        </w:rPr>
        <w:t> </w:t>
      </w:r>
      <w:proofErr w:type="spellStart"/>
      <w:r w:rsidRPr="004816FE">
        <w:rPr>
          <w:color w:val="000000"/>
          <w:sz w:val="22"/>
          <w:szCs w:val="22"/>
        </w:rPr>
        <w:t>Weeremantry</w:t>
      </w:r>
      <w:proofErr w:type="spellEnd"/>
      <w:r w:rsidRPr="004816FE">
        <w:rPr>
          <w:color w:val="000000"/>
          <w:sz w:val="22"/>
          <w:szCs w:val="22"/>
        </w:rPr>
        <w:t>, 1997: 89).</w:t>
      </w:r>
    </w:p>
    <w:p w:rsidR="00970083" w:rsidRPr="00370590" w:rsidRDefault="00970083" w:rsidP="00970083">
      <w:pPr>
        <w:pStyle w:val="Heading2"/>
        <w:numPr>
          <w:ilvl w:val="0"/>
          <w:numId w:val="9"/>
        </w:numPr>
        <w:tabs>
          <w:tab w:val="left" w:pos="458"/>
        </w:tabs>
        <w:spacing w:line="288" w:lineRule="auto"/>
        <w:ind w:right="119"/>
        <w:rPr>
          <w:rFonts w:cs="Cambria"/>
          <w:b w:val="0"/>
          <w:bCs w:val="0"/>
          <w:lang w:val="fr-CA"/>
        </w:rPr>
      </w:pPr>
      <w:r w:rsidRPr="00370590">
        <w:rPr>
          <w:color w:val="938953"/>
          <w:lang w:val="fr-CA"/>
        </w:rPr>
        <w:t>Formulation d’un droit humain à l’environnement substantiel</w:t>
      </w:r>
      <w:r w:rsidRPr="00370590">
        <w:rPr>
          <w:color w:val="938953"/>
          <w:spacing w:val="39"/>
          <w:lang w:val="fr-CA"/>
        </w:rPr>
        <w:t xml:space="preserve"> </w:t>
      </w:r>
      <w:r w:rsidRPr="00370590">
        <w:rPr>
          <w:color w:val="938953"/>
          <w:lang w:val="fr-CA"/>
        </w:rPr>
        <w:t>et</w:t>
      </w:r>
      <w:r w:rsidRPr="00370590">
        <w:rPr>
          <w:color w:val="938953"/>
          <w:w w:val="99"/>
          <w:lang w:val="fr-CA"/>
        </w:rPr>
        <w:t xml:space="preserve"> </w:t>
      </w:r>
      <w:r w:rsidRPr="00370590">
        <w:rPr>
          <w:rFonts w:cs="Cambria"/>
          <w:color w:val="938953"/>
          <w:lang w:val="fr-CA"/>
        </w:rPr>
        <w:lastRenderedPageBreak/>
        <w:t>autonome</w:t>
      </w:r>
    </w:p>
    <w:p w:rsidR="00EB04FF" w:rsidRPr="00970083" w:rsidRDefault="003157D5" w:rsidP="00970083">
      <w:pPr>
        <w:pStyle w:val="ListParagraph"/>
        <w:numPr>
          <w:ilvl w:val="0"/>
          <w:numId w:val="10"/>
        </w:numPr>
        <w:spacing w:line="253" w:lineRule="atLeast"/>
        <w:jc w:val="both"/>
        <w:rPr>
          <w:rFonts w:ascii="Calibri" w:hAnsi="Calibri"/>
          <w:color w:val="000000"/>
          <w:lang w:val="fr-CA"/>
        </w:rPr>
      </w:pPr>
      <w:r>
        <w:rPr>
          <w:rFonts w:ascii="Calibri" w:hAnsi="Calibri"/>
          <w:color w:val="000000"/>
          <w:lang w:val="fr-CA"/>
        </w:rPr>
        <w:t xml:space="preserve">Ici on parle d’avoir un environnement sain, vivable, d’avoir un environnement équilibré. </w:t>
      </w:r>
    </w:p>
    <w:p w:rsidR="004816FE" w:rsidRPr="007F3DC2" w:rsidRDefault="004816FE" w:rsidP="004816FE">
      <w:pPr>
        <w:pStyle w:val="ListParagraph"/>
        <w:numPr>
          <w:ilvl w:val="0"/>
          <w:numId w:val="5"/>
        </w:numPr>
        <w:spacing w:line="253" w:lineRule="atLeast"/>
        <w:ind w:left="300" w:hanging="357"/>
        <w:jc w:val="both"/>
        <w:rPr>
          <w:rFonts w:ascii="Calibri" w:hAnsi="Calibri"/>
          <w:color w:val="000000"/>
          <w:lang w:val="fr-CA"/>
        </w:rPr>
      </w:pPr>
      <w:r w:rsidRPr="004816FE">
        <w:rPr>
          <w:color w:val="000000"/>
          <w:sz w:val="22"/>
          <w:szCs w:val="22"/>
          <w:lang w:val="fr-CA"/>
        </w:rPr>
        <w:t>« Tout être humain a le droit fondamental à un environnement suffisant pour assurer sa santé et son bien-être » (CMED, 1986 : p.40).</w:t>
      </w:r>
    </w:p>
    <w:p w:rsidR="007F3DC2" w:rsidRPr="00370590" w:rsidRDefault="007F3DC2" w:rsidP="007F3DC2">
      <w:pPr>
        <w:pStyle w:val="Heading2"/>
        <w:numPr>
          <w:ilvl w:val="0"/>
          <w:numId w:val="8"/>
        </w:numPr>
        <w:tabs>
          <w:tab w:val="left" w:pos="598"/>
        </w:tabs>
        <w:spacing w:line="288" w:lineRule="auto"/>
        <w:ind w:right="143"/>
        <w:rPr>
          <w:rFonts w:cs="Cambria"/>
          <w:b w:val="0"/>
          <w:bCs w:val="0"/>
          <w:lang w:val="fr-CA"/>
        </w:rPr>
      </w:pPr>
      <w:r w:rsidRPr="00370590">
        <w:rPr>
          <w:color w:val="938953"/>
          <w:lang w:val="fr-CA"/>
        </w:rPr>
        <w:t>Considération de l’environnement dans l’interprétation des</w:t>
      </w:r>
      <w:r w:rsidRPr="00370590">
        <w:rPr>
          <w:color w:val="938953"/>
          <w:spacing w:val="22"/>
          <w:lang w:val="fr-CA"/>
        </w:rPr>
        <w:t xml:space="preserve"> </w:t>
      </w:r>
      <w:r w:rsidRPr="00370590">
        <w:rPr>
          <w:color w:val="938953"/>
          <w:lang w:val="fr-CA"/>
        </w:rPr>
        <w:t>droits</w:t>
      </w:r>
      <w:r w:rsidRPr="00370590">
        <w:rPr>
          <w:color w:val="938953"/>
          <w:w w:val="99"/>
          <w:lang w:val="fr-CA"/>
        </w:rPr>
        <w:t xml:space="preserve"> </w:t>
      </w:r>
      <w:r w:rsidRPr="00370590">
        <w:rPr>
          <w:rFonts w:cs="Cambria"/>
          <w:color w:val="938953"/>
          <w:lang w:val="fr-CA"/>
        </w:rPr>
        <w:t>existants</w:t>
      </w:r>
    </w:p>
    <w:p w:rsidR="007F3DC2" w:rsidRPr="004816FE" w:rsidRDefault="007F3DC2" w:rsidP="007F3DC2">
      <w:pPr>
        <w:pStyle w:val="ListParagraph"/>
        <w:numPr>
          <w:ilvl w:val="0"/>
          <w:numId w:val="7"/>
        </w:numPr>
        <w:spacing w:line="253" w:lineRule="atLeast"/>
        <w:jc w:val="both"/>
        <w:rPr>
          <w:rFonts w:ascii="Calibri" w:hAnsi="Calibri"/>
          <w:color w:val="000000"/>
          <w:lang w:val="fr-CA"/>
        </w:rPr>
      </w:pPr>
      <w:r>
        <w:rPr>
          <w:rFonts w:ascii="Calibri" w:hAnsi="Calibri"/>
          <w:color w:val="000000"/>
          <w:lang w:val="fr-CA"/>
        </w:rPr>
        <w:t xml:space="preserve">Dans cette approche, on prend en compte, et on met de l’emphase sur le droit à la santé vis-à-vis l’environnement. Comme la pollution qui serait considéré comme une violation du droit de la santé. </w:t>
      </w:r>
    </w:p>
    <w:tbl>
      <w:tblPr>
        <w:tblStyle w:val="TableGrid"/>
        <w:tblW w:w="0" w:type="auto"/>
        <w:tblLook w:val="04A0" w:firstRow="1" w:lastRow="0" w:firstColumn="1" w:lastColumn="0" w:noHBand="0" w:noVBand="1"/>
      </w:tblPr>
      <w:tblGrid>
        <w:gridCol w:w="8630"/>
      </w:tblGrid>
      <w:tr w:rsidR="00A728CE" w:rsidTr="00BC788A">
        <w:tc>
          <w:tcPr>
            <w:tcW w:w="8630" w:type="dxa"/>
            <w:tcBorders>
              <w:top w:val="nil"/>
              <w:left w:val="nil"/>
              <w:right w:val="nil"/>
            </w:tcBorders>
          </w:tcPr>
          <w:p w:rsidR="00A728CE" w:rsidRDefault="00A728CE" w:rsidP="00BC788A">
            <w:pPr>
              <w:spacing w:before="120"/>
              <w:rPr>
                <w:rFonts w:ascii="Calibri" w:eastAsia="Times New Roman" w:hAnsi="Calibri" w:cs="Times New Roman"/>
                <w:color w:val="000000"/>
                <w:lang w:val="fr-CA" w:eastAsia="en-CA"/>
              </w:rPr>
            </w:pPr>
            <w:r>
              <w:rPr>
                <w:rFonts w:ascii="Times New Roman" w:eastAsia="Times New Roman" w:hAnsi="Times New Roman" w:cs="Times New Roman"/>
                <w:b/>
                <w:bCs/>
                <w:color w:val="BF8F00" w:themeColor="accent4" w:themeShade="BF"/>
                <w:sz w:val="24"/>
                <w:szCs w:val="24"/>
                <w:lang w:val="fr-CA" w:eastAsia="en-CA"/>
              </w:rPr>
              <w:t>T</w:t>
            </w:r>
            <w:r w:rsidR="004816FE">
              <w:rPr>
                <w:rFonts w:ascii="Times New Roman" w:eastAsia="Times New Roman" w:hAnsi="Times New Roman" w:cs="Times New Roman"/>
                <w:b/>
                <w:bCs/>
                <w:color w:val="BF8F00" w:themeColor="accent4" w:themeShade="BF"/>
                <w:sz w:val="24"/>
                <w:szCs w:val="24"/>
                <w:lang w:val="fr-CA" w:eastAsia="en-CA"/>
              </w:rPr>
              <w:t>ravail 2</w:t>
            </w:r>
            <w:r>
              <w:rPr>
                <w:rFonts w:ascii="Times New Roman" w:eastAsia="Times New Roman" w:hAnsi="Times New Roman" w:cs="Times New Roman"/>
                <w:b/>
                <w:bCs/>
                <w:color w:val="BF8F00" w:themeColor="accent4" w:themeShade="BF"/>
                <w:sz w:val="24"/>
                <w:szCs w:val="24"/>
                <w:lang w:val="fr-CA" w:eastAsia="en-CA"/>
              </w:rPr>
              <w:t>.2</w:t>
            </w:r>
          </w:p>
        </w:tc>
      </w:tr>
    </w:tbl>
    <w:p w:rsidR="004816FE" w:rsidRPr="004816FE" w:rsidRDefault="00A728CE" w:rsidP="004816FE">
      <w:pPr>
        <w:spacing w:after="0" w:line="253" w:lineRule="atLeast"/>
        <w:rPr>
          <w:rFonts w:ascii="Calibri" w:eastAsia="Times New Roman" w:hAnsi="Calibri" w:cs="Times New Roman"/>
          <w:color w:val="000000"/>
          <w:lang w:val="fr-CA" w:eastAsia="en-CA"/>
        </w:rPr>
      </w:pPr>
      <w:r w:rsidRPr="00A728CE">
        <w:rPr>
          <w:rFonts w:ascii="Times New Roman" w:eastAsia="Times New Roman" w:hAnsi="Times New Roman" w:cs="Times New Roman"/>
          <w:color w:val="000000"/>
          <w:lang w:val="fr-CA" w:eastAsia="en-CA"/>
        </w:rPr>
        <w:t> </w:t>
      </w:r>
    </w:p>
    <w:p w:rsidR="004816FE" w:rsidRPr="004816FE" w:rsidRDefault="004816FE" w:rsidP="004816FE">
      <w:pPr>
        <w:spacing w:before="120" w:after="0" w:line="253" w:lineRule="atLeast"/>
        <w:jc w:val="both"/>
        <w:rPr>
          <w:rFonts w:ascii="Calibri" w:eastAsia="Times New Roman" w:hAnsi="Calibri" w:cs="Times New Roman"/>
          <w:b/>
          <w:color w:val="000000"/>
          <w:lang w:val="fr-CA" w:eastAsia="en-CA"/>
        </w:rPr>
      </w:pPr>
      <w:r w:rsidRPr="004816FE">
        <w:rPr>
          <w:rFonts w:ascii="Times New Roman" w:eastAsia="Times New Roman" w:hAnsi="Times New Roman" w:cs="Times New Roman"/>
          <w:b/>
          <w:color w:val="000000"/>
          <w:sz w:val="24"/>
          <w:szCs w:val="24"/>
          <w:lang w:val="fr-CA" w:eastAsia="en-CA"/>
        </w:rPr>
        <w:t>À partir des lectures associées à cette section du module, répondez aux questions suivantes :</w:t>
      </w:r>
    </w:p>
    <w:p w:rsidR="004816FE" w:rsidRPr="00A2303B" w:rsidRDefault="004816FE" w:rsidP="004816FE">
      <w:pPr>
        <w:pStyle w:val="ListParagraph"/>
        <w:numPr>
          <w:ilvl w:val="0"/>
          <w:numId w:val="4"/>
        </w:numPr>
        <w:spacing w:line="253" w:lineRule="atLeast"/>
        <w:ind w:left="357" w:hanging="357"/>
        <w:jc w:val="both"/>
        <w:rPr>
          <w:rFonts w:ascii="Calibri" w:hAnsi="Calibri"/>
          <w:color w:val="000000"/>
          <w:lang w:val="fr-CA"/>
        </w:rPr>
      </w:pPr>
      <w:r w:rsidRPr="004816FE">
        <w:rPr>
          <w:color w:val="000000"/>
          <w:lang w:val="fr-CA"/>
        </w:rPr>
        <w:t>Dans quels deux textes régionaux le droit à l’environnement est-il énoncé clairement?</w:t>
      </w:r>
    </w:p>
    <w:p w:rsidR="00A2303B" w:rsidRPr="005355B0" w:rsidRDefault="00A2303B" w:rsidP="00A2303B">
      <w:pPr>
        <w:pStyle w:val="ListParagraph"/>
        <w:spacing w:line="253" w:lineRule="atLeast"/>
        <w:ind w:left="357"/>
        <w:jc w:val="both"/>
        <w:rPr>
          <w:color w:val="000000"/>
          <w:lang w:val="fr-CA"/>
        </w:rPr>
      </w:pPr>
      <w:r>
        <w:rPr>
          <w:color w:val="000000"/>
          <w:lang w:val="fr-CA"/>
        </w:rPr>
        <w:t>-</w:t>
      </w:r>
      <w:r w:rsidR="005355B0">
        <w:rPr>
          <w:color w:val="000000"/>
          <w:lang w:val="fr-CA"/>
        </w:rPr>
        <w:t xml:space="preserve"> La premi</w:t>
      </w:r>
      <w:r w:rsidR="005355B0" w:rsidRPr="005355B0">
        <w:rPr>
          <w:color w:val="000000"/>
          <w:lang w:val="fr-CA"/>
        </w:rPr>
        <w:t xml:space="preserve">ère référence ou le droit est énoncé clairement est dans </w:t>
      </w:r>
      <w:r w:rsidR="005355B0">
        <w:rPr>
          <w:color w:val="000000"/>
          <w:lang w:val="fr-CA"/>
        </w:rPr>
        <w:t xml:space="preserve">le pacte international relatif aux droits économiques, sociaux et culturels. À l’article 12, ou chaque personne a droit d’avoir un meilleur état de santé, sois physique ou mentale, qu’elle est capable d’atteindre. </w:t>
      </w:r>
    </w:p>
    <w:p w:rsidR="00A2303B" w:rsidRPr="005355B0" w:rsidRDefault="00A2303B" w:rsidP="00A2303B">
      <w:pPr>
        <w:pStyle w:val="ListParagraph"/>
        <w:spacing w:line="253" w:lineRule="atLeast"/>
        <w:ind w:left="357"/>
        <w:jc w:val="both"/>
        <w:rPr>
          <w:color w:val="000000"/>
          <w:lang w:val="fr-CA"/>
        </w:rPr>
      </w:pPr>
      <w:r>
        <w:rPr>
          <w:color w:val="000000"/>
          <w:lang w:val="fr-CA"/>
        </w:rPr>
        <w:t>-</w:t>
      </w:r>
      <w:r w:rsidR="005355B0">
        <w:rPr>
          <w:color w:val="000000"/>
          <w:lang w:val="fr-CA"/>
        </w:rPr>
        <w:t>Ensuite dans la déclaration de Stockholm, qui affirme que l’homme a le doit à la liberté, à l’égalité, à des conditions de vie satisfaisante, « dans un environnement dont la qualit</w:t>
      </w:r>
      <w:r w:rsidR="007058C9">
        <w:rPr>
          <w:color w:val="000000"/>
          <w:lang w:val="fr-CA"/>
        </w:rPr>
        <w:t>é</w:t>
      </w:r>
      <w:r w:rsidR="005355B0">
        <w:rPr>
          <w:color w:val="000000"/>
          <w:lang w:val="fr-CA"/>
        </w:rPr>
        <w:t xml:space="preserve"> lui permet de vivre dans la dignité et le bien-être » (</w:t>
      </w:r>
      <w:proofErr w:type="spellStart"/>
      <w:r w:rsidR="005355B0">
        <w:rPr>
          <w:color w:val="000000"/>
          <w:lang w:val="fr-CA"/>
        </w:rPr>
        <w:t>Déclaratin</w:t>
      </w:r>
      <w:proofErr w:type="spellEnd"/>
      <w:r w:rsidR="005355B0">
        <w:rPr>
          <w:color w:val="000000"/>
          <w:lang w:val="fr-CA"/>
        </w:rPr>
        <w:t xml:space="preserve"> de Stockholm). </w:t>
      </w:r>
    </w:p>
    <w:p w:rsidR="00A728CE" w:rsidRPr="002C438B" w:rsidRDefault="004816FE" w:rsidP="004816FE">
      <w:pPr>
        <w:pStyle w:val="ListParagraph"/>
        <w:numPr>
          <w:ilvl w:val="0"/>
          <w:numId w:val="4"/>
        </w:numPr>
        <w:spacing w:line="253" w:lineRule="atLeast"/>
        <w:ind w:left="357" w:hanging="357"/>
        <w:jc w:val="both"/>
        <w:rPr>
          <w:rFonts w:ascii="Calibri" w:hAnsi="Calibri"/>
          <w:color w:val="000000"/>
          <w:lang w:val="fr-CA"/>
        </w:rPr>
      </w:pPr>
      <w:r w:rsidRPr="004816FE">
        <w:rPr>
          <w:color w:val="000000"/>
          <w:sz w:val="22"/>
          <w:szCs w:val="22"/>
          <w:lang w:val="fr-CA"/>
        </w:rPr>
        <w:t xml:space="preserve">Le cas de l’Europe est parfois qualifié de «verdissement </w:t>
      </w:r>
      <w:r w:rsidRPr="004816FE">
        <w:rPr>
          <w:color w:val="000000"/>
          <w:lang w:val="fr-CA"/>
        </w:rPr>
        <w:t xml:space="preserve">des droits humains». En 15 à 20 </w:t>
      </w:r>
      <w:r w:rsidRPr="004816FE">
        <w:rPr>
          <w:color w:val="000000"/>
          <w:sz w:val="22"/>
          <w:szCs w:val="22"/>
          <w:lang w:val="fr-CA"/>
        </w:rPr>
        <w:t>lignes, expliquez le sens de cette expression en recourant à des exemples et arguments du texte de </w:t>
      </w:r>
      <w:proofErr w:type="spellStart"/>
      <w:r w:rsidRPr="004816FE">
        <w:rPr>
          <w:color w:val="000000"/>
          <w:sz w:val="22"/>
          <w:szCs w:val="22"/>
          <w:lang w:val="fr-CA"/>
        </w:rPr>
        <w:t>Déjeant</w:t>
      </w:r>
      <w:proofErr w:type="spellEnd"/>
      <w:r w:rsidRPr="004816FE">
        <w:rPr>
          <w:color w:val="000000"/>
          <w:sz w:val="22"/>
          <w:szCs w:val="22"/>
          <w:lang w:val="fr-CA"/>
        </w:rPr>
        <w:t>-Pons.</w:t>
      </w:r>
    </w:p>
    <w:p w:rsidR="002C438B" w:rsidRPr="004816FE" w:rsidRDefault="002C438B" w:rsidP="002C438B">
      <w:pPr>
        <w:pStyle w:val="ListParagraph"/>
        <w:numPr>
          <w:ilvl w:val="0"/>
          <w:numId w:val="7"/>
        </w:numPr>
        <w:spacing w:line="253" w:lineRule="atLeast"/>
        <w:jc w:val="both"/>
        <w:rPr>
          <w:rFonts w:ascii="Calibri" w:hAnsi="Calibri"/>
          <w:color w:val="000000"/>
          <w:lang w:val="fr-CA"/>
        </w:rPr>
      </w:pPr>
      <w:r>
        <w:rPr>
          <w:color w:val="000000"/>
          <w:sz w:val="22"/>
          <w:szCs w:val="22"/>
          <w:lang w:val="fr-CA"/>
        </w:rPr>
        <w:t xml:space="preserve">Les peuples </w:t>
      </w:r>
      <w:r w:rsidR="00B25010">
        <w:rPr>
          <w:color w:val="000000"/>
          <w:sz w:val="22"/>
          <w:szCs w:val="22"/>
          <w:lang w:val="fr-CA"/>
        </w:rPr>
        <w:t>auraient</w:t>
      </w:r>
      <w:r>
        <w:rPr>
          <w:color w:val="000000"/>
          <w:sz w:val="22"/>
          <w:szCs w:val="22"/>
          <w:lang w:val="fr-CA"/>
        </w:rPr>
        <w:t xml:space="preserve"> la libre disposition de leurs richesses et de leurs ressources naturelles. </w:t>
      </w:r>
    </w:p>
    <w:tbl>
      <w:tblPr>
        <w:tblStyle w:val="TableGrid"/>
        <w:tblW w:w="0" w:type="auto"/>
        <w:tblLook w:val="04A0" w:firstRow="1" w:lastRow="0" w:firstColumn="1" w:lastColumn="0" w:noHBand="0" w:noVBand="1"/>
      </w:tblPr>
      <w:tblGrid>
        <w:gridCol w:w="8630"/>
      </w:tblGrid>
      <w:tr w:rsidR="00A728CE" w:rsidTr="00BC788A">
        <w:tc>
          <w:tcPr>
            <w:tcW w:w="8630" w:type="dxa"/>
            <w:tcBorders>
              <w:top w:val="nil"/>
              <w:left w:val="nil"/>
              <w:right w:val="nil"/>
            </w:tcBorders>
          </w:tcPr>
          <w:p w:rsidR="00A728CE" w:rsidRDefault="004816FE" w:rsidP="00BC788A">
            <w:pPr>
              <w:spacing w:before="120"/>
              <w:rPr>
                <w:rFonts w:ascii="Calibri" w:eastAsia="Times New Roman" w:hAnsi="Calibri" w:cs="Times New Roman"/>
                <w:color w:val="000000"/>
                <w:lang w:val="fr-CA" w:eastAsia="en-CA"/>
              </w:rPr>
            </w:pPr>
            <w:r>
              <w:rPr>
                <w:rFonts w:ascii="Times New Roman" w:eastAsia="Times New Roman" w:hAnsi="Times New Roman" w:cs="Times New Roman"/>
                <w:b/>
                <w:bCs/>
                <w:color w:val="BF8F00" w:themeColor="accent4" w:themeShade="BF"/>
                <w:sz w:val="24"/>
                <w:szCs w:val="24"/>
                <w:lang w:val="fr-CA" w:eastAsia="en-CA"/>
              </w:rPr>
              <w:t>Travail 2</w:t>
            </w:r>
            <w:r w:rsidR="00A728CE">
              <w:rPr>
                <w:rFonts w:ascii="Times New Roman" w:eastAsia="Times New Roman" w:hAnsi="Times New Roman" w:cs="Times New Roman"/>
                <w:b/>
                <w:bCs/>
                <w:color w:val="BF8F00" w:themeColor="accent4" w:themeShade="BF"/>
                <w:sz w:val="24"/>
                <w:szCs w:val="24"/>
                <w:lang w:val="fr-CA" w:eastAsia="en-CA"/>
              </w:rPr>
              <w:t>.3 Bilan</w:t>
            </w:r>
          </w:p>
        </w:tc>
      </w:tr>
    </w:tbl>
    <w:p w:rsidR="004816FE" w:rsidRDefault="004816FE" w:rsidP="004816FE">
      <w:pPr>
        <w:spacing w:after="0" w:line="253" w:lineRule="atLeast"/>
        <w:rPr>
          <w:rFonts w:ascii="Times New Roman" w:eastAsia="Times New Roman" w:hAnsi="Times New Roman" w:cs="Times New Roman"/>
          <w:color w:val="000000"/>
          <w:sz w:val="24"/>
          <w:szCs w:val="24"/>
          <w:lang w:val="fr-CA" w:eastAsia="en-CA"/>
        </w:rPr>
      </w:pPr>
    </w:p>
    <w:p w:rsidR="004816FE" w:rsidRPr="00B25010" w:rsidRDefault="004816FE" w:rsidP="004816FE">
      <w:pPr>
        <w:pStyle w:val="ListParagraph"/>
        <w:numPr>
          <w:ilvl w:val="0"/>
          <w:numId w:val="6"/>
        </w:numPr>
        <w:spacing w:line="253" w:lineRule="atLeast"/>
        <w:ind w:left="357" w:hanging="357"/>
        <w:rPr>
          <w:rFonts w:ascii="Calibri" w:hAnsi="Calibri"/>
          <w:color w:val="000000"/>
          <w:lang w:val="fr-CA"/>
        </w:rPr>
      </w:pPr>
      <w:r w:rsidRPr="004816FE">
        <w:rPr>
          <w:color w:val="000000"/>
          <w:lang w:val="fr-CA"/>
        </w:rPr>
        <w:t>Quels principaux apprentissages avez-vous réalisés dans ce module? Répondez en 15 à 20 lignes.</w:t>
      </w:r>
    </w:p>
    <w:p w:rsidR="00B25010" w:rsidRPr="007058C9" w:rsidRDefault="00B25010" w:rsidP="00B25010">
      <w:pPr>
        <w:pStyle w:val="ListParagraph"/>
        <w:numPr>
          <w:ilvl w:val="0"/>
          <w:numId w:val="7"/>
        </w:numPr>
        <w:spacing w:line="253" w:lineRule="atLeast"/>
        <w:rPr>
          <w:rFonts w:ascii="Calibri" w:hAnsi="Calibri"/>
          <w:color w:val="000000"/>
          <w:lang w:val="fr-CA"/>
        </w:rPr>
      </w:pPr>
      <w:r>
        <w:rPr>
          <w:color w:val="000000"/>
          <w:lang w:val="fr-CA"/>
        </w:rPr>
        <w:lastRenderedPageBreak/>
        <w:t>Je crois qu’il est possible de mentionner que puisque je ne connais absolument rien sur l’environnement et le droit humain, que tout ce qui a été couvert dans ce chapitre consiste à des apprentissages réalisés.</w:t>
      </w:r>
      <w:r w:rsidR="007058C9">
        <w:rPr>
          <w:color w:val="000000"/>
          <w:lang w:val="fr-CA"/>
        </w:rPr>
        <w:t xml:space="preserve"> Mais plus précisément, les 5 articles qui énonce que la nature doit être respectée, que la vie de chaque espèce dans l’environnement ne sois pas compromise, etc. On parle de l’environnement et des droits humains, et on pense plus souvent qu’autrement aux désastres naturelles, et les conditions de vie dont les individus vient dedans, etc. On ne pense pas à la nature en tant que telle, que les individus doivent respecter la nature. </w:t>
      </w:r>
    </w:p>
    <w:p w:rsidR="007058C9" w:rsidRPr="004816FE" w:rsidRDefault="007058C9" w:rsidP="007058C9">
      <w:pPr>
        <w:pStyle w:val="ListParagraph"/>
        <w:spacing w:line="253" w:lineRule="atLeast"/>
        <w:ind w:left="660"/>
        <w:rPr>
          <w:rFonts w:ascii="Calibri" w:hAnsi="Calibri"/>
          <w:color w:val="000000"/>
          <w:lang w:val="fr-CA"/>
        </w:rPr>
      </w:pPr>
      <w:r>
        <w:rPr>
          <w:color w:val="000000"/>
          <w:lang w:val="fr-CA"/>
        </w:rPr>
        <w:t xml:space="preserve">Il va en soi, que le contexte, et le domaine du droit humain et de l’environnement est un sujet complexe. </w:t>
      </w:r>
    </w:p>
    <w:p w:rsidR="004816FE" w:rsidRPr="007058C9" w:rsidRDefault="004816FE" w:rsidP="004816FE">
      <w:pPr>
        <w:pStyle w:val="ListParagraph"/>
        <w:numPr>
          <w:ilvl w:val="0"/>
          <w:numId w:val="6"/>
        </w:numPr>
        <w:spacing w:line="253" w:lineRule="atLeast"/>
        <w:ind w:left="357" w:hanging="357"/>
        <w:rPr>
          <w:rFonts w:ascii="Calibri" w:hAnsi="Calibri"/>
          <w:color w:val="000000"/>
          <w:lang w:val="fr-CA"/>
        </w:rPr>
      </w:pPr>
      <w:r w:rsidRPr="004816FE">
        <w:rPr>
          <w:color w:val="000000"/>
          <w:lang w:val="fr-CA"/>
        </w:rPr>
        <w:t xml:space="preserve">Parmi les différentes approches qui permettent d’articuler environnement et droits humains, y en </w:t>
      </w:r>
      <w:proofErr w:type="spellStart"/>
      <w:r w:rsidRPr="004816FE">
        <w:rPr>
          <w:color w:val="000000"/>
          <w:lang w:val="fr-CA"/>
        </w:rPr>
        <w:t>a-t-il</w:t>
      </w:r>
      <w:proofErr w:type="spellEnd"/>
      <w:r w:rsidRPr="004816FE">
        <w:rPr>
          <w:color w:val="000000"/>
          <w:lang w:val="fr-CA"/>
        </w:rPr>
        <w:t xml:space="preserve"> une qui vous paraît plus intéressante que les autres? Expliquez votre choix en 10 à 15 lignes.</w:t>
      </w:r>
    </w:p>
    <w:p w:rsidR="007058C9" w:rsidRPr="004816FE" w:rsidRDefault="007058C9" w:rsidP="007058C9">
      <w:pPr>
        <w:pStyle w:val="ListParagraph"/>
        <w:numPr>
          <w:ilvl w:val="0"/>
          <w:numId w:val="7"/>
        </w:numPr>
        <w:spacing w:line="253" w:lineRule="atLeast"/>
        <w:rPr>
          <w:rFonts w:ascii="Calibri" w:hAnsi="Calibri"/>
          <w:color w:val="000000"/>
          <w:lang w:val="fr-CA"/>
        </w:rPr>
      </w:pPr>
      <w:r>
        <w:rPr>
          <w:rFonts w:ascii="Calibri" w:hAnsi="Calibri"/>
          <w:color w:val="000000"/>
          <w:lang w:val="fr-CA"/>
        </w:rPr>
        <w:t xml:space="preserve">J’ai </w:t>
      </w:r>
      <w:r w:rsidR="00CA0747">
        <w:rPr>
          <w:rFonts w:ascii="Calibri" w:hAnsi="Calibri"/>
          <w:color w:val="000000"/>
          <w:lang w:val="fr-CA"/>
        </w:rPr>
        <w:t>trouvé</w:t>
      </w:r>
      <w:r>
        <w:rPr>
          <w:rFonts w:ascii="Calibri" w:hAnsi="Calibri"/>
          <w:color w:val="000000"/>
          <w:lang w:val="fr-CA"/>
        </w:rPr>
        <w:t xml:space="preserve"> que la 3</w:t>
      </w:r>
      <w:r w:rsidRPr="007058C9">
        <w:rPr>
          <w:rFonts w:ascii="Calibri" w:hAnsi="Calibri"/>
          <w:color w:val="000000"/>
          <w:vertAlign w:val="superscript"/>
          <w:lang w:val="fr-CA"/>
        </w:rPr>
        <w:t>e</w:t>
      </w:r>
      <w:r>
        <w:rPr>
          <w:rFonts w:ascii="Calibri" w:hAnsi="Calibri"/>
          <w:color w:val="000000"/>
          <w:lang w:val="fr-CA"/>
        </w:rPr>
        <w:t xml:space="preserve"> approche, la formulation d’un droit humain à l’environnement substantiel et </w:t>
      </w:r>
      <w:r w:rsidR="00CA0747">
        <w:rPr>
          <w:rFonts w:ascii="Calibri" w:hAnsi="Calibri"/>
          <w:color w:val="000000"/>
          <w:lang w:val="fr-CA"/>
        </w:rPr>
        <w:t>automne</w:t>
      </w:r>
      <w:r>
        <w:rPr>
          <w:rFonts w:ascii="Calibri" w:hAnsi="Calibri"/>
          <w:color w:val="000000"/>
          <w:lang w:val="fr-CA"/>
        </w:rPr>
        <w:t xml:space="preserve">, était particulièrement </w:t>
      </w:r>
      <w:proofErr w:type="gramStart"/>
      <w:r w:rsidR="00CA0747">
        <w:rPr>
          <w:rFonts w:ascii="Calibri" w:hAnsi="Calibri"/>
          <w:color w:val="000000"/>
          <w:lang w:val="fr-CA"/>
        </w:rPr>
        <w:t>inté</w:t>
      </w:r>
      <w:bookmarkStart w:id="0" w:name="_GoBack"/>
      <w:bookmarkEnd w:id="0"/>
      <w:r w:rsidR="00CA0747">
        <w:rPr>
          <w:rFonts w:ascii="Calibri" w:hAnsi="Calibri"/>
          <w:color w:val="000000"/>
          <w:lang w:val="fr-CA"/>
        </w:rPr>
        <w:t>ressante</w:t>
      </w:r>
      <w:proofErr w:type="gramEnd"/>
      <w:r>
        <w:rPr>
          <w:rFonts w:ascii="Calibri" w:hAnsi="Calibri"/>
          <w:color w:val="000000"/>
          <w:lang w:val="fr-CA"/>
        </w:rPr>
        <w:t>. Elle se rapproche de la 1</w:t>
      </w:r>
      <w:r>
        <w:rPr>
          <w:rFonts w:ascii="Calibri" w:hAnsi="Calibri"/>
          <w:color w:val="000000"/>
          <w:vertAlign w:val="superscript"/>
          <w:lang w:val="fr-CA"/>
        </w:rPr>
        <w:t xml:space="preserve">ère </w:t>
      </w:r>
      <w:r>
        <w:rPr>
          <w:rFonts w:ascii="Calibri" w:hAnsi="Calibri"/>
          <w:color w:val="000000"/>
          <w:lang w:val="fr-CA"/>
        </w:rPr>
        <w:t xml:space="preserve">approche, dans le sens </w:t>
      </w:r>
      <w:r w:rsidR="00CA0747">
        <w:rPr>
          <w:rFonts w:ascii="Calibri" w:hAnsi="Calibri"/>
          <w:color w:val="000000"/>
          <w:lang w:val="fr-CA"/>
        </w:rPr>
        <w:t xml:space="preserve">ou on peut « exiger un environnement de qualité sans avoir à prouver qu’il y a </w:t>
      </w:r>
      <w:proofErr w:type="spellStart"/>
      <w:r w:rsidR="00CA0747">
        <w:rPr>
          <w:rFonts w:ascii="Calibri" w:hAnsi="Calibri"/>
          <w:color w:val="000000"/>
          <w:lang w:val="fr-CA"/>
        </w:rPr>
        <w:t>menace</w:t>
      </w:r>
      <w:proofErr w:type="spellEnd"/>
      <w:r w:rsidR="00CA0747">
        <w:rPr>
          <w:rFonts w:ascii="Calibri" w:hAnsi="Calibri"/>
          <w:color w:val="000000"/>
          <w:lang w:val="fr-CA"/>
        </w:rPr>
        <w:t xml:space="preserve"> à notre santé, notre alimentation ou à une autre droit existant » (Note de cours, module 2). Je trouve que cette approche tient beaucoup en compte la qualité de l’environnement dans lequel les gens vivent. </w:t>
      </w:r>
    </w:p>
    <w:p w:rsidR="004816FE" w:rsidRPr="006E3078" w:rsidRDefault="004816FE" w:rsidP="004816FE">
      <w:pPr>
        <w:pStyle w:val="ListParagraph"/>
        <w:numPr>
          <w:ilvl w:val="0"/>
          <w:numId w:val="6"/>
        </w:numPr>
        <w:spacing w:line="253" w:lineRule="atLeast"/>
        <w:ind w:left="357" w:hanging="357"/>
        <w:rPr>
          <w:rFonts w:ascii="Calibri" w:hAnsi="Calibri"/>
          <w:color w:val="000000"/>
          <w:lang w:val="fr-CA"/>
        </w:rPr>
      </w:pPr>
      <w:r w:rsidRPr="004816FE">
        <w:rPr>
          <w:color w:val="000000"/>
          <w:lang w:val="fr-CA"/>
        </w:rPr>
        <w:t>Quel est, selon vous, l’intérêt d’analyser les enjeux environnementaux du point de vue des droits?  Répondez en 15 à 20 lignes.</w:t>
      </w:r>
    </w:p>
    <w:p w:rsidR="006E3078" w:rsidRPr="004816FE" w:rsidRDefault="00FF0717" w:rsidP="006E3078">
      <w:pPr>
        <w:pStyle w:val="ListParagraph"/>
        <w:numPr>
          <w:ilvl w:val="0"/>
          <w:numId w:val="7"/>
        </w:numPr>
        <w:spacing w:line="253" w:lineRule="atLeast"/>
        <w:rPr>
          <w:rFonts w:ascii="Calibri" w:hAnsi="Calibri"/>
          <w:color w:val="000000"/>
          <w:lang w:val="fr-CA"/>
        </w:rPr>
      </w:pPr>
      <w:r>
        <w:rPr>
          <w:color w:val="000000"/>
          <w:lang w:val="fr-CA"/>
        </w:rPr>
        <w:t>Je crois honnêtement que l’analyse des enjeux environnementaux du point de vue des droits humains nous permet d’avoir une différente opinion, ou une certaine connaissance sur ce qu’est le droit de l’environnement dans certaine société. Il est important d’analyser les enjeux de l’environnement pour savoir comment on peut arriver à obtenir des meilleurs conditions de vie, comment s’adapter à certaines situations en cas de désastres naturelle, et comment tenir compte des droits de l’homme peu importe dan</w:t>
      </w:r>
      <w:r w:rsidR="00083040">
        <w:rPr>
          <w:color w:val="000000"/>
          <w:lang w:val="fr-CA"/>
        </w:rPr>
        <w:t xml:space="preserve">s quel situations il se trouve dans son environnement. De plus, la meilleur façon de traiter les questions d’environnement, c’est d’assurer que chaque individu participe et que chaque aient accès à l’information relative. </w:t>
      </w:r>
    </w:p>
    <w:p w:rsidR="004816FE" w:rsidRPr="00083040" w:rsidRDefault="004816FE" w:rsidP="004816FE">
      <w:pPr>
        <w:pStyle w:val="ListParagraph"/>
        <w:numPr>
          <w:ilvl w:val="0"/>
          <w:numId w:val="6"/>
        </w:numPr>
        <w:spacing w:line="253" w:lineRule="atLeast"/>
        <w:ind w:left="357" w:hanging="357"/>
        <w:rPr>
          <w:rFonts w:ascii="Calibri" w:hAnsi="Calibri"/>
          <w:color w:val="000000"/>
          <w:lang w:val="fr-CA"/>
        </w:rPr>
      </w:pPr>
      <w:r w:rsidRPr="004816FE">
        <w:rPr>
          <w:color w:val="000000"/>
          <w:lang w:val="fr-CA"/>
        </w:rPr>
        <w:t>Quelle(s) question(s) vous posez-vous au terme de ce module?</w:t>
      </w:r>
    </w:p>
    <w:p w:rsidR="00083040" w:rsidRPr="004816FE" w:rsidRDefault="00083040" w:rsidP="00083040">
      <w:pPr>
        <w:pStyle w:val="ListParagraph"/>
        <w:numPr>
          <w:ilvl w:val="0"/>
          <w:numId w:val="7"/>
        </w:numPr>
        <w:spacing w:line="253" w:lineRule="atLeast"/>
        <w:rPr>
          <w:rFonts w:ascii="Calibri" w:hAnsi="Calibri"/>
          <w:color w:val="000000"/>
          <w:lang w:val="fr-CA"/>
        </w:rPr>
      </w:pPr>
      <w:r>
        <w:rPr>
          <w:rFonts w:ascii="Calibri" w:hAnsi="Calibri"/>
          <w:color w:val="000000"/>
          <w:lang w:val="fr-CA"/>
        </w:rPr>
        <w:t>En quoi, ou de quoi parle-t-on lorsqu’on parle d’environnement</w:t>
      </w:r>
      <w:r w:rsidR="00B25010">
        <w:rPr>
          <w:rFonts w:ascii="Calibri" w:hAnsi="Calibri"/>
          <w:color w:val="000000"/>
          <w:lang w:val="fr-CA"/>
        </w:rPr>
        <w:t xml:space="preserve">. Sois que l’environnement consiste aux ressources naturelles, etc. En ce qui concerne l’environnement et le droit humain, c’est encore flou un peu lorsque vient le temps de faire les liens entre les deux. </w:t>
      </w:r>
    </w:p>
    <w:p w:rsidR="00BC13B0" w:rsidRPr="004816FE" w:rsidRDefault="00CA0747" w:rsidP="004816FE">
      <w:pPr>
        <w:spacing w:line="253" w:lineRule="atLeast"/>
        <w:jc w:val="both"/>
        <w:rPr>
          <w:lang w:val="fr-CA"/>
        </w:rPr>
      </w:pPr>
    </w:p>
    <w:sectPr w:rsidR="00BC13B0" w:rsidRPr="004816F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911FD7"/>
    <w:multiLevelType w:val="hybridMultilevel"/>
    <w:tmpl w:val="717E6754"/>
    <w:lvl w:ilvl="0" w:tplc="9BAEE886">
      <w:start w:val="1"/>
      <w:numFmt w:val="bullet"/>
      <w:lvlText w:val=""/>
      <w:lvlJc w:val="left"/>
      <w:pPr>
        <w:ind w:left="598" w:hanging="358"/>
      </w:pPr>
      <w:rPr>
        <w:rFonts w:ascii="Wingdings" w:eastAsia="Wingdings" w:hAnsi="Wingdings" w:hint="default"/>
        <w:color w:val="938953"/>
        <w:w w:val="99"/>
        <w:sz w:val="26"/>
        <w:szCs w:val="26"/>
      </w:rPr>
    </w:lvl>
    <w:lvl w:ilvl="1" w:tplc="236C3484">
      <w:start w:val="1"/>
      <w:numFmt w:val="bullet"/>
      <w:lvlText w:val="•"/>
      <w:lvlJc w:val="left"/>
      <w:pPr>
        <w:ind w:left="1442" w:hanging="358"/>
      </w:pPr>
      <w:rPr>
        <w:rFonts w:hint="default"/>
      </w:rPr>
    </w:lvl>
    <w:lvl w:ilvl="2" w:tplc="FE2C890E">
      <w:start w:val="1"/>
      <w:numFmt w:val="bullet"/>
      <w:lvlText w:val="•"/>
      <w:lvlJc w:val="left"/>
      <w:pPr>
        <w:ind w:left="2284" w:hanging="358"/>
      </w:pPr>
      <w:rPr>
        <w:rFonts w:hint="default"/>
      </w:rPr>
    </w:lvl>
    <w:lvl w:ilvl="3" w:tplc="7408E1CA">
      <w:start w:val="1"/>
      <w:numFmt w:val="bullet"/>
      <w:lvlText w:val="•"/>
      <w:lvlJc w:val="left"/>
      <w:pPr>
        <w:ind w:left="3126" w:hanging="358"/>
      </w:pPr>
      <w:rPr>
        <w:rFonts w:hint="default"/>
      </w:rPr>
    </w:lvl>
    <w:lvl w:ilvl="4" w:tplc="80FCBB4A">
      <w:start w:val="1"/>
      <w:numFmt w:val="bullet"/>
      <w:lvlText w:val="•"/>
      <w:lvlJc w:val="left"/>
      <w:pPr>
        <w:ind w:left="3968" w:hanging="358"/>
      </w:pPr>
      <w:rPr>
        <w:rFonts w:hint="default"/>
      </w:rPr>
    </w:lvl>
    <w:lvl w:ilvl="5" w:tplc="A760AE2C">
      <w:start w:val="1"/>
      <w:numFmt w:val="bullet"/>
      <w:lvlText w:val="•"/>
      <w:lvlJc w:val="left"/>
      <w:pPr>
        <w:ind w:left="4810" w:hanging="358"/>
      </w:pPr>
      <w:rPr>
        <w:rFonts w:hint="default"/>
      </w:rPr>
    </w:lvl>
    <w:lvl w:ilvl="6" w:tplc="6924F0E8">
      <w:start w:val="1"/>
      <w:numFmt w:val="bullet"/>
      <w:lvlText w:val="•"/>
      <w:lvlJc w:val="left"/>
      <w:pPr>
        <w:ind w:left="5652" w:hanging="358"/>
      </w:pPr>
      <w:rPr>
        <w:rFonts w:hint="default"/>
      </w:rPr>
    </w:lvl>
    <w:lvl w:ilvl="7" w:tplc="820211E4">
      <w:start w:val="1"/>
      <w:numFmt w:val="bullet"/>
      <w:lvlText w:val="•"/>
      <w:lvlJc w:val="left"/>
      <w:pPr>
        <w:ind w:left="6494" w:hanging="358"/>
      </w:pPr>
      <w:rPr>
        <w:rFonts w:hint="default"/>
      </w:rPr>
    </w:lvl>
    <w:lvl w:ilvl="8" w:tplc="DF5A0D92">
      <w:start w:val="1"/>
      <w:numFmt w:val="bullet"/>
      <w:lvlText w:val="•"/>
      <w:lvlJc w:val="left"/>
      <w:pPr>
        <w:ind w:left="7336" w:hanging="358"/>
      </w:pPr>
      <w:rPr>
        <w:rFonts w:hint="default"/>
      </w:rPr>
    </w:lvl>
  </w:abstractNum>
  <w:abstractNum w:abstractNumId="1" w15:restartNumberingAfterBreak="0">
    <w:nsid w:val="19C676F4"/>
    <w:multiLevelType w:val="hybridMultilevel"/>
    <w:tmpl w:val="9D8EFA48"/>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ABC2C23"/>
    <w:multiLevelType w:val="hybridMultilevel"/>
    <w:tmpl w:val="EBD039AE"/>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F5749F7"/>
    <w:multiLevelType w:val="hybridMultilevel"/>
    <w:tmpl w:val="B724585E"/>
    <w:lvl w:ilvl="0" w:tplc="10090019">
      <w:start w:val="1"/>
      <w:numFmt w:val="lowerLetter"/>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4" w15:restartNumberingAfterBreak="0">
    <w:nsid w:val="2FF74B5F"/>
    <w:multiLevelType w:val="hybridMultilevel"/>
    <w:tmpl w:val="98B25B84"/>
    <w:lvl w:ilvl="0" w:tplc="D2CA0986">
      <w:numFmt w:val="bullet"/>
      <w:lvlText w:val="-"/>
      <w:lvlJc w:val="left"/>
      <w:pPr>
        <w:ind w:left="660" w:hanging="360"/>
      </w:pPr>
      <w:rPr>
        <w:rFonts w:ascii="Calibri" w:eastAsia="Times New Roman" w:hAnsi="Calibri" w:cs="Times New Roman"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5" w15:restartNumberingAfterBreak="0">
    <w:nsid w:val="421735C4"/>
    <w:multiLevelType w:val="hybridMultilevel"/>
    <w:tmpl w:val="C318ECC6"/>
    <w:lvl w:ilvl="0" w:tplc="2F5EA266">
      <w:numFmt w:val="bullet"/>
      <w:lvlText w:val="-"/>
      <w:lvlJc w:val="left"/>
      <w:pPr>
        <w:ind w:left="660" w:hanging="360"/>
      </w:pPr>
      <w:rPr>
        <w:rFonts w:ascii="Times New Roman" w:eastAsia="Times New Roman" w:hAnsi="Times New Roman" w:cs="Times New Roman" w:hint="default"/>
        <w:sz w:val="22"/>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6" w15:restartNumberingAfterBreak="0">
    <w:nsid w:val="484302E5"/>
    <w:multiLevelType w:val="hybridMultilevel"/>
    <w:tmpl w:val="CEEE1EDA"/>
    <w:lvl w:ilvl="0" w:tplc="5DF4E38A">
      <w:numFmt w:val="bullet"/>
      <w:lvlText w:val="-"/>
      <w:lvlJc w:val="left"/>
      <w:pPr>
        <w:ind w:left="660" w:hanging="360"/>
      </w:pPr>
      <w:rPr>
        <w:rFonts w:ascii="Calibri" w:eastAsia="Times New Roman" w:hAnsi="Calibri" w:cs="Times New Roman"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7" w15:restartNumberingAfterBreak="0">
    <w:nsid w:val="4A893734"/>
    <w:multiLevelType w:val="hybridMultilevel"/>
    <w:tmpl w:val="066807FC"/>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57286EB9"/>
    <w:multiLevelType w:val="hybridMultilevel"/>
    <w:tmpl w:val="EAD489A6"/>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73E3EDF"/>
    <w:multiLevelType w:val="hybridMultilevel"/>
    <w:tmpl w:val="65DABDB6"/>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690661DF"/>
    <w:multiLevelType w:val="hybridMultilevel"/>
    <w:tmpl w:val="CEB0C11C"/>
    <w:lvl w:ilvl="0" w:tplc="F106056A">
      <w:start w:val="1"/>
      <w:numFmt w:val="bullet"/>
      <w:lvlText w:val=""/>
      <w:lvlJc w:val="left"/>
      <w:pPr>
        <w:ind w:left="458" w:hanging="358"/>
      </w:pPr>
      <w:rPr>
        <w:rFonts w:ascii="Wingdings" w:eastAsia="Wingdings" w:hAnsi="Wingdings" w:hint="default"/>
        <w:color w:val="938953"/>
        <w:w w:val="99"/>
        <w:sz w:val="26"/>
        <w:szCs w:val="26"/>
      </w:rPr>
    </w:lvl>
    <w:lvl w:ilvl="1" w:tplc="F2429462">
      <w:start w:val="1"/>
      <w:numFmt w:val="bullet"/>
      <w:lvlText w:val="•"/>
      <w:lvlJc w:val="left"/>
      <w:pPr>
        <w:ind w:left="1300" w:hanging="358"/>
      </w:pPr>
      <w:rPr>
        <w:rFonts w:hint="default"/>
      </w:rPr>
    </w:lvl>
    <w:lvl w:ilvl="2" w:tplc="DE9EEB8C">
      <w:start w:val="1"/>
      <w:numFmt w:val="bullet"/>
      <w:lvlText w:val="•"/>
      <w:lvlJc w:val="left"/>
      <w:pPr>
        <w:ind w:left="2140" w:hanging="358"/>
      </w:pPr>
      <w:rPr>
        <w:rFonts w:hint="default"/>
      </w:rPr>
    </w:lvl>
    <w:lvl w:ilvl="3" w:tplc="02560706">
      <w:start w:val="1"/>
      <w:numFmt w:val="bullet"/>
      <w:lvlText w:val="•"/>
      <w:lvlJc w:val="left"/>
      <w:pPr>
        <w:ind w:left="2980" w:hanging="358"/>
      </w:pPr>
      <w:rPr>
        <w:rFonts w:hint="default"/>
      </w:rPr>
    </w:lvl>
    <w:lvl w:ilvl="4" w:tplc="EAB82226">
      <w:start w:val="1"/>
      <w:numFmt w:val="bullet"/>
      <w:lvlText w:val="•"/>
      <w:lvlJc w:val="left"/>
      <w:pPr>
        <w:ind w:left="3820" w:hanging="358"/>
      </w:pPr>
      <w:rPr>
        <w:rFonts w:hint="default"/>
      </w:rPr>
    </w:lvl>
    <w:lvl w:ilvl="5" w:tplc="90E296CE">
      <w:start w:val="1"/>
      <w:numFmt w:val="bullet"/>
      <w:lvlText w:val="•"/>
      <w:lvlJc w:val="left"/>
      <w:pPr>
        <w:ind w:left="4660" w:hanging="358"/>
      </w:pPr>
      <w:rPr>
        <w:rFonts w:hint="default"/>
      </w:rPr>
    </w:lvl>
    <w:lvl w:ilvl="6" w:tplc="FD66E0B0">
      <w:start w:val="1"/>
      <w:numFmt w:val="bullet"/>
      <w:lvlText w:val="•"/>
      <w:lvlJc w:val="left"/>
      <w:pPr>
        <w:ind w:left="5500" w:hanging="358"/>
      </w:pPr>
      <w:rPr>
        <w:rFonts w:hint="default"/>
      </w:rPr>
    </w:lvl>
    <w:lvl w:ilvl="7" w:tplc="6A20BB02">
      <w:start w:val="1"/>
      <w:numFmt w:val="bullet"/>
      <w:lvlText w:val="•"/>
      <w:lvlJc w:val="left"/>
      <w:pPr>
        <w:ind w:left="6340" w:hanging="358"/>
      </w:pPr>
      <w:rPr>
        <w:rFonts w:hint="default"/>
      </w:rPr>
    </w:lvl>
    <w:lvl w:ilvl="8" w:tplc="D5F23870">
      <w:start w:val="1"/>
      <w:numFmt w:val="bullet"/>
      <w:lvlText w:val="•"/>
      <w:lvlJc w:val="left"/>
      <w:pPr>
        <w:ind w:left="7180" w:hanging="358"/>
      </w:pPr>
      <w:rPr>
        <w:rFonts w:hint="default"/>
      </w:rPr>
    </w:lvl>
  </w:abstractNum>
  <w:num w:numId="1">
    <w:abstractNumId w:val="7"/>
  </w:num>
  <w:num w:numId="2">
    <w:abstractNumId w:val="8"/>
  </w:num>
  <w:num w:numId="3">
    <w:abstractNumId w:val="9"/>
  </w:num>
  <w:num w:numId="4">
    <w:abstractNumId w:val="1"/>
  </w:num>
  <w:num w:numId="5">
    <w:abstractNumId w:val="3"/>
  </w:num>
  <w:num w:numId="6">
    <w:abstractNumId w:val="2"/>
  </w:num>
  <w:num w:numId="7">
    <w:abstractNumId w:val="5"/>
  </w:num>
  <w:num w:numId="8">
    <w:abstractNumId w:val="0"/>
  </w:num>
  <w:num w:numId="9">
    <w:abstractNumId w:val="1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8CE"/>
    <w:rsid w:val="00083040"/>
    <w:rsid w:val="002C438B"/>
    <w:rsid w:val="003157D5"/>
    <w:rsid w:val="004816FE"/>
    <w:rsid w:val="005355B0"/>
    <w:rsid w:val="006E3078"/>
    <w:rsid w:val="007058C9"/>
    <w:rsid w:val="007F3DC2"/>
    <w:rsid w:val="009411AC"/>
    <w:rsid w:val="00970083"/>
    <w:rsid w:val="00A15AAC"/>
    <w:rsid w:val="00A2303B"/>
    <w:rsid w:val="00A728CE"/>
    <w:rsid w:val="00B25010"/>
    <w:rsid w:val="00CA0747"/>
    <w:rsid w:val="00EB04FF"/>
    <w:rsid w:val="00F07B9C"/>
    <w:rsid w:val="00FF07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9AF653-AD77-49D8-9786-410EA6EFB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1"/>
    <w:qFormat/>
    <w:rsid w:val="007F3DC2"/>
    <w:pPr>
      <w:widowControl w:val="0"/>
      <w:spacing w:after="0" w:line="240" w:lineRule="auto"/>
      <w:ind w:left="458" w:hanging="358"/>
      <w:outlineLvl w:val="1"/>
    </w:pPr>
    <w:rPr>
      <w:rFonts w:ascii="Cambria" w:eastAsia="Cambria" w:hAnsi="Cambria"/>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8C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A728CE"/>
  </w:style>
  <w:style w:type="character" w:customStyle="1" w:styleId="spelle">
    <w:name w:val="spelle"/>
    <w:basedOn w:val="DefaultParagraphFont"/>
    <w:rsid w:val="00A728CE"/>
  </w:style>
  <w:style w:type="table" w:styleId="TableGrid">
    <w:name w:val="Table Grid"/>
    <w:basedOn w:val="TableNormal"/>
    <w:uiPriority w:val="39"/>
    <w:rsid w:val="00A72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1"/>
    <w:rsid w:val="007F3DC2"/>
    <w:rPr>
      <w:rFonts w:ascii="Cambria" w:eastAsia="Cambria" w:hAnsi="Cambria"/>
      <w:b/>
      <w:bCs/>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082924">
      <w:bodyDiv w:val="1"/>
      <w:marLeft w:val="0"/>
      <w:marRight w:val="0"/>
      <w:marTop w:val="0"/>
      <w:marBottom w:val="0"/>
      <w:divBdr>
        <w:top w:val="none" w:sz="0" w:space="0" w:color="auto"/>
        <w:left w:val="none" w:sz="0" w:space="0" w:color="auto"/>
        <w:bottom w:val="none" w:sz="0" w:space="0" w:color="auto"/>
        <w:right w:val="none" w:sz="0" w:space="0" w:color="auto"/>
      </w:divBdr>
    </w:div>
    <w:div w:id="123227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953</Words>
  <Characters>5433</Characters>
  <Application>Microsoft Office Word</Application>
  <DocSecurity>0</DocSecurity>
  <Lines>45</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clarence desmarais</dc:creator>
  <cp:keywords/>
  <dc:description/>
  <cp:lastModifiedBy>mylene delorme</cp:lastModifiedBy>
  <cp:revision>4</cp:revision>
  <dcterms:created xsi:type="dcterms:W3CDTF">2016-02-03T21:17:00Z</dcterms:created>
  <dcterms:modified xsi:type="dcterms:W3CDTF">2016-02-03T23:26:00Z</dcterms:modified>
</cp:coreProperties>
</file>