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020" w:rsidRPr="00BC3020" w:rsidRDefault="00BC3020" w:rsidP="00BC3020">
      <w:pPr>
        <w:spacing w:before="60" w:after="60"/>
        <w:rPr>
          <w:rFonts w:ascii="Arial" w:hAnsi="Arial" w:cs="Arial"/>
        </w:rPr>
      </w:pPr>
      <w:bookmarkStart w:id="0" w:name="_GoBack"/>
      <w:bookmarkEnd w:id="0"/>
      <w:r w:rsidRPr="00BC3020">
        <w:rPr>
          <w:rFonts w:ascii="Arial" w:hAnsi="Arial" w:cs="Arial"/>
        </w:rPr>
        <w:t>Chapter 7 (Remember - for this chapter treat all bonds just like long term liabilities and do not worry about the bond amortization)</w:t>
      </w:r>
    </w:p>
    <w:p w:rsidR="00BC3020" w:rsidRPr="00BC3020" w:rsidRDefault="00BC3020" w:rsidP="00BC3020">
      <w:pPr>
        <w:spacing w:before="60" w:after="60"/>
        <w:rPr>
          <w:rFonts w:ascii="Arial" w:hAnsi="Arial" w:cs="Arial"/>
        </w:rPr>
      </w:pPr>
      <w:r w:rsidRPr="00BC3020">
        <w:rPr>
          <w:rFonts w:ascii="Arial" w:hAnsi="Arial" w:cs="Arial"/>
        </w:rPr>
        <w:t>2, 3, 5, 8a, 9</w:t>
      </w:r>
      <w:proofErr w:type="gramStart"/>
      <w:r w:rsidRPr="00BC3020">
        <w:rPr>
          <w:rFonts w:ascii="Arial" w:hAnsi="Arial" w:cs="Arial"/>
        </w:rPr>
        <w:t>,15,16</w:t>
      </w:r>
      <w:proofErr w:type="gramEnd"/>
    </w:p>
    <w:p w:rsidR="00BC3020" w:rsidRPr="00BC3020" w:rsidRDefault="00BC3020" w:rsidP="00BC3020">
      <w:pPr>
        <w:spacing w:before="60" w:after="60"/>
        <w:rPr>
          <w:rFonts w:ascii="Arial" w:hAnsi="Arial" w:cs="Arial"/>
        </w:rPr>
      </w:pPr>
      <w:r w:rsidRPr="00BC3020">
        <w:rPr>
          <w:rFonts w:ascii="Arial" w:hAnsi="Arial" w:cs="Arial"/>
        </w:rPr>
        <w:t>Chapter 10 - 1</w:t>
      </w:r>
      <w:proofErr w:type="gramStart"/>
      <w:r w:rsidRPr="00BC3020">
        <w:rPr>
          <w:rFonts w:ascii="Arial" w:hAnsi="Arial" w:cs="Arial"/>
        </w:rPr>
        <w:t>,2,5,6,11</w:t>
      </w:r>
      <w:proofErr w:type="gramEnd"/>
      <w:r w:rsidRPr="00BC3020">
        <w:rPr>
          <w:rFonts w:ascii="Arial" w:hAnsi="Arial" w:cs="Arial"/>
        </w:rPr>
        <w:t>,</w:t>
      </w:r>
    </w:p>
    <w:p w:rsidR="00BC3020" w:rsidRPr="00BC3020" w:rsidRDefault="00BC3020" w:rsidP="00BC3020">
      <w:pPr>
        <w:spacing w:before="60" w:after="60"/>
        <w:rPr>
          <w:rFonts w:ascii="Arial" w:hAnsi="Arial" w:cs="Arial"/>
        </w:rPr>
      </w:pPr>
      <w:r w:rsidRPr="00BC3020">
        <w:rPr>
          <w:rFonts w:ascii="Arial" w:hAnsi="Arial" w:cs="Arial"/>
        </w:rPr>
        <w:t>Chapter 11 - 1</w:t>
      </w:r>
      <w:proofErr w:type="gramStart"/>
      <w:r w:rsidRPr="00BC3020">
        <w:rPr>
          <w:rFonts w:ascii="Arial" w:hAnsi="Arial" w:cs="Arial"/>
        </w:rPr>
        <w:t>,2,3,6,11,13</w:t>
      </w:r>
      <w:proofErr w:type="gramEnd"/>
    </w:p>
    <w:p w:rsidR="00BC3020" w:rsidRPr="00BC3020" w:rsidRDefault="00BC3020" w:rsidP="00BC3020">
      <w:pPr>
        <w:spacing w:before="60" w:after="60"/>
        <w:rPr>
          <w:rFonts w:ascii="Arial" w:hAnsi="Arial" w:cs="Arial"/>
        </w:rPr>
      </w:pPr>
      <w:r w:rsidRPr="00BC3020">
        <w:rPr>
          <w:rFonts w:ascii="Arial" w:hAnsi="Arial" w:cs="Arial"/>
        </w:rPr>
        <w:t>Chapter 12 - 1,2,3,7,9,10</w:t>
      </w:r>
    </w:p>
    <w:p w:rsidR="00BC3020" w:rsidRDefault="00BC3020" w:rsidP="00067ECF">
      <w:pPr>
        <w:spacing w:before="60" w:after="60"/>
        <w:rPr>
          <w:rFonts w:ascii="Arial" w:hAnsi="Arial" w:cs="Arial"/>
          <w:i/>
        </w:rPr>
      </w:pPr>
    </w:p>
    <w:p w:rsidR="008F1F7F" w:rsidRDefault="00067ECF" w:rsidP="00067ECF">
      <w:pPr>
        <w:spacing w:before="60" w:after="60"/>
        <w:rPr>
          <w:rFonts w:ascii="Arial" w:hAnsi="Arial" w:cs="Arial"/>
          <w:i/>
        </w:rPr>
      </w:pPr>
      <w:r w:rsidRPr="00067ECF">
        <w:rPr>
          <w:rFonts w:ascii="Arial" w:hAnsi="Arial" w:cs="Arial"/>
          <w:i/>
        </w:rPr>
        <w:t>Chapter 7</w:t>
      </w:r>
    </w:p>
    <w:p w:rsidR="00067ECF" w:rsidRDefault="00067ECF" w:rsidP="00067ECF">
      <w:pPr>
        <w:numPr>
          <w:ilvl w:val="0"/>
          <w:numId w:val="1"/>
        </w:numPr>
        <w:spacing w:before="60" w:after="60"/>
        <w:rPr>
          <w:rFonts w:ascii="Arial" w:hAnsi="Arial" w:cs="Arial"/>
        </w:rPr>
      </w:pPr>
      <w:r>
        <w:rPr>
          <w:rFonts w:ascii="Arial" w:hAnsi="Arial" w:cs="Arial"/>
        </w:rPr>
        <w:t>Parent always records cost to get the asset on its books and uses that amount for depreciation</w:t>
      </w:r>
    </w:p>
    <w:p w:rsidR="00067ECF" w:rsidRDefault="00067ECF" w:rsidP="00067ECF">
      <w:pPr>
        <w:numPr>
          <w:ilvl w:val="0"/>
          <w:numId w:val="1"/>
        </w:numPr>
        <w:spacing w:before="60" w:after="60"/>
        <w:rPr>
          <w:rFonts w:ascii="Arial" w:hAnsi="Arial" w:cs="Arial"/>
        </w:rPr>
      </w:pPr>
      <w:r>
        <w:rPr>
          <w:rFonts w:ascii="Arial" w:hAnsi="Arial" w:cs="Arial"/>
        </w:rPr>
        <w:t>Subsidiary records gain on sale on separate-entity books</w:t>
      </w:r>
    </w:p>
    <w:p w:rsidR="00FD655D" w:rsidRDefault="00FD655D" w:rsidP="00067ECF">
      <w:pPr>
        <w:numPr>
          <w:ilvl w:val="0"/>
          <w:numId w:val="1"/>
        </w:numPr>
        <w:spacing w:before="60" w:after="60"/>
        <w:rPr>
          <w:rFonts w:ascii="Arial" w:hAnsi="Arial" w:cs="Arial"/>
        </w:rPr>
      </w:pPr>
      <w:r>
        <w:rPr>
          <w:rFonts w:ascii="Arial" w:hAnsi="Arial" w:cs="Arial"/>
        </w:rPr>
        <w:t>From a single-entity point of view, we must back out any gains and add back money to before-tax net income because of the decreased depreciation expense</w:t>
      </w:r>
    </w:p>
    <w:p w:rsidR="00FD655D" w:rsidRDefault="00FD655D" w:rsidP="00067ECF">
      <w:pPr>
        <w:numPr>
          <w:ilvl w:val="0"/>
          <w:numId w:val="1"/>
        </w:numPr>
        <w:spacing w:before="60" w:after="60"/>
        <w:rPr>
          <w:rFonts w:ascii="Arial" w:hAnsi="Arial" w:cs="Arial"/>
        </w:rPr>
      </w:pPr>
      <w:r>
        <w:rPr>
          <w:rFonts w:ascii="Arial" w:hAnsi="Arial" w:cs="Arial"/>
        </w:rPr>
        <w:t>The single-entity statements have an unrealized gain because even though they are not sold to an outside party, the depreciable assets are used to make goods to sell to customers.</w:t>
      </w:r>
    </w:p>
    <w:p w:rsidR="00E941DE" w:rsidRPr="00E941DE" w:rsidRDefault="00E941DE" w:rsidP="00E941DE">
      <w:pPr>
        <w:numPr>
          <w:ilvl w:val="0"/>
          <w:numId w:val="1"/>
        </w:numPr>
        <w:spacing w:before="60" w:after="60"/>
        <w:rPr>
          <w:rFonts w:ascii="Arial" w:hAnsi="Arial" w:cs="Arial"/>
        </w:rPr>
      </w:pPr>
      <w:r w:rsidRPr="00E941DE">
        <w:rPr>
          <w:rFonts w:ascii="Arial" w:hAnsi="Arial" w:cs="Arial"/>
        </w:rPr>
        <w:t>When you are calculating consolidated net-income for the parent, the parent gets whatever percentage i.e. 90% of the subsidiary’s adjusted net income, plus its own income. Thus, the non-control</w:t>
      </w:r>
      <w:r>
        <w:rPr>
          <w:rFonts w:ascii="Arial" w:hAnsi="Arial" w:cs="Arial"/>
        </w:rPr>
        <w:t xml:space="preserve">ling interest’s share is (i.e. 10%) of its adjusted net income. </w:t>
      </w:r>
      <w:r>
        <w:rPr>
          <w:rFonts w:ascii="Arial" w:hAnsi="Arial" w:cs="Arial"/>
          <w:b/>
        </w:rPr>
        <w:t>This is the calculation of the consolidated net income for the parent.</w:t>
      </w:r>
    </w:p>
    <w:p w:rsidR="00E941DE" w:rsidRPr="00E941DE" w:rsidRDefault="00E941DE" w:rsidP="00E941DE">
      <w:pPr>
        <w:numPr>
          <w:ilvl w:val="0"/>
          <w:numId w:val="1"/>
        </w:numPr>
        <w:spacing w:before="60" w:after="60"/>
        <w:rPr>
          <w:rFonts w:ascii="Arial" w:hAnsi="Arial" w:cs="Arial"/>
        </w:rPr>
      </w:pPr>
      <w:r>
        <w:rPr>
          <w:rFonts w:ascii="Arial" w:hAnsi="Arial" w:cs="Arial"/>
          <w:b/>
        </w:rPr>
        <w:t>Calculation of consolidated net income for non-controlling interest – You are calculating its adjusted shareholder’s equity and then determining which portion is attributable to NCI</w:t>
      </w:r>
    </w:p>
    <w:p w:rsidR="00E941DE" w:rsidRDefault="005651B7" w:rsidP="00E941DE">
      <w:pPr>
        <w:numPr>
          <w:ilvl w:val="1"/>
          <w:numId w:val="1"/>
        </w:numPr>
        <w:spacing w:before="60" w:after="60"/>
        <w:rPr>
          <w:rFonts w:ascii="Arial" w:hAnsi="Arial" w:cs="Arial"/>
        </w:rPr>
      </w:pPr>
      <w:r>
        <w:rPr>
          <w:rFonts w:ascii="Arial" w:hAnsi="Arial" w:cs="Arial"/>
        </w:rPr>
        <w:t>Example: It is year 1, July 1, and subsidiary sells equipment to parent for 1,800. The subsidiary paid 1,500 for it. On its separate-entity books, it has a realized gain of $300</w:t>
      </w:r>
    </w:p>
    <w:p w:rsidR="00E941DE" w:rsidRDefault="005651B7" w:rsidP="00E941DE">
      <w:pPr>
        <w:numPr>
          <w:ilvl w:val="1"/>
          <w:numId w:val="1"/>
        </w:numPr>
        <w:spacing w:before="60" w:after="60"/>
        <w:rPr>
          <w:rFonts w:ascii="Arial" w:hAnsi="Arial" w:cs="Arial"/>
        </w:rPr>
      </w:pPr>
      <w:r>
        <w:rPr>
          <w:rFonts w:ascii="Arial" w:hAnsi="Arial" w:cs="Arial"/>
        </w:rPr>
        <w:t>Subsequently, the parent now has an increase in equipment by the amount of $1,800. The useful life is 1.5 years, so it must include (1,800x1.5x.5) as depreciation expense ($600)</w:t>
      </w:r>
    </w:p>
    <w:p w:rsidR="005651B7" w:rsidRDefault="000B30E1" w:rsidP="00E941DE">
      <w:pPr>
        <w:numPr>
          <w:ilvl w:val="1"/>
          <w:numId w:val="1"/>
        </w:numPr>
        <w:spacing w:before="60" w:after="60"/>
        <w:rPr>
          <w:rFonts w:ascii="Arial" w:hAnsi="Arial" w:cs="Arial"/>
        </w:rPr>
      </w:pPr>
      <w:r>
        <w:rPr>
          <w:rFonts w:ascii="Arial" w:hAnsi="Arial" w:cs="Arial"/>
        </w:rPr>
        <w:t xml:space="preserve">When they become one entity, this gain must be eliminated. Thus, the equipment is treated at its historical cost of $1,500. This will affect depreciation expense. Since depreciation expense is lowered, net income is increased. This increases income tax expense. This is a realized gain on depreciation. The prior gain on the equipment is an unrealized gain and must be eliminated. This lowers net income and this reduces income-tax expense. </w:t>
      </w:r>
    </w:p>
    <w:p w:rsidR="000B30E1" w:rsidRDefault="000B30E1" w:rsidP="000B30E1">
      <w:pPr>
        <w:numPr>
          <w:ilvl w:val="2"/>
          <w:numId w:val="1"/>
        </w:numPr>
        <w:spacing w:before="60" w:after="60"/>
        <w:rPr>
          <w:rFonts w:ascii="Arial" w:hAnsi="Arial" w:cs="Arial"/>
        </w:rPr>
      </w:pPr>
      <w:r>
        <w:rPr>
          <w:rFonts w:ascii="Arial" w:hAnsi="Arial" w:cs="Arial"/>
        </w:rPr>
        <w:t>Use after-tax numbers</w:t>
      </w:r>
    </w:p>
    <w:p w:rsidR="000B30E1" w:rsidRDefault="000B30E1" w:rsidP="000B30E1">
      <w:pPr>
        <w:numPr>
          <w:ilvl w:val="2"/>
          <w:numId w:val="1"/>
        </w:numPr>
        <w:spacing w:before="60" w:after="60"/>
        <w:rPr>
          <w:rFonts w:ascii="Arial" w:hAnsi="Arial" w:cs="Arial"/>
        </w:rPr>
      </w:pPr>
      <w:r>
        <w:rPr>
          <w:rFonts w:ascii="Arial" w:hAnsi="Arial" w:cs="Arial"/>
        </w:rPr>
        <w:t>For income tax expense, obviously it would be the tax rate multiplied by the original numbers.</w:t>
      </w:r>
    </w:p>
    <w:p w:rsidR="008C0FB3" w:rsidRDefault="008C0FB3" w:rsidP="008C0FB3">
      <w:pPr>
        <w:spacing w:before="60" w:after="60"/>
        <w:jc w:val="center"/>
        <w:rPr>
          <w:rFonts w:ascii="Arial" w:hAnsi="Arial" w:cs="Arial"/>
        </w:rPr>
      </w:pPr>
      <w:r>
        <w:rPr>
          <w:rFonts w:ascii="Arial" w:hAnsi="Arial" w:cs="Arial"/>
        </w:rPr>
        <w:t>Equipment Gain – Sub Inc.</w:t>
      </w:r>
      <w:r w:rsidR="00115839">
        <w:rPr>
          <w:rFonts w:ascii="Arial" w:hAnsi="Arial" w:cs="Arial"/>
        </w:rPr>
        <w:t xml:space="preserve"> Selling</w:t>
      </w:r>
    </w:p>
    <w:tbl>
      <w:tblPr>
        <w:tblStyle w:val="TableGrid"/>
        <w:tblW w:w="0" w:type="auto"/>
        <w:tblInd w:w="720" w:type="dxa"/>
        <w:tblLook w:val="04A0" w:firstRow="1" w:lastRow="0" w:firstColumn="1" w:lastColumn="0" w:noHBand="0" w:noVBand="1"/>
      </w:tblPr>
      <w:tblGrid>
        <w:gridCol w:w="2649"/>
        <w:gridCol w:w="1844"/>
        <w:gridCol w:w="2176"/>
        <w:gridCol w:w="2187"/>
      </w:tblGrid>
      <w:tr w:rsidR="008C0FB3" w:rsidTr="00115839">
        <w:tc>
          <w:tcPr>
            <w:tcW w:w="2649" w:type="dxa"/>
          </w:tcPr>
          <w:p w:rsidR="008C0FB3" w:rsidRDefault="008C0FB3" w:rsidP="008C0FB3">
            <w:pPr>
              <w:spacing w:before="60" w:after="60"/>
              <w:rPr>
                <w:rFonts w:ascii="Arial" w:hAnsi="Arial" w:cs="Arial"/>
              </w:rPr>
            </w:pPr>
          </w:p>
        </w:tc>
        <w:tc>
          <w:tcPr>
            <w:tcW w:w="1844" w:type="dxa"/>
          </w:tcPr>
          <w:p w:rsidR="008C0FB3" w:rsidRDefault="008C0FB3" w:rsidP="008C0FB3">
            <w:pPr>
              <w:spacing w:before="60" w:after="60"/>
              <w:jc w:val="center"/>
              <w:rPr>
                <w:rFonts w:ascii="Arial" w:hAnsi="Arial" w:cs="Arial"/>
              </w:rPr>
            </w:pPr>
            <w:r>
              <w:rPr>
                <w:rFonts w:ascii="Arial" w:hAnsi="Arial" w:cs="Arial"/>
              </w:rPr>
              <w:t>Before-tax</w:t>
            </w:r>
          </w:p>
        </w:tc>
        <w:tc>
          <w:tcPr>
            <w:tcW w:w="2176" w:type="dxa"/>
          </w:tcPr>
          <w:p w:rsidR="008C0FB3" w:rsidRDefault="008C0FB3" w:rsidP="008C0FB3">
            <w:pPr>
              <w:spacing w:before="60" w:after="60"/>
              <w:jc w:val="center"/>
              <w:rPr>
                <w:rFonts w:ascii="Arial" w:hAnsi="Arial" w:cs="Arial"/>
              </w:rPr>
            </w:pPr>
            <w:r>
              <w:rPr>
                <w:rFonts w:ascii="Arial" w:hAnsi="Arial" w:cs="Arial"/>
              </w:rPr>
              <w:t>Tax Rate 40%</w:t>
            </w:r>
          </w:p>
        </w:tc>
        <w:tc>
          <w:tcPr>
            <w:tcW w:w="2187" w:type="dxa"/>
          </w:tcPr>
          <w:p w:rsidR="008C0FB3" w:rsidRDefault="008C0FB3" w:rsidP="008C0FB3">
            <w:pPr>
              <w:spacing w:before="60" w:after="60"/>
              <w:jc w:val="center"/>
              <w:rPr>
                <w:rFonts w:ascii="Arial" w:hAnsi="Arial" w:cs="Arial"/>
              </w:rPr>
            </w:pPr>
            <w:r>
              <w:rPr>
                <w:rFonts w:ascii="Arial" w:hAnsi="Arial" w:cs="Arial"/>
              </w:rPr>
              <w:t>After-tax</w:t>
            </w:r>
          </w:p>
        </w:tc>
      </w:tr>
      <w:tr w:rsidR="008C0FB3" w:rsidTr="00115839">
        <w:tc>
          <w:tcPr>
            <w:tcW w:w="2649" w:type="dxa"/>
          </w:tcPr>
          <w:p w:rsidR="008C0FB3" w:rsidRDefault="008C0FB3" w:rsidP="008C0FB3">
            <w:pPr>
              <w:spacing w:before="60" w:after="60"/>
              <w:rPr>
                <w:rFonts w:ascii="Arial" w:hAnsi="Arial" w:cs="Arial"/>
              </w:rPr>
            </w:pPr>
            <w:r>
              <w:rPr>
                <w:rFonts w:ascii="Arial" w:hAnsi="Arial" w:cs="Arial"/>
              </w:rPr>
              <w:t>Gain on Equipment Sale</w:t>
            </w:r>
            <w:r w:rsidR="00115839">
              <w:rPr>
                <w:rFonts w:ascii="Arial" w:hAnsi="Arial" w:cs="Arial"/>
              </w:rPr>
              <w:t>, July 1, Year 1</w:t>
            </w:r>
          </w:p>
        </w:tc>
        <w:tc>
          <w:tcPr>
            <w:tcW w:w="1844" w:type="dxa"/>
          </w:tcPr>
          <w:p w:rsidR="008C0FB3" w:rsidRDefault="00115839" w:rsidP="00115839">
            <w:pPr>
              <w:spacing w:before="60" w:after="60"/>
              <w:jc w:val="center"/>
              <w:rPr>
                <w:rFonts w:ascii="Arial" w:hAnsi="Arial" w:cs="Arial"/>
              </w:rPr>
            </w:pPr>
            <w:r>
              <w:rPr>
                <w:rFonts w:ascii="Arial" w:hAnsi="Arial" w:cs="Arial"/>
              </w:rPr>
              <w:t>$300</w:t>
            </w:r>
          </w:p>
        </w:tc>
        <w:tc>
          <w:tcPr>
            <w:tcW w:w="2176" w:type="dxa"/>
          </w:tcPr>
          <w:p w:rsidR="008C0FB3" w:rsidRDefault="00115839" w:rsidP="00115839">
            <w:pPr>
              <w:spacing w:before="60" w:after="60"/>
              <w:jc w:val="center"/>
              <w:rPr>
                <w:rFonts w:ascii="Arial" w:hAnsi="Arial" w:cs="Arial"/>
              </w:rPr>
            </w:pPr>
            <w:r>
              <w:rPr>
                <w:rFonts w:ascii="Arial" w:hAnsi="Arial" w:cs="Arial"/>
              </w:rPr>
              <w:t>$120</w:t>
            </w:r>
          </w:p>
        </w:tc>
        <w:tc>
          <w:tcPr>
            <w:tcW w:w="2187" w:type="dxa"/>
          </w:tcPr>
          <w:p w:rsidR="008C0FB3" w:rsidRDefault="00115839" w:rsidP="00115839">
            <w:pPr>
              <w:spacing w:before="60" w:after="60"/>
              <w:jc w:val="center"/>
              <w:rPr>
                <w:rFonts w:ascii="Arial" w:hAnsi="Arial" w:cs="Arial"/>
              </w:rPr>
            </w:pPr>
            <w:r>
              <w:rPr>
                <w:rFonts w:ascii="Arial" w:hAnsi="Arial" w:cs="Arial"/>
              </w:rPr>
              <w:t>$180</w:t>
            </w:r>
          </w:p>
        </w:tc>
      </w:tr>
      <w:tr w:rsidR="008C0FB3" w:rsidTr="00115839">
        <w:tc>
          <w:tcPr>
            <w:tcW w:w="2649" w:type="dxa"/>
          </w:tcPr>
          <w:p w:rsidR="008C0FB3" w:rsidRDefault="00115839" w:rsidP="008C0FB3">
            <w:pPr>
              <w:spacing w:before="60" w:after="60"/>
              <w:rPr>
                <w:rFonts w:ascii="Arial" w:hAnsi="Arial" w:cs="Arial"/>
              </w:rPr>
            </w:pPr>
            <w:r>
              <w:rPr>
                <w:rFonts w:ascii="Arial" w:hAnsi="Arial" w:cs="Arial"/>
              </w:rPr>
              <w:t>Less realized gain on depreciation</w:t>
            </w:r>
          </w:p>
        </w:tc>
        <w:tc>
          <w:tcPr>
            <w:tcW w:w="1844" w:type="dxa"/>
          </w:tcPr>
          <w:p w:rsidR="008C0FB3" w:rsidRDefault="00115839" w:rsidP="00115839">
            <w:pPr>
              <w:spacing w:before="60" w:after="60"/>
              <w:jc w:val="center"/>
              <w:rPr>
                <w:rFonts w:ascii="Arial" w:hAnsi="Arial" w:cs="Arial"/>
              </w:rPr>
            </w:pPr>
            <w:r>
              <w:rPr>
                <w:rFonts w:ascii="Arial" w:hAnsi="Arial" w:cs="Arial"/>
              </w:rPr>
              <w:t>$100</w:t>
            </w:r>
          </w:p>
        </w:tc>
        <w:tc>
          <w:tcPr>
            <w:tcW w:w="2176" w:type="dxa"/>
          </w:tcPr>
          <w:p w:rsidR="008C0FB3" w:rsidRDefault="00115839" w:rsidP="00115839">
            <w:pPr>
              <w:spacing w:before="60" w:after="60"/>
              <w:jc w:val="center"/>
              <w:rPr>
                <w:rFonts w:ascii="Arial" w:hAnsi="Arial" w:cs="Arial"/>
              </w:rPr>
            </w:pPr>
            <w:r>
              <w:rPr>
                <w:rFonts w:ascii="Arial" w:hAnsi="Arial" w:cs="Arial"/>
              </w:rPr>
              <w:t>$40</w:t>
            </w:r>
          </w:p>
        </w:tc>
        <w:tc>
          <w:tcPr>
            <w:tcW w:w="2187" w:type="dxa"/>
          </w:tcPr>
          <w:p w:rsidR="008C0FB3" w:rsidRDefault="00115839" w:rsidP="00115839">
            <w:pPr>
              <w:spacing w:before="60" w:after="60"/>
              <w:jc w:val="center"/>
              <w:rPr>
                <w:rFonts w:ascii="Arial" w:hAnsi="Arial" w:cs="Arial"/>
              </w:rPr>
            </w:pPr>
            <w:r>
              <w:rPr>
                <w:rFonts w:ascii="Arial" w:hAnsi="Arial" w:cs="Arial"/>
              </w:rPr>
              <w:t>$60</w:t>
            </w:r>
          </w:p>
        </w:tc>
      </w:tr>
      <w:tr w:rsidR="008C0FB3" w:rsidTr="00115839">
        <w:tc>
          <w:tcPr>
            <w:tcW w:w="2649" w:type="dxa"/>
          </w:tcPr>
          <w:p w:rsidR="008C0FB3" w:rsidRDefault="00115839" w:rsidP="008C0FB3">
            <w:pPr>
              <w:spacing w:before="60" w:after="60"/>
              <w:rPr>
                <w:rFonts w:ascii="Arial" w:hAnsi="Arial" w:cs="Arial"/>
              </w:rPr>
            </w:pPr>
            <w:r>
              <w:rPr>
                <w:rFonts w:ascii="Arial" w:hAnsi="Arial" w:cs="Arial"/>
              </w:rPr>
              <w:t>Balance, December 31</w:t>
            </w:r>
          </w:p>
        </w:tc>
        <w:tc>
          <w:tcPr>
            <w:tcW w:w="1844" w:type="dxa"/>
          </w:tcPr>
          <w:p w:rsidR="008C0FB3" w:rsidRDefault="00115839" w:rsidP="00115839">
            <w:pPr>
              <w:spacing w:before="60" w:after="60"/>
              <w:jc w:val="center"/>
              <w:rPr>
                <w:rFonts w:ascii="Arial" w:hAnsi="Arial" w:cs="Arial"/>
              </w:rPr>
            </w:pPr>
            <w:r>
              <w:rPr>
                <w:rFonts w:ascii="Arial" w:hAnsi="Arial" w:cs="Arial"/>
              </w:rPr>
              <w:t>$200</w:t>
            </w:r>
          </w:p>
        </w:tc>
        <w:tc>
          <w:tcPr>
            <w:tcW w:w="2176" w:type="dxa"/>
          </w:tcPr>
          <w:p w:rsidR="008C0FB3" w:rsidRDefault="00115839" w:rsidP="00115839">
            <w:pPr>
              <w:spacing w:before="60" w:after="60"/>
              <w:jc w:val="center"/>
              <w:rPr>
                <w:rFonts w:ascii="Arial" w:hAnsi="Arial" w:cs="Arial"/>
              </w:rPr>
            </w:pPr>
            <w:r>
              <w:rPr>
                <w:rFonts w:ascii="Arial" w:hAnsi="Arial" w:cs="Arial"/>
              </w:rPr>
              <w:t>$80</w:t>
            </w:r>
          </w:p>
        </w:tc>
        <w:tc>
          <w:tcPr>
            <w:tcW w:w="2187" w:type="dxa"/>
          </w:tcPr>
          <w:p w:rsidR="008C0FB3" w:rsidRDefault="00115839" w:rsidP="00115839">
            <w:pPr>
              <w:spacing w:before="60" w:after="60"/>
              <w:jc w:val="center"/>
              <w:rPr>
                <w:rFonts w:ascii="Arial" w:hAnsi="Arial" w:cs="Arial"/>
              </w:rPr>
            </w:pPr>
            <w:r>
              <w:rPr>
                <w:rFonts w:ascii="Arial" w:hAnsi="Arial" w:cs="Arial"/>
              </w:rPr>
              <w:t>$120</w:t>
            </w:r>
          </w:p>
        </w:tc>
      </w:tr>
    </w:tbl>
    <w:p w:rsidR="000B30E1" w:rsidRDefault="00E44912" w:rsidP="00E44912">
      <w:pPr>
        <w:spacing w:before="60" w:after="60"/>
        <w:rPr>
          <w:rFonts w:ascii="Arial" w:hAnsi="Arial" w:cs="Arial"/>
          <w:b/>
        </w:rPr>
      </w:pPr>
      <w:r>
        <w:rPr>
          <w:rFonts w:ascii="Arial" w:hAnsi="Arial" w:cs="Arial"/>
          <w:b/>
        </w:rPr>
        <w:t>Consolidated Net Income for Parent</w:t>
      </w:r>
    </w:p>
    <w:p w:rsidR="00E44912" w:rsidRDefault="00E44912" w:rsidP="00E44912">
      <w:pPr>
        <w:spacing w:before="60" w:after="60"/>
        <w:rPr>
          <w:rFonts w:ascii="Arial" w:hAnsi="Arial" w:cs="Arial"/>
        </w:rPr>
      </w:pPr>
      <w:r>
        <w:rPr>
          <w:rFonts w:ascii="Arial" w:hAnsi="Arial" w:cs="Arial"/>
        </w:rPr>
        <w:t>Parent’s Net Inc</w:t>
      </w:r>
      <w:r w:rsidR="00272E6D">
        <w:rPr>
          <w:rFonts w:ascii="Arial" w:hAnsi="Arial" w:cs="Arial"/>
        </w:rPr>
        <w:t>ome</w:t>
      </w:r>
      <w:r w:rsidR="00272E6D">
        <w:rPr>
          <w:rFonts w:ascii="Arial" w:hAnsi="Arial" w:cs="Arial"/>
        </w:rPr>
        <w:tab/>
      </w:r>
      <w:r w:rsidR="00272E6D">
        <w:rPr>
          <w:rFonts w:ascii="Arial" w:hAnsi="Arial" w:cs="Arial"/>
        </w:rPr>
        <w:tab/>
      </w:r>
      <w:r w:rsidR="00272E6D">
        <w:rPr>
          <w:rFonts w:ascii="Arial" w:hAnsi="Arial" w:cs="Arial"/>
        </w:rPr>
        <w:tab/>
      </w:r>
      <w:r w:rsidR="00272E6D">
        <w:rPr>
          <w:rFonts w:ascii="Arial" w:hAnsi="Arial" w:cs="Arial"/>
        </w:rPr>
        <w:tab/>
      </w:r>
      <w:r w:rsidR="00272E6D">
        <w:rPr>
          <w:rFonts w:ascii="Arial" w:hAnsi="Arial" w:cs="Arial"/>
        </w:rPr>
        <w:tab/>
      </w:r>
      <w:r>
        <w:rPr>
          <w:rFonts w:ascii="Arial" w:hAnsi="Arial" w:cs="Arial"/>
        </w:rPr>
        <w:t>$3,400</w:t>
      </w:r>
    </w:p>
    <w:p w:rsidR="00E44912" w:rsidRDefault="00E44912" w:rsidP="00E44912">
      <w:pPr>
        <w:spacing w:before="60" w:after="60"/>
        <w:rPr>
          <w:rFonts w:ascii="Arial" w:hAnsi="Arial" w:cs="Arial"/>
        </w:rPr>
      </w:pPr>
      <w:r>
        <w:rPr>
          <w:rFonts w:ascii="Arial" w:hAnsi="Arial" w:cs="Arial"/>
        </w:rPr>
        <w:t>Subsidiary’s Net Income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$1700</w:t>
      </w:r>
    </w:p>
    <w:p w:rsidR="00E44912" w:rsidRDefault="00E44912" w:rsidP="00E44912">
      <w:pPr>
        <w:spacing w:before="60" w:after="60"/>
        <w:rPr>
          <w:rFonts w:ascii="Arial" w:hAnsi="Arial" w:cs="Arial"/>
        </w:rPr>
      </w:pPr>
      <w:r>
        <w:rPr>
          <w:rFonts w:ascii="Arial" w:hAnsi="Arial" w:cs="Arial"/>
        </w:rPr>
        <w:t>Less after-tax gain on equipment</w:t>
      </w:r>
      <w:r>
        <w:rPr>
          <w:rFonts w:ascii="Arial" w:hAnsi="Arial" w:cs="Arial"/>
        </w:rPr>
        <w:tab/>
      </w:r>
      <w:r>
        <w:rPr>
          <w:rFonts w:ascii="Arial" w:hAnsi="Arial" w:cs="Arial"/>
        </w:rPr>
        <w:tab/>
      </w:r>
      <w:r>
        <w:rPr>
          <w:rFonts w:ascii="Arial" w:hAnsi="Arial" w:cs="Arial"/>
        </w:rPr>
        <w:tab/>
        <w:t>$180</w:t>
      </w:r>
    </w:p>
    <w:p w:rsidR="00E44912" w:rsidRDefault="00E44912" w:rsidP="00E44912">
      <w:pPr>
        <w:spacing w:before="60" w:after="60"/>
        <w:rPr>
          <w:rFonts w:ascii="Arial" w:hAnsi="Arial" w:cs="Arial"/>
          <w:u w:val="single"/>
        </w:rPr>
      </w:pPr>
      <w:r>
        <w:rPr>
          <w:rFonts w:ascii="Arial" w:hAnsi="Arial" w:cs="Arial"/>
        </w:rPr>
        <w:t>Plus after-tax gain realized by depreciation</w:t>
      </w:r>
      <w:r>
        <w:rPr>
          <w:rFonts w:ascii="Arial" w:hAnsi="Arial" w:cs="Arial"/>
        </w:rPr>
        <w:tab/>
      </w:r>
      <w:r>
        <w:rPr>
          <w:rFonts w:ascii="Arial" w:hAnsi="Arial" w:cs="Arial"/>
        </w:rPr>
        <w:tab/>
      </w:r>
      <w:r w:rsidRPr="00E44912">
        <w:rPr>
          <w:rFonts w:ascii="Arial" w:hAnsi="Arial" w:cs="Arial"/>
          <w:u w:val="single"/>
        </w:rPr>
        <w:t>$60</w:t>
      </w:r>
    </w:p>
    <w:p w:rsidR="00E44912" w:rsidRDefault="00E44912" w:rsidP="00E44912">
      <w:pPr>
        <w:spacing w:before="60" w:after="60"/>
        <w:rPr>
          <w:rFonts w:ascii="Arial" w:hAnsi="Arial" w:cs="Arial"/>
        </w:rPr>
      </w:pPr>
      <w:r>
        <w:rPr>
          <w:rFonts w:ascii="Arial" w:hAnsi="Arial" w:cs="Arial"/>
        </w:rPr>
        <w:t>Subsidiary’s Adjusted Net income</w:t>
      </w:r>
      <w:r>
        <w:rPr>
          <w:rFonts w:ascii="Arial" w:hAnsi="Arial" w:cs="Arial"/>
        </w:rPr>
        <w:tab/>
      </w:r>
      <w:r>
        <w:rPr>
          <w:rFonts w:ascii="Arial" w:hAnsi="Arial" w:cs="Arial"/>
        </w:rPr>
        <w:tab/>
      </w:r>
      <w:r>
        <w:rPr>
          <w:rFonts w:ascii="Arial" w:hAnsi="Arial" w:cs="Arial"/>
        </w:rPr>
        <w:tab/>
      </w:r>
      <w:r>
        <w:rPr>
          <w:rFonts w:ascii="Arial" w:hAnsi="Arial" w:cs="Arial"/>
        </w:rPr>
        <w:tab/>
      </w:r>
      <w:r w:rsidR="00272E6D">
        <w:rPr>
          <w:rFonts w:ascii="Arial" w:hAnsi="Arial" w:cs="Arial"/>
        </w:rPr>
        <w:tab/>
      </w:r>
      <w:r w:rsidR="00272E6D">
        <w:rPr>
          <w:rFonts w:ascii="Arial" w:hAnsi="Arial" w:cs="Arial"/>
        </w:rPr>
        <w:tab/>
      </w:r>
      <w:r w:rsidR="00272E6D">
        <w:rPr>
          <w:rFonts w:ascii="Arial" w:hAnsi="Arial" w:cs="Arial"/>
        </w:rPr>
        <w:tab/>
      </w:r>
      <w:r w:rsidR="00272E6D">
        <w:rPr>
          <w:rFonts w:ascii="Arial" w:hAnsi="Arial" w:cs="Arial"/>
        </w:rPr>
        <w:tab/>
      </w:r>
      <w:r w:rsidR="00272E6D">
        <w:rPr>
          <w:rFonts w:ascii="Arial" w:hAnsi="Arial" w:cs="Arial"/>
        </w:rPr>
        <w:tab/>
      </w:r>
      <w:r>
        <w:rPr>
          <w:rFonts w:ascii="Arial" w:hAnsi="Arial" w:cs="Arial"/>
        </w:rPr>
        <w:tab/>
      </w:r>
      <w:r w:rsidRPr="00E44912">
        <w:rPr>
          <w:rFonts w:ascii="Arial" w:hAnsi="Arial" w:cs="Arial"/>
          <w:u w:val="single"/>
        </w:rPr>
        <w:t>$1580</w:t>
      </w:r>
    </w:p>
    <w:p w:rsidR="00E44912" w:rsidRDefault="00E44912" w:rsidP="00E44912">
      <w:pPr>
        <w:spacing w:before="60" w:after="60"/>
        <w:rPr>
          <w:rFonts w:ascii="Arial" w:hAnsi="Arial" w:cs="Arial"/>
          <w:u w:val="double"/>
        </w:rPr>
      </w:pPr>
      <w:r>
        <w:rPr>
          <w:rFonts w:ascii="Arial" w:hAnsi="Arial" w:cs="Arial"/>
        </w:rPr>
        <w:t>Consolidated Net Income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E44912">
        <w:rPr>
          <w:rFonts w:ascii="Arial" w:hAnsi="Arial" w:cs="Arial"/>
          <w:u w:val="double"/>
        </w:rPr>
        <w:t>$4980</w:t>
      </w:r>
    </w:p>
    <w:p w:rsidR="00E44912" w:rsidRDefault="00E44912" w:rsidP="00E44912">
      <w:pPr>
        <w:spacing w:before="60" w:after="60"/>
        <w:rPr>
          <w:rFonts w:ascii="Arial" w:hAnsi="Arial" w:cs="Arial"/>
        </w:rPr>
      </w:pPr>
      <w:r>
        <w:rPr>
          <w:rFonts w:ascii="Arial" w:hAnsi="Arial" w:cs="Arial"/>
        </w:rPr>
        <w:t>Non-Controlling Interest’s proportion</w:t>
      </w:r>
    </w:p>
    <w:p w:rsidR="00E44912" w:rsidRDefault="00272E6D" w:rsidP="00E44912">
      <w:pPr>
        <w:spacing w:before="60" w:after="60"/>
        <w:rPr>
          <w:rFonts w:ascii="Arial" w:hAnsi="Arial" w:cs="Arial"/>
        </w:rPr>
      </w:pPr>
      <w:r>
        <w:rPr>
          <w:rFonts w:ascii="Arial" w:hAnsi="Arial" w:cs="Arial"/>
        </w:rPr>
        <w:tab/>
        <w:t>1580 x 10% =</w:t>
      </w:r>
      <w:r w:rsidR="00E44912">
        <w:rPr>
          <w:rFonts w:ascii="Arial" w:hAnsi="Arial" w:cs="Arial"/>
        </w:rPr>
        <w:t>158</w:t>
      </w:r>
    </w:p>
    <w:p w:rsidR="00272E6D" w:rsidRDefault="00E44912" w:rsidP="00E44912">
      <w:pPr>
        <w:spacing w:before="60" w:after="60"/>
        <w:rPr>
          <w:rFonts w:ascii="Arial" w:hAnsi="Arial" w:cs="Arial"/>
        </w:rPr>
      </w:pPr>
      <w:r>
        <w:rPr>
          <w:rFonts w:ascii="Arial" w:hAnsi="Arial" w:cs="Arial"/>
        </w:rPr>
        <w:t xml:space="preserve">Shareholder’s of Parent = subsidiary’s adjusted net income (1580 x .90) + parent’s net income (3400) = </w:t>
      </w:r>
    </w:p>
    <w:p w:rsidR="00E44912" w:rsidRDefault="00E44912" w:rsidP="00272E6D">
      <w:pPr>
        <w:spacing w:before="60" w:after="60"/>
        <w:ind w:firstLine="1418"/>
        <w:rPr>
          <w:rFonts w:ascii="Arial" w:hAnsi="Arial" w:cs="Arial"/>
        </w:rPr>
      </w:pPr>
      <w:r>
        <w:rPr>
          <w:rFonts w:ascii="Arial" w:hAnsi="Arial" w:cs="Arial"/>
        </w:rPr>
        <w:t>$4822</w:t>
      </w:r>
    </w:p>
    <w:p w:rsidR="00F33231" w:rsidRDefault="00F33231" w:rsidP="00E44912">
      <w:pPr>
        <w:spacing w:before="60" w:after="60"/>
        <w:rPr>
          <w:rFonts w:ascii="Arial" w:hAnsi="Arial" w:cs="Arial"/>
        </w:rPr>
      </w:pPr>
    </w:p>
    <w:p w:rsidR="00F33231" w:rsidRDefault="00272E6D" w:rsidP="00E44912">
      <w:pPr>
        <w:spacing w:before="60" w:after="60"/>
        <w:rPr>
          <w:rFonts w:ascii="Arial" w:hAnsi="Arial" w:cs="Arial"/>
          <w:b/>
        </w:rPr>
      </w:pPr>
      <w:r>
        <w:rPr>
          <w:rFonts w:ascii="Arial" w:hAnsi="Arial" w:cs="Arial"/>
          <w:b/>
        </w:rPr>
        <w:t>Non-Controlling Interest – Consolidated Net Income</w:t>
      </w:r>
    </w:p>
    <w:p w:rsidR="00272E6D" w:rsidRDefault="00272E6D" w:rsidP="00E44912">
      <w:pPr>
        <w:spacing w:before="60" w:after="60"/>
        <w:rPr>
          <w:rFonts w:ascii="Arial" w:hAnsi="Arial" w:cs="Arial"/>
        </w:rPr>
      </w:pPr>
      <w:r>
        <w:rPr>
          <w:rFonts w:ascii="Arial" w:hAnsi="Arial" w:cs="Arial"/>
        </w:rPr>
        <w:t>Subsidiary</w:t>
      </w:r>
    </w:p>
    <w:p w:rsidR="00272E6D" w:rsidRDefault="00272E6D" w:rsidP="00E44912">
      <w:pPr>
        <w:spacing w:before="60" w:after="60"/>
        <w:rPr>
          <w:rFonts w:ascii="Arial" w:hAnsi="Arial" w:cs="Arial"/>
        </w:rPr>
      </w:pPr>
      <w:r>
        <w:rPr>
          <w:rFonts w:ascii="Arial" w:hAnsi="Arial" w:cs="Arial"/>
        </w:rPr>
        <w:tab/>
      </w:r>
      <w:r>
        <w:rPr>
          <w:rFonts w:ascii="Arial" w:hAnsi="Arial" w:cs="Arial"/>
        </w:rPr>
        <w:tab/>
        <w:t>Common Shares</w:t>
      </w:r>
      <w:r>
        <w:rPr>
          <w:rFonts w:ascii="Arial" w:hAnsi="Arial" w:cs="Arial"/>
        </w:rPr>
        <w:tab/>
      </w:r>
      <w:r>
        <w:rPr>
          <w:rFonts w:ascii="Arial" w:hAnsi="Arial" w:cs="Arial"/>
        </w:rPr>
        <w:tab/>
        <w:t>8000</w:t>
      </w:r>
    </w:p>
    <w:p w:rsidR="00272E6D" w:rsidRDefault="00272E6D" w:rsidP="00E44912">
      <w:pPr>
        <w:spacing w:before="60" w:after="60"/>
        <w:rPr>
          <w:rFonts w:ascii="Arial" w:hAnsi="Arial" w:cs="Arial"/>
        </w:rPr>
      </w:pPr>
      <w:r>
        <w:rPr>
          <w:rFonts w:ascii="Arial" w:hAnsi="Arial" w:cs="Arial"/>
        </w:rPr>
        <w:tab/>
      </w:r>
      <w:r>
        <w:rPr>
          <w:rFonts w:ascii="Arial" w:hAnsi="Arial" w:cs="Arial"/>
        </w:rPr>
        <w:tab/>
        <w:t>Retained Earnings</w:t>
      </w:r>
      <w:r>
        <w:rPr>
          <w:rFonts w:ascii="Arial" w:hAnsi="Arial" w:cs="Arial"/>
        </w:rPr>
        <w:tab/>
      </w:r>
      <w:r>
        <w:rPr>
          <w:rFonts w:ascii="Arial" w:hAnsi="Arial" w:cs="Arial"/>
        </w:rPr>
        <w:tab/>
      </w:r>
      <w:r w:rsidRPr="00272E6D">
        <w:rPr>
          <w:rFonts w:ascii="Arial" w:hAnsi="Arial" w:cs="Arial"/>
          <w:u w:val="double"/>
        </w:rPr>
        <w:t>6200</w:t>
      </w:r>
    </w:p>
    <w:p w:rsidR="00272E6D" w:rsidRDefault="00272E6D" w:rsidP="00E44912">
      <w:pPr>
        <w:spacing w:before="60" w:after="6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14,200</w:t>
      </w:r>
    </w:p>
    <w:p w:rsidR="00272E6D" w:rsidRDefault="00272E6D" w:rsidP="00E44912">
      <w:pPr>
        <w:spacing w:before="60" w:after="60"/>
        <w:rPr>
          <w:rFonts w:ascii="Arial" w:hAnsi="Arial" w:cs="Arial"/>
        </w:rPr>
      </w:pPr>
      <w:r>
        <w:rPr>
          <w:rFonts w:ascii="Arial" w:hAnsi="Arial" w:cs="Arial"/>
        </w:rPr>
        <w:t>Less net unrealized gain on equipment after-tax</w:t>
      </w:r>
      <w:r>
        <w:rPr>
          <w:rFonts w:ascii="Arial" w:hAnsi="Arial" w:cs="Arial"/>
        </w:rPr>
        <w:tab/>
      </w:r>
      <w:r>
        <w:rPr>
          <w:rFonts w:ascii="Arial" w:hAnsi="Arial" w:cs="Arial"/>
        </w:rPr>
        <w:tab/>
      </w:r>
      <w:r w:rsidRPr="00272E6D">
        <w:rPr>
          <w:rFonts w:ascii="Arial" w:hAnsi="Arial" w:cs="Arial"/>
          <w:u w:val="double"/>
        </w:rPr>
        <w:t>120</w:t>
      </w:r>
    </w:p>
    <w:p w:rsidR="00272E6D" w:rsidRDefault="00272E6D" w:rsidP="00E44912">
      <w:pPr>
        <w:spacing w:before="60" w:after="60"/>
        <w:rPr>
          <w:rFonts w:ascii="Arial" w:hAnsi="Arial" w:cs="Arial"/>
        </w:rPr>
      </w:pPr>
      <w:r>
        <w:rPr>
          <w:rFonts w:ascii="Arial" w:hAnsi="Arial" w:cs="Arial"/>
        </w:rPr>
        <w:t>Adjusted Shareholder’s Equity</w:t>
      </w:r>
      <w:r>
        <w:rPr>
          <w:rFonts w:ascii="Arial" w:hAnsi="Arial" w:cs="Arial"/>
        </w:rPr>
        <w:tab/>
      </w:r>
      <w:r>
        <w:rPr>
          <w:rFonts w:ascii="Arial" w:hAnsi="Arial" w:cs="Arial"/>
        </w:rPr>
        <w:tab/>
      </w:r>
      <w:r>
        <w:rPr>
          <w:rFonts w:ascii="Arial" w:hAnsi="Arial" w:cs="Arial"/>
        </w:rPr>
        <w:tab/>
      </w:r>
      <w:r w:rsidRPr="00272E6D">
        <w:rPr>
          <w:rFonts w:ascii="Arial" w:hAnsi="Arial" w:cs="Arial"/>
          <w:u w:val="double"/>
        </w:rPr>
        <w:t>14,080</w:t>
      </w:r>
    </w:p>
    <w:p w:rsidR="00272E6D" w:rsidRDefault="00272E6D" w:rsidP="00E44912">
      <w:pPr>
        <w:spacing w:before="60" w:after="60"/>
        <w:rPr>
          <w:rFonts w:ascii="Arial" w:hAnsi="Arial" w:cs="Arial"/>
        </w:rPr>
      </w:pPr>
      <w:r>
        <w:rPr>
          <w:rFonts w:ascii="Arial" w:hAnsi="Arial" w:cs="Arial"/>
        </w:rPr>
        <w:t>Non-controlling interest’s share (10%)</w:t>
      </w:r>
      <w:r>
        <w:rPr>
          <w:rFonts w:ascii="Arial" w:hAnsi="Arial" w:cs="Arial"/>
        </w:rPr>
        <w:tab/>
      </w:r>
      <w:r>
        <w:rPr>
          <w:rFonts w:ascii="Arial" w:hAnsi="Arial" w:cs="Arial"/>
        </w:rPr>
        <w:tab/>
      </w:r>
      <w:r>
        <w:rPr>
          <w:rFonts w:ascii="Arial" w:hAnsi="Arial" w:cs="Arial"/>
        </w:rPr>
        <w:tab/>
      </w:r>
      <w:r w:rsidRPr="00272E6D">
        <w:rPr>
          <w:rFonts w:ascii="Arial" w:hAnsi="Arial" w:cs="Arial"/>
          <w:b/>
          <w:u w:val="double"/>
        </w:rPr>
        <w:t>$1,408</w:t>
      </w:r>
      <w:r>
        <w:rPr>
          <w:rFonts w:ascii="Arial" w:hAnsi="Arial" w:cs="Arial"/>
        </w:rPr>
        <w:t xml:space="preserve"> </w:t>
      </w:r>
    </w:p>
    <w:p w:rsidR="00577EB7" w:rsidRDefault="00577EB7" w:rsidP="00E44912">
      <w:pPr>
        <w:spacing w:before="60" w:after="60"/>
        <w:rPr>
          <w:rFonts w:ascii="Arial" w:hAnsi="Arial" w:cs="Arial"/>
        </w:rPr>
      </w:pPr>
    </w:p>
    <w:p w:rsidR="00577EB7" w:rsidRDefault="00577EB7" w:rsidP="00E44912">
      <w:pPr>
        <w:spacing w:before="60" w:after="60"/>
        <w:rPr>
          <w:rFonts w:ascii="Arial" w:hAnsi="Arial" w:cs="Arial"/>
        </w:rPr>
      </w:pPr>
      <w:r>
        <w:rPr>
          <w:rFonts w:ascii="Arial" w:hAnsi="Arial" w:cs="Arial"/>
        </w:rPr>
        <w:t>Mom’s Accounting Book</w:t>
      </w:r>
    </w:p>
    <w:p w:rsidR="00577EB7" w:rsidRDefault="00577EB7" w:rsidP="00577EB7">
      <w:pPr>
        <w:numPr>
          <w:ilvl w:val="0"/>
          <w:numId w:val="4"/>
        </w:numPr>
        <w:spacing w:before="60" w:after="60"/>
        <w:rPr>
          <w:rFonts w:ascii="Arial" w:hAnsi="Arial" w:cs="Arial"/>
        </w:rPr>
      </w:pPr>
      <w:r>
        <w:rPr>
          <w:rFonts w:ascii="Arial" w:hAnsi="Arial" w:cs="Arial"/>
        </w:rPr>
        <w:t>Consolidated financial statements may be interpreted as if the parent company and its subsidiary were just one organization</w:t>
      </w:r>
    </w:p>
    <w:p w:rsidR="00577EB7" w:rsidRDefault="00577EB7" w:rsidP="00577EB7">
      <w:pPr>
        <w:numPr>
          <w:ilvl w:val="0"/>
          <w:numId w:val="4"/>
        </w:numPr>
        <w:spacing w:before="60" w:after="60"/>
        <w:rPr>
          <w:rFonts w:ascii="Arial" w:hAnsi="Arial" w:cs="Arial"/>
        </w:rPr>
      </w:pPr>
      <w:r>
        <w:rPr>
          <w:rFonts w:ascii="Arial" w:hAnsi="Arial" w:cs="Arial"/>
        </w:rPr>
        <w:t>We must eliminate intercompany transactions so that the assets, liabilities, and shareholder’s equity were those of a single economic entity.</w:t>
      </w:r>
    </w:p>
    <w:p w:rsidR="00577EB7" w:rsidRDefault="00577EB7" w:rsidP="00577EB7">
      <w:pPr>
        <w:numPr>
          <w:ilvl w:val="0"/>
          <w:numId w:val="4"/>
        </w:numPr>
        <w:spacing w:before="60" w:after="60"/>
        <w:rPr>
          <w:rFonts w:ascii="Arial" w:hAnsi="Arial" w:cs="Arial"/>
        </w:rPr>
      </w:pPr>
      <w:r>
        <w:rPr>
          <w:rFonts w:ascii="Arial" w:hAnsi="Arial" w:cs="Arial"/>
        </w:rPr>
        <w:t xml:space="preserve">Think of intercompany transactions like this... for example, the parent loans subsidiary money. On the separate books, the subsidiary would record notes </w:t>
      </w:r>
      <w:r>
        <w:rPr>
          <w:rFonts w:ascii="Arial" w:hAnsi="Arial" w:cs="Arial"/>
        </w:rPr>
        <w:lastRenderedPageBreak/>
        <w:t>payable and the parent would record a notes receivable. But when consolidated, it is just like a transfer from one part of the business to another</w:t>
      </w:r>
    </w:p>
    <w:p w:rsidR="000E2096" w:rsidRDefault="000E2096" w:rsidP="00577EB7">
      <w:pPr>
        <w:numPr>
          <w:ilvl w:val="0"/>
          <w:numId w:val="4"/>
        </w:numPr>
        <w:spacing w:before="60" w:after="60"/>
        <w:rPr>
          <w:rFonts w:ascii="Arial" w:hAnsi="Arial" w:cs="Arial"/>
        </w:rPr>
      </w:pPr>
      <w:r>
        <w:rPr>
          <w:rFonts w:ascii="Arial" w:hAnsi="Arial" w:cs="Arial"/>
        </w:rPr>
        <w:t>Elimination of intercompany stock ownership: the reason why, on the consolidated statements, the capital stock of the subsidiary is eliminated is because when viewed from a separate point of view, the parent has an interest or investment in the subsidiary (stocks). The subsidiary records the parent’s interest in shareholder’s equity. When they become one entity, there are no “outside shareholders” anymore because the company is one aka the parent is no longer an outside investor; from a single-entity point of view, a company cannot have an interest in its own stock, so it is no longer an asset or shareholder’s equity. This is why the asset account, investment in subsidiary and subsidiary’s shareholder’s equity accounts must be eliminated.</w:t>
      </w:r>
    </w:p>
    <w:p w:rsidR="000E2096" w:rsidRDefault="000E2096" w:rsidP="000E2096">
      <w:pPr>
        <w:numPr>
          <w:ilvl w:val="1"/>
          <w:numId w:val="4"/>
        </w:numPr>
        <w:spacing w:before="60" w:after="60"/>
        <w:rPr>
          <w:rFonts w:ascii="Arial" w:hAnsi="Arial" w:cs="Arial"/>
        </w:rPr>
      </w:pPr>
      <w:r>
        <w:rPr>
          <w:rFonts w:ascii="Arial" w:hAnsi="Arial" w:cs="Arial"/>
        </w:rPr>
        <w:t>Oh I get it – when we use the parent’s common shares and retained earnings only, we are not eliminating anything because the separate-entity view about the investment in the subsidiary isn’t eliminated; if we added the subsidiary’s common shares and retained earnings, we would be accounting for this twice in shareholder’s equity.</w:t>
      </w:r>
    </w:p>
    <w:p w:rsidR="00BC3020" w:rsidRDefault="00BC3020" w:rsidP="00BC3020">
      <w:pPr>
        <w:numPr>
          <w:ilvl w:val="0"/>
          <w:numId w:val="4"/>
        </w:numPr>
        <w:spacing w:before="60" w:after="60"/>
        <w:rPr>
          <w:rFonts w:ascii="Arial" w:hAnsi="Arial" w:cs="Arial"/>
        </w:rPr>
      </w:pPr>
      <w:r>
        <w:rPr>
          <w:rFonts w:ascii="Arial" w:hAnsi="Arial" w:cs="Arial"/>
        </w:rPr>
        <w:t xml:space="preserve">When a company owns more than 50% but less than 100%, another part of shareholder’s equity must be created; the minority’s interest that appears on the balance sheet. Minority interest is the subsidiary’s equity held by shareholders other than that of the parent’s. </w:t>
      </w:r>
    </w:p>
    <w:p w:rsidR="00046DF7" w:rsidRDefault="00046DF7" w:rsidP="00BC3020">
      <w:pPr>
        <w:numPr>
          <w:ilvl w:val="0"/>
          <w:numId w:val="4"/>
        </w:numPr>
        <w:spacing w:before="60" w:after="60"/>
        <w:rPr>
          <w:rFonts w:ascii="Arial" w:hAnsi="Arial" w:cs="Arial"/>
        </w:rPr>
      </w:pPr>
      <w:r>
        <w:rPr>
          <w:rFonts w:ascii="Arial" w:hAnsi="Arial" w:cs="Arial"/>
        </w:rPr>
        <w:t>If you combine common shares and retained earnings of the subsidiary, you will, for example get 160, 000. If the parent owns 75% of the subsidiary, and on its balance sheet shows an investment in the subsidiary of 120, 000, then the minority interest is 40,000 and is recorded separately under shareholder’s equity. I.e. 160,000 x 25% = 40, 000 (on balance sheet).</w:t>
      </w:r>
    </w:p>
    <w:p w:rsidR="00867562" w:rsidRDefault="00867562" w:rsidP="00867562">
      <w:pPr>
        <w:spacing w:before="60" w:after="60"/>
        <w:rPr>
          <w:rFonts w:ascii="Arial" w:hAnsi="Arial" w:cs="Arial"/>
        </w:rPr>
      </w:pPr>
    </w:p>
    <w:p w:rsidR="00867562" w:rsidRDefault="00867562" w:rsidP="00867562">
      <w:pPr>
        <w:spacing w:before="60" w:after="60"/>
        <w:rPr>
          <w:rFonts w:ascii="Arial" w:hAnsi="Arial" w:cs="Arial"/>
        </w:rPr>
      </w:pPr>
      <w:r>
        <w:rPr>
          <w:rFonts w:ascii="Arial" w:hAnsi="Arial" w:cs="Arial"/>
        </w:rPr>
        <w:t>Depreciation</w:t>
      </w:r>
    </w:p>
    <w:p w:rsidR="00867562" w:rsidRDefault="00867562" w:rsidP="00867562">
      <w:pPr>
        <w:numPr>
          <w:ilvl w:val="0"/>
          <w:numId w:val="5"/>
        </w:numPr>
        <w:spacing w:before="60" w:after="60"/>
        <w:rPr>
          <w:rFonts w:ascii="Arial" w:hAnsi="Arial" w:cs="Arial"/>
        </w:rPr>
      </w:pPr>
      <w:r>
        <w:rPr>
          <w:rFonts w:ascii="Arial" w:hAnsi="Arial" w:cs="Arial"/>
        </w:rPr>
        <w:t>Depreciation is a matching of revenues and expenses basically. The asset has a useful life, and each year it creates products that create revenue, and as such, depreciation expense is used to match those revenues.</w:t>
      </w:r>
    </w:p>
    <w:p w:rsidR="00867562" w:rsidRDefault="00867562" w:rsidP="00867562">
      <w:pPr>
        <w:numPr>
          <w:ilvl w:val="0"/>
          <w:numId w:val="5"/>
        </w:numPr>
        <w:spacing w:before="60" w:after="60"/>
        <w:rPr>
          <w:rFonts w:ascii="Arial" w:hAnsi="Arial" w:cs="Arial"/>
        </w:rPr>
      </w:pPr>
      <w:r>
        <w:rPr>
          <w:rFonts w:ascii="Arial" w:hAnsi="Arial" w:cs="Arial"/>
        </w:rPr>
        <w:t xml:space="preserve">Accumulated depreciation is an </w:t>
      </w:r>
      <w:proofErr w:type="gramStart"/>
      <w:r>
        <w:rPr>
          <w:rFonts w:ascii="Arial" w:hAnsi="Arial" w:cs="Arial"/>
        </w:rPr>
        <w:t>account  that</w:t>
      </w:r>
      <w:proofErr w:type="gramEnd"/>
      <w:r>
        <w:rPr>
          <w:rFonts w:ascii="Arial" w:hAnsi="Arial" w:cs="Arial"/>
        </w:rPr>
        <w:t xml:space="preserve"> represents the expired cost of the asset.</w:t>
      </w:r>
    </w:p>
    <w:p w:rsidR="00867562" w:rsidRDefault="00867562" w:rsidP="00867562">
      <w:pPr>
        <w:numPr>
          <w:ilvl w:val="0"/>
          <w:numId w:val="5"/>
        </w:numPr>
        <w:spacing w:before="60" w:after="60"/>
        <w:rPr>
          <w:rFonts w:ascii="Arial" w:hAnsi="Arial" w:cs="Arial"/>
        </w:rPr>
      </w:pPr>
      <w:r>
        <w:rPr>
          <w:rFonts w:ascii="Arial" w:hAnsi="Arial" w:cs="Arial"/>
        </w:rPr>
        <w:t>Upon disposal of property, plan, or equipment, the remaining amount in the asset account is removed, and the accumulated depreciation is also removed.</w:t>
      </w:r>
    </w:p>
    <w:p w:rsidR="00867562" w:rsidRDefault="00867562" w:rsidP="00867562">
      <w:pPr>
        <w:numPr>
          <w:ilvl w:val="0"/>
          <w:numId w:val="5"/>
        </w:numPr>
        <w:spacing w:before="60" w:after="60"/>
        <w:rPr>
          <w:rFonts w:ascii="Arial" w:hAnsi="Arial" w:cs="Arial"/>
        </w:rPr>
      </w:pPr>
      <w:r>
        <w:rPr>
          <w:rFonts w:ascii="Arial" w:hAnsi="Arial" w:cs="Arial"/>
        </w:rPr>
        <w:t>When assets are sold, gain or loss arises between the price received and the book value. Gains or losses should be shown on the income statement.</w:t>
      </w:r>
    </w:p>
    <w:p w:rsidR="00867562" w:rsidRDefault="00867562" w:rsidP="00867562">
      <w:pPr>
        <w:numPr>
          <w:ilvl w:val="1"/>
          <w:numId w:val="5"/>
        </w:numPr>
        <w:spacing w:before="60" w:after="60"/>
        <w:rPr>
          <w:rFonts w:ascii="Arial" w:hAnsi="Arial" w:cs="Arial"/>
        </w:rPr>
      </w:pPr>
      <w:r>
        <w:rPr>
          <w:rFonts w:ascii="Arial" w:hAnsi="Arial" w:cs="Arial"/>
        </w:rPr>
        <w:t>A loss is always a debit, and a gain is always a credit</w:t>
      </w:r>
    </w:p>
    <w:p w:rsidR="009274D5" w:rsidRDefault="009274D5" w:rsidP="009274D5">
      <w:pPr>
        <w:numPr>
          <w:ilvl w:val="0"/>
          <w:numId w:val="5"/>
        </w:numPr>
        <w:spacing w:before="60" w:after="60"/>
        <w:rPr>
          <w:rFonts w:ascii="Arial" w:hAnsi="Arial" w:cs="Arial"/>
        </w:rPr>
      </w:pPr>
      <w:r>
        <w:rPr>
          <w:rFonts w:ascii="Arial" w:hAnsi="Arial" w:cs="Arial"/>
        </w:rPr>
        <w:t>Depreciation is an expense because it is logical to assume that the equipment will generate revenues over its useful life, and thus depreciation expense reduces net income meaning there is a reduction in taxes.</w:t>
      </w:r>
    </w:p>
    <w:p w:rsidR="004B4442" w:rsidRDefault="004B4442" w:rsidP="004B4442">
      <w:pPr>
        <w:spacing w:before="60" w:after="60"/>
        <w:rPr>
          <w:rFonts w:ascii="Arial" w:hAnsi="Arial" w:cs="Arial"/>
        </w:rPr>
      </w:pPr>
    </w:p>
    <w:p w:rsidR="009274D5" w:rsidRDefault="009274D5" w:rsidP="004B4442">
      <w:pPr>
        <w:spacing w:before="60" w:after="60"/>
        <w:rPr>
          <w:rFonts w:ascii="Arial" w:hAnsi="Arial" w:cs="Arial"/>
        </w:rPr>
      </w:pPr>
    </w:p>
    <w:p w:rsidR="004B4442" w:rsidRDefault="004B4442" w:rsidP="004B4442">
      <w:pPr>
        <w:spacing w:before="60" w:after="60"/>
        <w:rPr>
          <w:rFonts w:ascii="Arial" w:hAnsi="Arial" w:cs="Arial"/>
        </w:rPr>
      </w:pPr>
      <w:r>
        <w:rPr>
          <w:rFonts w:ascii="Arial" w:hAnsi="Arial" w:cs="Arial"/>
        </w:rPr>
        <w:lastRenderedPageBreak/>
        <w:t>Income Tax Allocation</w:t>
      </w:r>
    </w:p>
    <w:p w:rsidR="004B4442" w:rsidRDefault="00A428BC" w:rsidP="004B4442">
      <w:pPr>
        <w:numPr>
          <w:ilvl w:val="0"/>
          <w:numId w:val="6"/>
        </w:numPr>
        <w:spacing w:before="60" w:after="60"/>
        <w:rPr>
          <w:rFonts w:ascii="Arial" w:hAnsi="Arial" w:cs="Arial"/>
        </w:rPr>
      </w:pPr>
      <w:r>
        <w:rPr>
          <w:rFonts w:ascii="Arial" w:hAnsi="Arial" w:cs="Arial"/>
        </w:rPr>
        <w:t>The objection of income tax allocation is in relation to accounting income whenever differences arise in the timing of revenues or expenses.</w:t>
      </w:r>
    </w:p>
    <w:p w:rsidR="00A428BC" w:rsidRDefault="00A428BC" w:rsidP="004B4442">
      <w:pPr>
        <w:numPr>
          <w:ilvl w:val="0"/>
          <w:numId w:val="6"/>
        </w:numPr>
        <w:spacing w:before="60" w:after="60"/>
        <w:rPr>
          <w:rFonts w:ascii="Arial" w:hAnsi="Arial" w:cs="Arial"/>
        </w:rPr>
      </w:pPr>
      <w:r>
        <w:rPr>
          <w:rFonts w:ascii="Arial" w:hAnsi="Arial" w:cs="Arial"/>
        </w:rPr>
        <w:t>For example, say company X earns 600,000 income before taxes in both year 1 and year 2. There is a tax rate of 43%.</w:t>
      </w:r>
    </w:p>
    <w:p w:rsidR="00A428BC" w:rsidRDefault="00A428BC" w:rsidP="004B4442">
      <w:pPr>
        <w:numPr>
          <w:ilvl w:val="0"/>
          <w:numId w:val="6"/>
        </w:numPr>
        <w:spacing w:before="60" w:after="60"/>
        <w:rPr>
          <w:rFonts w:ascii="Arial" w:hAnsi="Arial" w:cs="Arial"/>
        </w:rPr>
      </w:pPr>
      <w:r>
        <w:rPr>
          <w:rFonts w:ascii="Arial" w:hAnsi="Arial" w:cs="Arial"/>
        </w:rPr>
        <w:t>For example, say that the company takes a tax deduction of 200,000 in year 1, meaning it will only pay taxes based on 400,000 of income. But in year 2, taxable income will now be 800,000.</w:t>
      </w:r>
    </w:p>
    <w:p w:rsidR="00A428BC" w:rsidRDefault="00A428BC" w:rsidP="004B4442">
      <w:pPr>
        <w:numPr>
          <w:ilvl w:val="0"/>
          <w:numId w:val="6"/>
        </w:numPr>
        <w:spacing w:before="60" w:after="60"/>
        <w:rPr>
          <w:rFonts w:ascii="Arial" w:hAnsi="Arial" w:cs="Arial"/>
        </w:rPr>
      </w:pPr>
      <w:r>
        <w:rPr>
          <w:rFonts w:ascii="Arial" w:hAnsi="Arial" w:cs="Arial"/>
        </w:rPr>
        <w:t>In the company’s financial statements, a net income of 600,000 will be recorded</w:t>
      </w:r>
      <w:r w:rsidR="00B8377F">
        <w:rPr>
          <w:rFonts w:ascii="Arial" w:hAnsi="Arial" w:cs="Arial"/>
        </w:rPr>
        <w:t xml:space="preserve"> but only 400,000x43% will be income tax payable (172,000) but income tax expense will be recorded at 600,000x43% (258,000). There will be a credit of deferred income taxes being the difference between 172 and 258 (86,000)</w:t>
      </w:r>
    </w:p>
    <w:p w:rsidR="00B8377F" w:rsidRDefault="00B8377F" w:rsidP="004B4442">
      <w:pPr>
        <w:numPr>
          <w:ilvl w:val="0"/>
          <w:numId w:val="6"/>
        </w:numPr>
        <w:spacing w:before="60" w:after="60"/>
        <w:rPr>
          <w:rFonts w:ascii="Arial" w:hAnsi="Arial" w:cs="Arial"/>
        </w:rPr>
      </w:pPr>
      <w:r>
        <w:rPr>
          <w:rFonts w:ascii="Arial" w:hAnsi="Arial" w:cs="Arial"/>
        </w:rPr>
        <w:t xml:space="preserve">In year 2, income tax expense will be based off the 600,000 net </w:t>
      </w:r>
      <w:proofErr w:type="gramStart"/>
      <w:r>
        <w:rPr>
          <w:rFonts w:ascii="Arial" w:hAnsi="Arial" w:cs="Arial"/>
        </w:rPr>
        <w:t>income</w:t>
      </w:r>
      <w:proofErr w:type="gramEnd"/>
      <w:r>
        <w:rPr>
          <w:rFonts w:ascii="Arial" w:hAnsi="Arial" w:cs="Arial"/>
        </w:rPr>
        <w:t>, but taxes payable will include the amount for 600,000 plus that years actual income tax expense. So income tax payable would be 344,000. Income tax expense would be 258,000 and deferred income tax would be 86,000; to eliminate the prior year.</w:t>
      </w:r>
    </w:p>
    <w:p w:rsidR="00272E6D" w:rsidRPr="00272E6D" w:rsidRDefault="00272E6D" w:rsidP="00272E6D">
      <w:pPr>
        <w:spacing w:before="60" w:after="60"/>
        <w:rPr>
          <w:rFonts w:ascii="Arial" w:hAnsi="Arial" w:cs="Arial"/>
        </w:rPr>
      </w:pPr>
    </w:p>
    <w:p w:rsidR="00272E6D" w:rsidRPr="00272E6D" w:rsidRDefault="00272E6D" w:rsidP="00E44912">
      <w:pPr>
        <w:spacing w:before="60" w:after="60"/>
        <w:rPr>
          <w:rFonts w:ascii="Arial" w:hAnsi="Arial" w:cs="Arial"/>
        </w:rPr>
      </w:pPr>
    </w:p>
    <w:p w:rsidR="00E44912" w:rsidRPr="00E941DE" w:rsidRDefault="00E44912" w:rsidP="00577EB7">
      <w:pPr>
        <w:spacing w:before="60" w:after="60"/>
        <w:jc w:val="both"/>
        <w:rPr>
          <w:rFonts w:ascii="Arial" w:hAnsi="Arial" w:cs="Arial"/>
        </w:rPr>
      </w:pPr>
    </w:p>
    <w:p w:rsidR="00067ECF" w:rsidRDefault="00067ECF" w:rsidP="00067ECF">
      <w:pPr>
        <w:spacing w:before="60" w:after="60"/>
        <w:rPr>
          <w:rFonts w:ascii="Arial" w:hAnsi="Arial" w:cs="Arial"/>
        </w:rPr>
      </w:pPr>
      <w:r>
        <w:rPr>
          <w:rFonts w:ascii="Arial" w:hAnsi="Arial" w:cs="Arial"/>
        </w:rPr>
        <w:t>Questions</w:t>
      </w:r>
    </w:p>
    <w:p w:rsidR="00067ECF" w:rsidRDefault="00067ECF" w:rsidP="00067ECF">
      <w:pPr>
        <w:numPr>
          <w:ilvl w:val="0"/>
          <w:numId w:val="2"/>
        </w:numPr>
        <w:spacing w:before="60" w:after="60"/>
        <w:rPr>
          <w:rFonts w:ascii="Arial" w:hAnsi="Arial" w:cs="Arial"/>
        </w:rPr>
      </w:pPr>
      <w:r>
        <w:rPr>
          <w:rFonts w:ascii="Arial" w:hAnsi="Arial" w:cs="Arial"/>
        </w:rPr>
        <w:t>Are subsidiary’s separate-entity books affected by upstream and/or downstream transactions?</w:t>
      </w:r>
    </w:p>
    <w:p w:rsidR="00FD655D" w:rsidRDefault="00FD655D" w:rsidP="00FD655D">
      <w:pPr>
        <w:numPr>
          <w:ilvl w:val="1"/>
          <w:numId w:val="2"/>
        </w:numPr>
        <w:spacing w:before="60" w:after="60"/>
        <w:rPr>
          <w:rFonts w:ascii="Arial" w:hAnsi="Arial" w:cs="Arial"/>
        </w:rPr>
      </w:pPr>
      <w:r>
        <w:rPr>
          <w:rFonts w:ascii="Arial" w:hAnsi="Arial" w:cs="Arial"/>
        </w:rPr>
        <w:t>Don’t think so</w:t>
      </w:r>
    </w:p>
    <w:p w:rsidR="00FD655D" w:rsidRPr="00067ECF" w:rsidRDefault="00E941DE" w:rsidP="00FD655D">
      <w:pPr>
        <w:numPr>
          <w:ilvl w:val="0"/>
          <w:numId w:val="2"/>
        </w:numPr>
        <w:spacing w:before="60" w:after="60"/>
        <w:rPr>
          <w:rFonts w:ascii="Arial" w:hAnsi="Arial" w:cs="Arial"/>
        </w:rPr>
      </w:pPr>
      <w:r>
        <w:rPr>
          <w:rFonts w:ascii="Arial" w:hAnsi="Arial" w:cs="Arial"/>
        </w:rPr>
        <w:t>So you have to figure consolidated net-income for the parent and also for the non-controlling interest?</w:t>
      </w:r>
    </w:p>
    <w:sectPr w:rsidR="00FD655D" w:rsidRPr="00067ECF" w:rsidSect="008F1F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86146"/>
    <w:multiLevelType w:val="hybridMultilevel"/>
    <w:tmpl w:val="105E6558"/>
    <w:lvl w:ilvl="0" w:tplc="AF9220A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C70943"/>
    <w:multiLevelType w:val="hybridMultilevel"/>
    <w:tmpl w:val="6F36FBA2"/>
    <w:lvl w:ilvl="0" w:tplc="AF9220A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234987"/>
    <w:multiLevelType w:val="hybridMultilevel"/>
    <w:tmpl w:val="F94696E4"/>
    <w:lvl w:ilvl="0" w:tplc="AF9220A2">
      <w:start w:val="1"/>
      <w:numFmt w:val="bullet"/>
      <w:lvlText w:val=""/>
      <w:lvlJc w:val="left"/>
      <w:pPr>
        <w:ind w:left="9222" w:hanging="360"/>
      </w:pPr>
      <w:rPr>
        <w:rFonts w:ascii="Symbol" w:hAnsi="Symbol" w:hint="default"/>
      </w:rPr>
    </w:lvl>
    <w:lvl w:ilvl="1" w:tplc="10090003" w:tentative="1">
      <w:start w:val="1"/>
      <w:numFmt w:val="bullet"/>
      <w:lvlText w:val="o"/>
      <w:lvlJc w:val="left"/>
      <w:pPr>
        <w:ind w:left="9942" w:hanging="360"/>
      </w:pPr>
      <w:rPr>
        <w:rFonts w:ascii="Courier New" w:hAnsi="Courier New" w:cs="Courier New" w:hint="default"/>
      </w:rPr>
    </w:lvl>
    <w:lvl w:ilvl="2" w:tplc="10090005" w:tentative="1">
      <w:start w:val="1"/>
      <w:numFmt w:val="bullet"/>
      <w:lvlText w:val=""/>
      <w:lvlJc w:val="left"/>
      <w:pPr>
        <w:ind w:left="10662" w:hanging="360"/>
      </w:pPr>
      <w:rPr>
        <w:rFonts w:ascii="Wingdings" w:hAnsi="Wingdings" w:hint="default"/>
      </w:rPr>
    </w:lvl>
    <w:lvl w:ilvl="3" w:tplc="10090001" w:tentative="1">
      <w:start w:val="1"/>
      <w:numFmt w:val="bullet"/>
      <w:lvlText w:val=""/>
      <w:lvlJc w:val="left"/>
      <w:pPr>
        <w:ind w:left="11382" w:hanging="360"/>
      </w:pPr>
      <w:rPr>
        <w:rFonts w:ascii="Symbol" w:hAnsi="Symbol" w:hint="default"/>
      </w:rPr>
    </w:lvl>
    <w:lvl w:ilvl="4" w:tplc="10090003" w:tentative="1">
      <w:start w:val="1"/>
      <w:numFmt w:val="bullet"/>
      <w:lvlText w:val="o"/>
      <w:lvlJc w:val="left"/>
      <w:pPr>
        <w:ind w:left="12102" w:hanging="360"/>
      </w:pPr>
      <w:rPr>
        <w:rFonts w:ascii="Courier New" w:hAnsi="Courier New" w:cs="Courier New" w:hint="default"/>
      </w:rPr>
    </w:lvl>
    <w:lvl w:ilvl="5" w:tplc="10090005" w:tentative="1">
      <w:start w:val="1"/>
      <w:numFmt w:val="bullet"/>
      <w:lvlText w:val=""/>
      <w:lvlJc w:val="left"/>
      <w:pPr>
        <w:ind w:left="12822" w:hanging="360"/>
      </w:pPr>
      <w:rPr>
        <w:rFonts w:ascii="Wingdings" w:hAnsi="Wingdings" w:hint="default"/>
      </w:rPr>
    </w:lvl>
    <w:lvl w:ilvl="6" w:tplc="10090001" w:tentative="1">
      <w:start w:val="1"/>
      <w:numFmt w:val="bullet"/>
      <w:lvlText w:val=""/>
      <w:lvlJc w:val="left"/>
      <w:pPr>
        <w:ind w:left="13542" w:hanging="360"/>
      </w:pPr>
      <w:rPr>
        <w:rFonts w:ascii="Symbol" w:hAnsi="Symbol" w:hint="default"/>
      </w:rPr>
    </w:lvl>
    <w:lvl w:ilvl="7" w:tplc="10090003" w:tentative="1">
      <w:start w:val="1"/>
      <w:numFmt w:val="bullet"/>
      <w:lvlText w:val="o"/>
      <w:lvlJc w:val="left"/>
      <w:pPr>
        <w:ind w:left="14262" w:hanging="360"/>
      </w:pPr>
      <w:rPr>
        <w:rFonts w:ascii="Courier New" w:hAnsi="Courier New" w:cs="Courier New" w:hint="default"/>
      </w:rPr>
    </w:lvl>
    <w:lvl w:ilvl="8" w:tplc="10090005" w:tentative="1">
      <w:start w:val="1"/>
      <w:numFmt w:val="bullet"/>
      <w:lvlText w:val=""/>
      <w:lvlJc w:val="left"/>
      <w:pPr>
        <w:ind w:left="14982" w:hanging="360"/>
      </w:pPr>
      <w:rPr>
        <w:rFonts w:ascii="Wingdings" w:hAnsi="Wingdings" w:hint="default"/>
      </w:rPr>
    </w:lvl>
  </w:abstractNum>
  <w:abstractNum w:abstractNumId="3">
    <w:nsid w:val="2E843228"/>
    <w:multiLevelType w:val="hybridMultilevel"/>
    <w:tmpl w:val="E40EB04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D4F4394"/>
    <w:multiLevelType w:val="hybridMultilevel"/>
    <w:tmpl w:val="9C24B0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E2B1E56"/>
    <w:multiLevelType w:val="hybridMultilevel"/>
    <w:tmpl w:val="1FD82D9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41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023"/>
    <w:rsid w:val="00046DF7"/>
    <w:rsid w:val="00067ECF"/>
    <w:rsid w:val="000B30E1"/>
    <w:rsid w:val="000E2096"/>
    <w:rsid w:val="00115839"/>
    <w:rsid w:val="00272E6D"/>
    <w:rsid w:val="002972E3"/>
    <w:rsid w:val="003D2CFB"/>
    <w:rsid w:val="004B4442"/>
    <w:rsid w:val="005651B7"/>
    <w:rsid w:val="00577EB7"/>
    <w:rsid w:val="007C7E5E"/>
    <w:rsid w:val="00867562"/>
    <w:rsid w:val="008C0FB3"/>
    <w:rsid w:val="008F1F7F"/>
    <w:rsid w:val="009274D5"/>
    <w:rsid w:val="009C0B64"/>
    <w:rsid w:val="00A428BC"/>
    <w:rsid w:val="00A54E73"/>
    <w:rsid w:val="00B8377F"/>
    <w:rsid w:val="00BC3020"/>
    <w:rsid w:val="00C17226"/>
    <w:rsid w:val="00D033D6"/>
    <w:rsid w:val="00E44912"/>
    <w:rsid w:val="00E941DE"/>
    <w:rsid w:val="00F33231"/>
    <w:rsid w:val="00FA2555"/>
    <w:rsid w:val="00FB4023"/>
    <w:rsid w:val="00FD655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bel" w:eastAsiaTheme="minorHAnsi" w:hAnsi="Corbel" w:cstheme="minorBidi"/>
        <w:sz w:val="24"/>
        <w:szCs w:val="22"/>
        <w:lang w:val="en-CA" w:eastAsia="en-US" w:bidi="ar-SA"/>
      </w:rPr>
    </w:rPrDefault>
    <w:pPrDefault>
      <w:pPr>
        <w:spacing w:after="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0FB3"/>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bel" w:eastAsiaTheme="minorHAnsi" w:hAnsi="Corbel" w:cstheme="minorBidi"/>
        <w:sz w:val="24"/>
        <w:szCs w:val="22"/>
        <w:lang w:val="en-CA" w:eastAsia="en-US" w:bidi="ar-SA"/>
      </w:rPr>
    </w:rPrDefault>
    <w:pPrDefault>
      <w:pPr>
        <w:spacing w:after="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0FB3"/>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997433">
      <w:bodyDiv w:val="1"/>
      <w:marLeft w:val="0"/>
      <w:marRight w:val="0"/>
      <w:marTop w:val="0"/>
      <w:marBottom w:val="0"/>
      <w:divBdr>
        <w:top w:val="none" w:sz="0" w:space="0" w:color="auto"/>
        <w:left w:val="none" w:sz="0" w:space="0" w:color="auto"/>
        <w:bottom w:val="none" w:sz="0" w:space="0" w:color="auto"/>
        <w:right w:val="none" w:sz="0" w:space="0" w:color="auto"/>
      </w:divBdr>
    </w:div>
    <w:div w:id="211813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C5442-71E5-49E4-98A9-1173F3273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1128</Words>
  <Characters>6433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Johanne</dc:creator>
  <cp:lastModifiedBy>Pat Rodgers</cp:lastModifiedBy>
  <cp:revision>2</cp:revision>
  <dcterms:created xsi:type="dcterms:W3CDTF">2012-06-13T20:33:00Z</dcterms:created>
  <dcterms:modified xsi:type="dcterms:W3CDTF">2012-06-13T20:33:00Z</dcterms:modified>
</cp:coreProperties>
</file>