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Communism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Equality in terms of social relations; founded on a materialist conception of society.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Abolishment of private property.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About the Communist Manifesto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Written in the middle part of the eighteen hundreds.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Co-written between Marx and Engels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Programme written with no distinct plan to be carried out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Theoretical treatise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Offering of a revolutionary utopia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Brief, pamphlet of the day.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Language is direct and simple.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Critical of capitalist belief, but did not elaborate on how communism will be carried out.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Accessible, supportive of its own idea of equality.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Class struggle is the engine of history - property relations in terms of social class (materialist)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Even institutions like the family, religion, state, etc . derive from the materialist aspects of society.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Oppressor and oppressed.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All of human history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Communism is the ultimate end of history → people will have remediated the conflict of class struggle.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Modes of production (the way we produce things; nature of economics)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Primitive communism - No private property; land and resources are held in common knowledge.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Ancient slavery - Commodification of human beings and of human labour.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Medieval feudalism - Characterized by private property; distinction between those who own and those who don’t.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Capitalism - Emergence of industrial capitalism in the early modern era; labour for wages.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Profit is exploitative of the people who actually produce.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Mutual dependency between the proletariat and the bourgeois, but not necessarily a fair or equal distribution.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When the proletariat reach this indefinable state of consciousness, society as a whole will rise up.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