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74791827"/>
        <w:docPartObj>
          <w:docPartGallery w:val="Cover Pages"/>
          <w:docPartUnique/>
        </w:docPartObj>
      </w:sdtPr>
      <w:sdtEndPr>
        <w:rPr>
          <w:b/>
          <w:sz w:val="28"/>
        </w:rPr>
      </w:sdtEndPr>
      <w:sdtContent>
        <w:p w:rsidR="009437B7" w:rsidRDefault="009437B7"/>
        <w:p w:rsidR="009437B7" w:rsidRDefault="009437B7">
          <w:pPr>
            <w:rPr>
              <w:b/>
              <w:sz w:val="28"/>
            </w:rPr>
          </w:pPr>
          <w:r>
            <w:rPr>
              <w:noProof/>
              <w:lang w:eastAsia="en-CA"/>
            </w:rPr>
            <mc:AlternateContent>
              <mc:Choice Requires="wps">
                <w:drawing>
                  <wp:anchor distT="0" distB="0" distL="114300" distR="114300" simplePos="0" relativeHeight="251670528" behindDoc="0" locked="0" layoutInCell="1" allowOverlap="1" wp14:anchorId="6ED50263" wp14:editId="7CC99350">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5-03-25T00:00:00Z">
                                    <w:dateFormat w:val="MMMM d, yyyy"/>
                                    <w:lid w:val="en-US"/>
                                    <w:storeMappedDataAs w:val="dateTime"/>
                                    <w:calendar w:val="gregorian"/>
                                  </w:date>
                                </w:sdtPr>
                                <w:sdtContent>
                                  <w:p w:rsidR="005A59F6" w:rsidRDefault="005A59F6">
                                    <w:pPr>
                                      <w:pStyle w:val="NoSpacing"/>
                                      <w:jc w:val="right"/>
                                      <w:rPr>
                                        <w:caps/>
                                        <w:color w:val="323E4F" w:themeColor="text2" w:themeShade="BF"/>
                                        <w:sz w:val="40"/>
                                        <w:szCs w:val="40"/>
                                      </w:rPr>
                                    </w:pPr>
                                    <w:r>
                                      <w:rPr>
                                        <w:caps/>
                                        <w:color w:val="323E4F" w:themeColor="text2" w:themeShade="BF"/>
                                        <w:sz w:val="40"/>
                                        <w:szCs w:val="40"/>
                                      </w:rPr>
                                      <w:t>March 25, 2015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ED50263" id="_x0000_t202" coordsize="21600,21600" o:spt="202" path="m,l,21600r21600,l21600,xe">
                    <v:stroke joinstyle="miter"/>
                    <v:path gradientshapeok="t" o:connecttype="rect"/>
                  </v:shapetype>
                  <v:shape id="Text Box 111" o:spid="_x0000_s1026" type="#_x0000_t202" style="position:absolute;margin-left:0;margin-top:0;width:288.25pt;height:287.5pt;z-index:25167052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5-03-25T00:00:00Z">
                              <w:dateFormat w:val="MMMM d, yyyy"/>
                              <w:lid w:val="en-US"/>
                              <w:storeMappedDataAs w:val="dateTime"/>
                              <w:calendar w:val="gregorian"/>
                            </w:date>
                          </w:sdtPr>
                          <w:sdtContent>
                            <w:p w:rsidR="005A59F6" w:rsidRDefault="005A59F6">
                              <w:pPr>
                                <w:pStyle w:val="NoSpacing"/>
                                <w:jc w:val="right"/>
                                <w:rPr>
                                  <w:caps/>
                                  <w:color w:val="323E4F" w:themeColor="text2" w:themeShade="BF"/>
                                  <w:sz w:val="40"/>
                                  <w:szCs w:val="40"/>
                                </w:rPr>
                              </w:pPr>
                              <w:r>
                                <w:rPr>
                                  <w:caps/>
                                  <w:color w:val="323E4F" w:themeColor="text2" w:themeShade="BF"/>
                                  <w:sz w:val="40"/>
                                  <w:szCs w:val="40"/>
                                </w:rPr>
                                <w:t>March 25, 2015</w:t>
                              </w:r>
                            </w:p>
                          </w:sdtContent>
                        </w:sdt>
                      </w:txbxContent>
                    </v:textbox>
                    <w10:wrap type="square" anchorx="page" anchory="page"/>
                  </v:shape>
                </w:pict>
              </mc:Fallback>
            </mc:AlternateContent>
          </w:r>
          <w:r>
            <w:rPr>
              <w:noProof/>
              <w:lang w:eastAsia="en-CA"/>
            </w:rPr>
            <mc:AlternateContent>
              <mc:Choice Requires="wps">
                <w:drawing>
                  <wp:anchor distT="0" distB="0" distL="114300" distR="114300" simplePos="0" relativeHeight="251669504" behindDoc="0" locked="0" layoutInCell="1" allowOverlap="1" wp14:anchorId="5C254DEF" wp14:editId="1E2BBCFE">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rsidR="005A59F6" w:rsidRDefault="005A59F6">
                                    <w:pPr>
                                      <w:pStyle w:val="NoSpacing"/>
                                      <w:jc w:val="right"/>
                                      <w:rPr>
                                        <w:caps/>
                                        <w:color w:val="262626" w:themeColor="text1" w:themeTint="D9"/>
                                        <w:sz w:val="28"/>
                                        <w:szCs w:val="28"/>
                                      </w:rPr>
                                    </w:pPr>
                                    <w:r>
                                      <w:rPr>
                                        <w:caps/>
                                        <w:color w:val="262626" w:themeColor="text1" w:themeTint="D9"/>
                                        <w:sz w:val="28"/>
                                        <w:szCs w:val="28"/>
                                      </w:rPr>
                                      <w:t xml:space="preserve">     </w:t>
                                    </w:r>
                                  </w:p>
                                </w:sdtContent>
                              </w:sdt>
                              <w:p w:rsidR="005A59F6" w:rsidRDefault="005A59F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lang w:val="en-CA"/>
                                      </w:rPr>
                                      <w:t>ENGR 244</w:t>
                                    </w:r>
                                  </w:sdtContent>
                                </w:sdt>
                              </w:p>
                              <w:p w:rsidR="005A59F6" w:rsidRDefault="005A59F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C254DEF" id="Text Box 112" o:spid="_x0000_s1027" type="#_x0000_t202" style="position:absolute;margin-left:0;margin-top:0;width:453pt;height:51.4pt;z-index:25166950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rsidR="005A59F6" w:rsidRDefault="005A59F6">
                              <w:pPr>
                                <w:pStyle w:val="NoSpacing"/>
                                <w:jc w:val="right"/>
                                <w:rPr>
                                  <w:caps/>
                                  <w:color w:val="262626" w:themeColor="text1" w:themeTint="D9"/>
                                  <w:sz w:val="28"/>
                                  <w:szCs w:val="28"/>
                                </w:rPr>
                              </w:pPr>
                              <w:r>
                                <w:rPr>
                                  <w:caps/>
                                  <w:color w:val="262626" w:themeColor="text1" w:themeTint="D9"/>
                                  <w:sz w:val="28"/>
                                  <w:szCs w:val="28"/>
                                </w:rPr>
                                <w:t xml:space="preserve">     </w:t>
                              </w:r>
                            </w:p>
                          </w:sdtContent>
                        </w:sdt>
                        <w:p w:rsidR="005A59F6" w:rsidRDefault="005A59F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lang w:val="en-CA"/>
                                </w:rPr>
                                <w:t>ENGR 244</w:t>
                              </w:r>
                            </w:sdtContent>
                          </w:sdt>
                        </w:p>
                        <w:p w:rsidR="005A59F6" w:rsidRDefault="005A59F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en-CA"/>
            </w:rPr>
            <mc:AlternateContent>
              <mc:Choice Requires="wps">
                <w:drawing>
                  <wp:anchor distT="0" distB="0" distL="114300" distR="114300" simplePos="0" relativeHeight="251668480" behindDoc="0" locked="0" layoutInCell="1" allowOverlap="1" wp14:anchorId="60558A01" wp14:editId="4C9C2772">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59F6" w:rsidRDefault="005A59F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lang w:val="en-CA"/>
                                      </w:rPr>
                                      <w:t>deflection of beams Lab #5</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5A59F6" w:rsidRDefault="005A59F6">
                                    <w:pPr>
                                      <w:pStyle w:val="NoSpacing"/>
                                      <w:jc w:val="right"/>
                                      <w:rPr>
                                        <w:smallCaps/>
                                        <w:color w:val="44546A" w:themeColor="text2"/>
                                        <w:sz w:val="36"/>
                                        <w:szCs w:val="36"/>
                                      </w:rPr>
                                    </w:pPr>
                                    <w:r>
                                      <w:rPr>
                                        <w:smallCaps/>
                                        <w:color w:val="44546A" w:themeColor="text2"/>
                                        <w:sz w:val="36"/>
                                        <w:szCs w:val="36"/>
                                        <w:lang w:val="en-CA"/>
                                      </w:rPr>
                                      <w:t xml:space="preserve">Teodor </w:t>
                                    </w:r>
                                    <w:proofErr w:type="spellStart"/>
                                    <w:r>
                                      <w:rPr>
                                        <w:smallCaps/>
                                        <w:color w:val="44546A" w:themeColor="text2"/>
                                        <w:sz w:val="36"/>
                                        <w:szCs w:val="36"/>
                                        <w:lang w:val="en-CA"/>
                                      </w:rPr>
                                      <w:t>Matusoiu</w:t>
                                    </w:r>
                                    <w:proofErr w:type="spellEnd"/>
                                    <w:r>
                                      <w:rPr>
                                        <w:smallCaps/>
                                        <w:color w:val="44546A" w:themeColor="text2"/>
                                        <w:sz w:val="36"/>
                                        <w:szCs w:val="36"/>
                                        <w:lang w:val="en-CA"/>
                                      </w:rPr>
                                      <w:t xml:space="preserve"> - 27509669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0558A01" id="Text Box 113" o:spid="_x0000_s1028" type="#_x0000_t202" style="position:absolute;margin-left:0;margin-top:0;width:453pt;height:41.4pt;z-index:251668480;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5A59F6" w:rsidRDefault="005A59F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lang w:val="en-CA"/>
                                </w:rPr>
                                <w:t>deflection of beams Lab #5</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5A59F6" w:rsidRDefault="005A59F6">
                              <w:pPr>
                                <w:pStyle w:val="NoSpacing"/>
                                <w:jc w:val="right"/>
                                <w:rPr>
                                  <w:smallCaps/>
                                  <w:color w:val="44546A" w:themeColor="text2"/>
                                  <w:sz w:val="36"/>
                                  <w:szCs w:val="36"/>
                                </w:rPr>
                              </w:pPr>
                              <w:r>
                                <w:rPr>
                                  <w:smallCaps/>
                                  <w:color w:val="44546A" w:themeColor="text2"/>
                                  <w:sz w:val="36"/>
                                  <w:szCs w:val="36"/>
                                  <w:lang w:val="en-CA"/>
                                </w:rPr>
                                <w:t xml:space="preserve">Teodor </w:t>
                              </w:r>
                              <w:proofErr w:type="spellStart"/>
                              <w:r>
                                <w:rPr>
                                  <w:smallCaps/>
                                  <w:color w:val="44546A" w:themeColor="text2"/>
                                  <w:sz w:val="36"/>
                                  <w:szCs w:val="36"/>
                                  <w:lang w:val="en-CA"/>
                                </w:rPr>
                                <w:t>Matusoiu</w:t>
                              </w:r>
                              <w:proofErr w:type="spellEnd"/>
                              <w:r>
                                <w:rPr>
                                  <w:smallCaps/>
                                  <w:color w:val="44546A" w:themeColor="text2"/>
                                  <w:sz w:val="36"/>
                                  <w:szCs w:val="36"/>
                                  <w:lang w:val="en-CA"/>
                                </w:rPr>
                                <w:t xml:space="preserve"> - 27509669</w:t>
                              </w:r>
                            </w:p>
                          </w:sdtContent>
                        </w:sdt>
                      </w:txbxContent>
                    </v:textbox>
                    <w10:wrap type="square" anchorx="page" anchory="page"/>
                  </v:shape>
                </w:pict>
              </mc:Fallback>
            </mc:AlternateContent>
          </w:r>
          <w:r>
            <w:rPr>
              <w:noProof/>
              <w:lang w:eastAsia="en-CA"/>
            </w:rPr>
            <mc:AlternateContent>
              <mc:Choice Requires="wpg">
                <w:drawing>
                  <wp:anchor distT="0" distB="0" distL="114300" distR="114300" simplePos="0" relativeHeight="251667456"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515FFC2" id="Group 114" o:spid="_x0000_s1026" style="position:absolute;margin-left:0;margin-top:0;width:18pt;height:10in;z-index:25166745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r>
            <w:rPr>
              <w:b/>
              <w:sz w:val="28"/>
            </w:rPr>
            <w:br w:type="page"/>
          </w:r>
        </w:p>
      </w:sdtContent>
    </w:sdt>
    <w:p w:rsidR="00E665B5" w:rsidRDefault="00DE12A5">
      <w:pPr>
        <w:rPr>
          <w:b/>
          <w:sz w:val="28"/>
        </w:rPr>
      </w:pPr>
      <w:r w:rsidRPr="00DE12A5">
        <w:rPr>
          <w:b/>
          <w:sz w:val="28"/>
        </w:rPr>
        <w:lastRenderedPageBreak/>
        <w:t>Objective</w:t>
      </w:r>
    </w:p>
    <w:p w:rsidR="00681A15" w:rsidRPr="00903EEA" w:rsidRDefault="00903EEA">
      <w:r>
        <w:rPr>
          <w:b/>
          <w:sz w:val="28"/>
        </w:rPr>
        <w:tab/>
      </w:r>
      <w:r>
        <w:t xml:space="preserve">The goal of this experiment is to determine the </w:t>
      </w:r>
      <w:r w:rsidR="00440A9F">
        <w:t>theoretical deflection of different beams in order to determine the modulus of elasticity of three materials: Aluminum, Steel and Brass and then compare it to experimental values.</w:t>
      </w:r>
    </w:p>
    <w:p w:rsidR="00DE12A5" w:rsidRDefault="00DE12A5">
      <w:pPr>
        <w:rPr>
          <w:b/>
          <w:sz w:val="28"/>
        </w:rPr>
      </w:pPr>
      <w:r w:rsidRPr="00DE12A5">
        <w:rPr>
          <w:b/>
          <w:sz w:val="28"/>
        </w:rPr>
        <w:t xml:space="preserve">Introduction </w:t>
      </w:r>
    </w:p>
    <w:p w:rsidR="006E6BB9" w:rsidRDefault="00681A15" w:rsidP="006E6BB9">
      <w:r>
        <w:rPr>
          <w:b/>
          <w:sz w:val="28"/>
        </w:rPr>
        <w:tab/>
      </w:r>
      <w:r w:rsidR="00440A9F">
        <w:t xml:space="preserve">When a beam is subjected to a transverse load, one can measure the deflection of the beam and by taking in consideration the magnitude, the location and the length span, various material properties can be found. It is common to assume that a higher deflection will take place in a longer beam. Deflection of a simply supported beam can be found through the derivation of the following </w:t>
      </w:r>
      <w:proofErr w:type="gramStart"/>
      <w:r w:rsidR="00440A9F">
        <w:t>formula :</w:t>
      </w:r>
      <w:proofErr w:type="gramEnd"/>
    </w:p>
    <w:p w:rsidR="002B6CEE" w:rsidRDefault="00440A9F" w:rsidP="00440A9F">
      <w:pPr>
        <w:jc w:val="center"/>
      </w:pPr>
      <w:r w:rsidRPr="00F35001">
        <w:rPr>
          <w:position w:val="-28"/>
        </w:rPr>
        <w:object w:dxaOrig="11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33pt" o:ole="">
            <v:imagedata r:id="rId9" o:title=""/>
          </v:shape>
          <o:OLEObject Type="Embed" ProgID="Equation.3" ShapeID="_x0000_i1025" DrawAspect="Content" ObjectID="_1488772785" r:id="rId10"/>
        </w:object>
      </w:r>
    </w:p>
    <w:p w:rsidR="00440A9F" w:rsidRDefault="00440A9F" w:rsidP="00440A9F">
      <w:pPr>
        <w:spacing w:after="0" w:line="240" w:lineRule="auto"/>
      </w:pPr>
      <w:r>
        <w:t>Where:</w:t>
      </w:r>
      <w:r>
        <w:tab/>
      </w:r>
      <w:r>
        <w:tab/>
      </w:r>
      <w:r w:rsidRPr="00D37E5E">
        <w:rPr>
          <w:position w:val="-10"/>
        </w:rPr>
        <w:object w:dxaOrig="240" w:dyaOrig="260">
          <v:shape id="_x0000_i1026" type="#_x0000_t75" style="width:12pt;height:12.75pt" o:ole="">
            <v:imagedata r:id="rId11" o:title=""/>
          </v:shape>
          <o:OLEObject Type="Embed" ProgID="Equation.3" ShapeID="_x0000_i1026" DrawAspect="Content" ObjectID="_1488772786" r:id="rId12"/>
        </w:object>
      </w:r>
      <w:r>
        <w:t>=Radius of curvature</w:t>
      </w:r>
    </w:p>
    <w:p w:rsidR="00440A9F" w:rsidRDefault="00440A9F" w:rsidP="00440A9F">
      <w:pPr>
        <w:spacing w:after="0" w:line="240" w:lineRule="auto"/>
        <w:ind w:left="720" w:firstLine="720"/>
      </w:pPr>
      <w:r>
        <w:t>M= Bending moment</w:t>
      </w:r>
    </w:p>
    <w:p w:rsidR="00440A9F" w:rsidRDefault="00440A9F" w:rsidP="00440A9F">
      <w:pPr>
        <w:spacing w:after="0" w:line="240" w:lineRule="auto"/>
        <w:ind w:left="720" w:firstLine="720"/>
      </w:pPr>
      <w:r>
        <w:t>E= Modulus of elasticity</w:t>
      </w:r>
    </w:p>
    <w:p w:rsidR="00440A9F" w:rsidRDefault="00440A9F" w:rsidP="00440A9F">
      <w:pPr>
        <w:ind w:left="720" w:firstLine="720"/>
      </w:pPr>
      <w:r>
        <w:t>I= Moment of inertia</w:t>
      </w:r>
    </w:p>
    <w:p w:rsidR="002B6CEE" w:rsidRDefault="002B6CEE" w:rsidP="006E6BB9">
      <w:pPr>
        <w:rPr>
          <w:b/>
          <w:sz w:val="28"/>
        </w:rPr>
      </w:pPr>
    </w:p>
    <w:p w:rsidR="00D22AAE" w:rsidRDefault="006E6BB9" w:rsidP="006E6BB9">
      <w:pPr>
        <w:rPr>
          <w:b/>
          <w:sz w:val="28"/>
        </w:rPr>
      </w:pPr>
      <w:r w:rsidRPr="006E6BB9">
        <w:rPr>
          <w:b/>
          <w:sz w:val="28"/>
        </w:rPr>
        <w:t>M</w:t>
      </w:r>
      <w:r w:rsidR="00D22AAE" w:rsidRPr="00DE12A5">
        <w:rPr>
          <w:b/>
          <w:sz w:val="28"/>
        </w:rPr>
        <w:t>aterials and methods</w:t>
      </w:r>
    </w:p>
    <w:p w:rsidR="00D22AAE" w:rsidRDefault="00D22AAE" w:rsidP="00D22AAE">
      <w:pPr>
        <w:ind w:firstLine="720"/>
      </w:pPr>
      <w:r>
        <w:t xml:space="preserve">All procedures were done according to ENGR 244 lab manual pages </w:t>
      </w:r>
      <w:r w:rsidR="009437B7">
        <w:t>1</w:t>
      </w:r>
      <w:r w:rsidR="00440A9F">
        <w:t>8 to 24</w:t>
      </w:r>
      <w:r>
        <w:t xml:space="preserve"> and no modifications were made (Concordia Engineering Department 2015).</w:t>
      </w:r>
    </w:p>
    <w:p w:rsidR="00144A29" w:rsidRDefault="00EF26C3" w:rsidP="00144A29">
      <w:pPr>
        <w:rPr>
          <w:b/>
          <w:sz w:val="28"/>
        </w:rPr>
      </w:pPr>
      <w:r w:rsidRPr="00DE12A5">
        <w:rPr>
          <w:b/>
          <w:sz w:val="28"/>
        </w:rPr>
        <w:t>Results</w:t>
      </w:r>
      <w:r w:rsidR="009437B7">
        <w:rPr>
          <w:b/>
          <w:sz w:val="28"/>
        </w:rPr>
        <w:t xml:space="preserve"> and Calculations</w:t>
      </w:r>
    </w:p>
    <w:tbl>
      <w:tblPr>
        <w:tblW w:w="5203" w:type="dxa"/>
        <w:jc w:val="center"/>
        <w:tblLook w:val="04A0" w:firstRow="1" w:lastRow="0" w:firstColumn="1" w:lastColumn="0" w:noHBand="0" w:noVBand="1"/>
      </w:tblPr>
      <w:tblGrid>
        <w:gridCol w:w="2140"/>
        <w:gridCol w:w="960"/>
        <w:gridCol w:w="960"/>
        <w:gridCol w:w="1143"/>
      </w:tblGrid>
      <w:tr w:rsidR="00EE3145" w:rsidRPr="00EE3145" w:rsidTr="00EE3145">
        <w:trPr>
          <w:trHeight w:val="315"/>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Dimensions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Brass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Steel</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Aluminum</w:t>
            </w:r>
          </w:p>
        </w:tc>
      </w:tr>
      <w:tr w:rsidR="00EE3145" w:rsidRPr="00EE3145" w:rsidTr="00EE3145">
        <w:trPr>
          <w:trHeight w:val="585"/>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Span Length, L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455.00</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455.00</w:t>
            </w:r>
          </w:p>
        </w:tc>
        <w:tc>
          <w:tcPr>
            <w:tcW w:w="1143"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455.00</w:t>
            </w:r>
          </w:p>
        </w:tc>
      </w:tr>
      <w:tr w:rsidR="00EE3145" w:rsidRPr="00EE3145" w:rsidTr="00EE3145">
        <w:trPr>
          <w:trHeight w:val="315"/>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Width, w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19.05</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19.09</w:t>
            </w:r>
          </w:p>
        </w:tc>
        <w:tc>
          <w:tcPr>
            <w:tcW w:w="1143"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19.12</w:t>
            </w:r>
          </w:p>
        </w:tc>
      </w:tr>
      <w:tr w:rsidR="00EE3145" w:rsidRPr="00EE3145" w:rsidTr="00EE3145">
        <w:trPr>
          <w:trHeight w:val="315"/>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Height, h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12.77</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12.79</w:t>
            </w:r>
          </w:p>
        </w:tc>
        <w:tc>
          <w:tcPr>
            <w:tcW w:w="1143"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val="en-US" w:eastAsia="en-CA"/>
              </w:rPr>
              <w:t>12.81</w:t>
            </w:r>
          </w:p>
        </w:tc>
      </w:tr>
    </w:tbl>
    <w:p w:rsidR="00801E0A" w:rsidRDefault="00801E0A" w:rsidP="00EE3145">
      <w:pPr>
        <w:pStyle w:val="ListParagraph"/>
        <w:jc w:val="center"/>
        <w:rPr>
          <w:rFonts w:cstheme="minorHAnsi"/>
          <w:color w:val="000000"/>
          <w:lang w:eastAsia="fr-CA"/>
        </w:rPr>
      </w:pPr>
    </w:p>
    <w:tbl>
      <w:tblPr>
        <w:tblW w:w="5020" w:type="dxa"/>
        <w:jc w:val="center"/>
        <w:tblLook w:val="04A0" w:firstRow="1" w:lastRow="0" w:firstColumn="1" w:lastColumn="0" w:noHBand="0" w:noVBand="1"/>
      </w:tblPr>
      <w:tblGrid>
        <w:gridCol w:w="1780"/>
        <w:gridCol w:w="960"/>
        <w:gridCol w:w="960"/>
        <w:gridCol w:w="1320"/>
      </w:tblGrid>
      <w:tr w:rsidR="00EE3145" w:rsidRPr="00EE3145" w:rsidTr="00EE3145">
        <w:trPr>
          <w:trHeight w:val="315"/>
          <w:jc w:val="center"/>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Cantilever Beam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Brass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Steel</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Aluminum</w:t>
            </w:r>
          </w:p>
        </w:tc>
      </w:tr>
      <w:tr w:rsidR="00EE3145" w:rsidRPr="00EE3145" w:rsidTr="00EE3145">
        <w:trPr>
          <w:trHeight w:val="585"/>
          <w:jc w:val="center"/>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Span, L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250.00</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250.00</w:t>
            </w:r>
          </w:p>
        </w:tc>
        <w:tc>
          <w:tcPr>
            <w:tcW w:w="132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250.00</w:t>
            </w:r>
          </w:p>
        </w:tc>
      </w:tr>
      <w:tr w:rsidR="00EE3145" w:rsidRPr="00EE3145" w:rsidTr="00EE3145">
        <w:trPr>
          <w:trHeight w:val="315"/>
          <w:jc w:val="center"/>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Height, h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3.25</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3.58</w:t>
            </w:r>
          </w:p>
        </w:tc>
        <w:tc>
          <w:tcPr>
            <w:tcW w:w="132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3.20</w:t>
            </w:r>
          </w:p>
        </w:tc>
      </w:tr>
      <w:tr w:rsidR="00EE3145" w:rsidRPr="00EE3145" w:rsidTr="00EE3145">
        <w:trPr>
          <w:trHeight w:val="315"/>
          <w:jc w:val="center"/>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Width, w (mm)</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19.16</w:t>
            </w:r>
          </w:p>
        </w:tc>
        <w:tc>
          <w:tcPr>
            <w:tcW w:w="96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19.02</w:t>
            </w:r>
          </w:p>
        </w:tc>
        <w:tc>
          <w:tcPr>
            <w:tcW w:w="1320" w:type="dxa"/>
            <w:tcBorders>
              <w:top w:val="nil"/>
              <w:left w:val="nil"/>
              <w:bottom w:val="single" w:sz="4" w:space="0" w:color="auto"/>
              <w:right w:val="single" w:sz="4"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19.11</w:t>
            </w:r>
          </w:p>
        </w:tc>
      </w:tr>
    </w:tbl>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tbl>
      <w:tblPr>
        <w:tblpPr w:leftFromText="180" w:rightFromText="180" w:vertAnchor="text" w:tblpXSpec="center" w:tblpY="-239"/>
        <w:tblW w:w="4390" w:type="dxa"/>
        <w:tblLook w:val="04A0" w:firstRow="1" w:lastRow="0" w:firstColumn="1" w:lastColumn="0" w:noHBand="0" w:noVBand="1"/>
      </w:tblPr>
      <w:tblGrid>
        <w:gridCol w:w="1129"/>
        <w:gridCol w:w="1560"/>
        <w:gridCol w:w="1701"/>
      </w:tblGrid>
      <w:tr w:rsidR="00EE3145" w:rsidRPr="00EE3145" w:rsidTr="00EE3145">
        <w:trPr>
          <w:trHeight w:val="315"/>
        </w:trPr>
        <w:tc>
          <w:tcPr>
            <w:tcW w:w="439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lastRenderedPageBreak/>
              <w:t>Cantilever Beam</w:t>
            </w:r>
          </w:p>
        </w:tc>
      </w:tr>
      <w:tr w:rsidR="00EE3145" w:rsidRPr="00EE3145" w:rsidTr="00EE3145">
        <w:trPr>
          <w:trHeight w:val="315"/>
        </w:trPr>
        <w:tc>
          <w:tcPr>
            <w:tcW w:w="4390" w:type="dxa"/>
            <w:gridSpan w:val="3"/>
            <w:tcBorders>
              <w:top w:val="nil"/>
              <w:left w:val="single" w:sz="8" w:space="0" w:color="auto"/>
              <w:bottom w:val="single" w:sz="8" w:space="0" w:color="auto"/>
              <w:right w:val="single" w:sz="8" w:space="0" w:color="000000"/>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Brass</w:t>
            </w:r>
          </w:p>
        </w:tc>
      </w:tr>
      <w:tr w:rsidR="00EE3145" w:rsidRPr="00EE3145" w:rsidTr="00EE3145">
        <w:trPr>
          <w:trHeight w:val="585"/>
        </w:trPr>
        <w:tc>
          <w:tcPr>
            <w:tcW w:w="1129"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Load (g)</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X=L deflection (mm)</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X=0.5L deflection (mm)</w:t>
            </w:r>
          </w:p>
        </w:tc>
      </w:tr>
      <w:tr w:rsidR="00EE3145" w:rsidRPr="00EE3145" w:rsidTr="00EE3145">
        <w:trPr>
          <w:trHeight w:val="315"/>
        </w:trPr>
        <w:tc>
          <w:tcPr>
            <w:tcW w:w="1129"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560"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701"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-1.26</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-0.42</w:t>
            </w: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-2.42</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-0.8</w:t>
            </w: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-3.59</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-1.19</w:t>
            </w: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400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-4.77</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-1.58</w:t>
            </w:r>
          </w:p>
        </w:tc>
      </w:tr>
      <w:tr w:rsidR="00EE3145" w:rsidRPr="00EE3145" w:rsidTr="00EE3145">
        <w:trPr>
          <w:trHeight w:val="315"/>
        </w:trPr>
        <w:tc>
          <w:tcPr>
            <w:tcW w:w="1129"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500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-5.83</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-1.94</w:t>
            </w:r>
          </w:p>
        </w:tc>
      </w:tr>
    </w:tbl>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p w:rsidR="00EE3145" w:rsidRDefault="00EE3145" w:rsidP="00801E0A">
      <w:pPr>
        <w:pStyle w:val="ListParagraph"/>
        <w:rPr>
          <w:rFonts w:cstheme="minorHAnsi"/>
          <w:color w:val="000000"/>
          <w:lang w:eastAsia="fr-CA"/>
        </w:rPr>
      </w:pPr>
    </w:p>
    <w:p w:rsidR="00EE3145" w:rsidRDefault="00EE3145">
      <w:pPr>
        <w:rPr>
          <w:b/>
          <w:sz w:val="28"/>
        </w:rPr>
      </w:pPr>
    </w:p>
    <w:p w:rsidR="00EE3145" w:rsidRDefault="00EE3145">
      <w:pPr>
        <w:rPr>
          <w:b/>
          <w:sz w:val="28"/>
        </w:rPr>
      </w:pPr>
    </w:p>
    <w:p w:rsidR="00EE3145" w:rsidRDefault="00EE3145">
      <w:pPr>
        <w:rPr>
          <w:b/>
          <w:sz w:val="28"/>
        </w:rPr>
      </w:pPr>
    </w:p>
    <w:p w:rsidR="00EE3145" w:rsidRDefault="00EE3145">
      <w:pPr>
        <w:rPr>
          <w:b/>
          <w:sz w:val="28"/>
        </w:rPr>
      </w:pPr>
    </w:p>
    <w:p w:rsidR="00EE3145" w:rsidRDefault="00EE3145">
      <w:pPr>
        <w:rPr>
          <w:b/>
          <w:sz w:val="28"/>
        </w:rPr>
      </w:pPr>
    </w:p>
    <w:p w:rsidR="00EE3145" w:rsidRDefault="00EE3145">
      <w:pPr>
        <w:rPr>
          <w:b/>
          <w:sz w:val="28"/>
        </w:rPr>
      </w:pPr>
    </w:p>
    <w:tbl>
      <w:tblPr>
        <w:tblW w:w="4395" w:type="dxa"/>
        <w:jc w:val="center"/>
        <w:tblLook w:val="04A0" w:firstRow="1" w:lastRow="0" w:firstColumn="1" w:lastColumn="0" w:noHBand="0" w:noVBand="1"/>
      </w:tblPr>
      <w:tblGrid>
        <w:gridCol w:w="1134"/>
        <w:gridCol w:w="1560"/>
        <w:gridCol w:w="1701"/>
      </w:tblGrid>
      <w:tr w:rsidR="00EE3145" w:rsidRPr="00EE3145" w:rsidTr="00EE3145">
        <w:trPr>
          <w:trHeight w:val="315"/>
          <w:jc w:val="center"/>
        </w:trPr>
        <w:tc>
          <w:tcPr>
            <w:tcW w:w="439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Cantilever Beam</w:t>
            </w:r>
          </w:p>
        </w:tc>
      </w:tr>
      <w:tr w:rsidR="00EE3145" w:rsidRPr="00EE3145" w:rsidTr="00EE3145">
        <w:trPr>
          <w:trHeight w:val="315"/>
          <w:jc w:val="center"/>
        </w:trPr>
        <w:tc>
          <w:tcPr>
            <w:tcW w:w="439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Steel</w:t>
            </w:r>
          </w:p>
        </w:tc>
      </w:tr>
      <w:tr w:rsidR="00EE3145" w:rsidRPr="00EE3145" w:rsidTr="00EE3145">
        <w:trPr>
          <w:trHeight w:val="585"/>
          <w:jc w:val="center"/>
        </w:trPr>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Load (g)</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X=L deflection (mm)</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X=0.5L deflection (mm)</w:t>
            </w:r>
          </w:p>
        </w:tc>
      </w:tr>
      <w:tr w:rsidR="00EE3145" w:rsidRPr="00EE3145" w:rsidTr="00EE3145">
        <w:trPr>
          <w:trHeight w:val="315"/>
          <w:jc w:val="center"/>
        </w:trPr>
        <w:tc>
          <w:tcPr>
            <w:tcW w:w="1134"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560"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701"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-0.61</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-0.19</w:t>
            </w: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-1.16</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-0.37</w:t>
            </w: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-1.68</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-0.54</w:t>
            </w: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400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-2.24</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-0.74</w:t>
            </w:r>
          </w:p>
        </w:tc>
      </w:tr>
      <w:tr w:rsidR="00EE3145" w:rsidRPr="00EE3145" w:rsidTr="00EE3145">
        <w:trPr>
          <w:trHeight w:val="315"/>
          <w:jc w:val="center"/>
        </w:trPr>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500</w:t>
            </w:r>
          </w:p>
        </w:tc>
        <w:tc>
          <w:tcPr>
            <w:tcW w:w="1560"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-2.74</w:t>
            </w:r>
          </w:p>
        </w:tc>
        <w:tc>
          <w:tcPr>
            <w:tcW w:w="1701"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-0.92</w:t>
            </w:r>
          </w:p>
        </w:tc>
      </w:tr>
    </w:tbl>
    <w:p w:rsidR="00EE3145" w:rsidRDefault="00EE3145">
      <w:pPr>
        <w:rPr>
          <w:b/>
          <w:sz w:val="28"/>
        </w:rPr>
      </w:pPr>
    </w:p>
    <w:p w:rsidR="00EE3145" w:rsidRDefault="00EE3145">
      <w:pPr>
        <w:rPr>
          <w:b/>
          <w:sz w:val="28"/>
        </w:rPr>
      </w:pPr>
    </w:p>
    <w:tbl>
      <w:tblPr>
        <w:tblW w:w="4253" w:type="dxa"/>
        <w:jc w:val="center"/>
        <w:tblLook w:val="04A0" w:firstRow="1" w:lastRow="0" w:firstColumn="1" w:lastColumn="0" w:noHBand="0" w:noVBand="1"/>
      </w:tblPr>
      <w:tblGrid>
        <w:gridCol w:w="1276"/>
        <w:gridCol w:w="1418"/>
        <w:gridCol w:w="1559"/>
      </w:tblGrid>
      <w:tr w:rsidR="00EE3145" w:rsidRPr="00EE3145" w:rsidTr="00EE3145">
        <w:trPr>
          <w:trHeight w:val="315"/>
          <w:jc w:val="center"/>
        </w:trPr>
        <w:tc>
          <w:tcPr>
            <w:tcW w:w="425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Cantilever Beam</w:t>
            </w:r>
          </w:p>
        </w:tc>
      </w:tr>
      <w:tr w:rsidR="00EE3145" w:rsidRPr="00EE3145" w:rsidTr="00EE3145">
        <w:trPr>
          <w:trHeight w:val="315"/>
          <w:jc w:val="center"/>
        </w:trPr>
        <w:tc>
          <w:tcPr>
            <w:tcW w:w="425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Aluminum</w:t>
            </w:r>
          </w:p>
        </w:tc>
      </w:tr>
      <w:tr w:rsidR="00EE3145" w:rsidRPr="00EE3145" w:rsidTr="00EE3145">
        <w:trPr>
          <w:trHeight w:val="585"/>
          <w:jc w:val="center"/>
        </w:trPr>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Load (g)</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X=L deflection (mm)</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X=0.5L deflection (mm)</w:t>
            </w:r>
          </w:p>
        </w:tc>
      </w:tr>
      <w:tr w:rsidR="00EE3145" w:rsidRPr="00EE3145" w:rsidTr="00EE3145">
        <w:trPr>
          <w:trHeight w:val="315"/>
          <w:jc w:val="center"/>
        </w:trPr>
        <w:tc>
          <w:tcPr>
            <w:tcW w:w="1276"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418"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c>
          <w:tcPr>
            <w:tcW w:w="1559" w:type="dxa"/>
            <w:vMerge/>
            <w:tcBorders>
              <w:top w:val="nil"/>
              <w:left w:val="single" w:sz="8" w:space="0" w:color="auto"/>
              <w:bottom w:val="single" w:sz="8" w:space="0" w:color="000000"/>
              <w:right w:val="single" w:sz="8" w:space="0" w:color="auto"/>
            </w:tcBorders>
            <w:vAlign w:val="center"/>
            <w:hideMark/>
          </w:tcPr>
          <w:p w:rsidR="00EE3145" w:rsidRPr="00EE3145" w:rsidRDefault="00EE3145" w:rsidP="00EE3145">
            <w:pPr>
              <w:spacing w:after="0" w:line="240" w:lineRule="auto"/>
              <w:rPr>
                <w:rFonts w:ascii="Calibri" w:eastAsia="Times New Roman" w:hAnsi="Calibri" w:cs="Times New Roman"/>
                <w:color w:val="000000"/>
                <w:lang w:eastAsia="en-CA"/>
              </w:rPr>
            </w:pP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w:t>
            </w: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100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-1.57</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-0.52</w:t>
            </w: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200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-2.99</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-0.99</w:t>
            </w: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300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-4.42</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-1.46</w:t>
            </w: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400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-5.88</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-1.94</w:t>
            </w:r>
          </w:p>
        </w:tc>
      </w:tr>
      <w:tr w:rsidR="00EE3145" w:rsidRPr="00EE3145" w:rsidTr="00EE3145">
        <w:trPr>
          <w:trHeight w:val="315"/>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500</w:t>
            </w:r>
          </w:p>
        </w:tc>
        <w:tc>
          <w:tcPr>
            <w:tcW w:w="1418"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-7.36</w:t>
            </w:r>
          </w:p>
        </w:tc>
        <w:tc>
          <w:tcPr>
            <w:tcW w:w="1559" w:type="dxa"/>
            <w:tcBorders>
              <w:top w:val="nil"/>
              <w:left w:val="nil"/>
              <w:bottom w:val="single" w:sz="8" w:space="0" w:color="auto"/>
              <w:right w:val="single" w:sz="8" w:space="0" w:color="auto"/>
            </w:tcBorders>
            <w:shd w:val="clear" w:color="auto" w:fill="auto"/>
            <w:noWrap/>
            <w:vAlign w:val="center"/>
            <w:hideMark/>
          </w:tcPr>
          <w:p w:rsidR="00EE3145" w:rsidRPr="00EE3145" w:rsidRDefault="00EE3145" w:rsidP="00EE3145">
            <w:pPr>
              <w:spacing w:after="0" w:line="240" w:lineRule="auto"/>
              <w:jc w:val="center"/>
              <w:rPr>
                <w:rFonts w:ascii="Calibri" w:eastAsia="Times New Roman" w:hAnsi="Calibri" w:cs="Times New Roman"/>
                <w:color w:val="000000"/>
                <w:lang w:eastAsia="en-CA"/>
              </w:rPr>
            </w:pPr>
            <w:r w:rsidRPr="00EE3145">
              <w:rPr>
                <w:rFonts w:ascii="Calibri" w:eastAsia="Times New Roman" w:hAnsi="Calibri" w:cs="Times New Roman"/>
                <w:color w:val="000000"/>
                <w:lang w:eastAsia="en-CA"/>
              </w:rPr>
              <w:t>-2.42</w:t>
            </w:r>
          </w:p>
        </w:tc>
      </w:tr>
    </w:tbl>
    <w:p w:rsidR="00EE3145" w:rsidRDefault="00EE3145">
      <w:pPr>
        <w:rPr>
          <w:b/>
          <w:sz w:val="28"/>
        </w:rPr>
      </w:pPr>
    </w:p>
    <w:p w:rsidR="00EE3145" w:rsidRDefault="00EE3145">
      <w:pPr>
        <w:rPr>
          <w:b/>
          <w:sz w:val="28"/>
        </w:rPr>
      </w:pPr>
      <w:r>
        <w:rPr>
          <w:b/>
          <w:sz w:val="28"/>
        </w:rPr>
        <w:lastRenderedPageBreak/>
        <w:t>Simply-Supported Beams:</w:t>
      </w:r>
    </w:p>
    <w:p w:rsidR="00EE3145" w:rsidRDefault="00EE3145">
      <w:pPr>
        <w:rPr>
          <w:b/>
          <w:sz w:val="28"/>
        </w:rPr>
      </w:pPr>
    </w:p>
    <w:p w:rsidR="001A5957" w:rsidRPr="00D53E19" w:rsidRDefault="00EE3145" w:rsidP="001A5957">
      <w:pPr>
        <w:jc w:val="center"/>
        <w:rPr>
          <w:sz w:val="24"/>
          <w:szCs w:val="24"/>
        </w:rPr>
      </w:pPr>
      <w:r>
        <w:rPr>
          <w:b/>
          <w:sz w:val="28"/>
        </w:rPr>
        <w:tab/>
      </w:r>
      <w:r w:rsidR="001A5957" w:rsidRPr="00D53E19">
        <w:rPr>
          <w:position w:val="-28"/>
          <w:sz w:val="24"/>
          <w:szCs w:val="24"/>
        </w:rPr>
        <w:object w:dxaOrig="279" w:dyaOrig="660">
          <v:shape id="_x0000_i1027" type="#_x0000_t75" style="width:13.1pt;height:32.75pt" o:ole="">
            <v:imagedata r:id="rId13" o:title=""/>
          </v:shape>
          <o:OLEObject Type="Embed" ProgID="Equation.3" ShapeID="_x0000_i1027" DrawAspect="Content" ObjectID="_1488772787" r:id="rId14"/>
        </w:object>
      </w:r>
      <w:r w:rsidR="001A5957" w:rsidRPr="00D53E19">
        <w:rPr>
          <w:sz w:val="24"/>
          <w:szCs w:val="24"/>
        </w:rPr>
        <w:t>=</w:t>
      </w:r>
      <w:r w:rsidR="001A5957" w:rsidRPr="00A67DA4">
        <w:rPr>
          <w:position w:val="-24"/>
          <w:sz w:val="24"/>
          <w:szCs w:val="24"/>
        </w:rPr>
        <w:object w:dxaOrig="499" w:dyaOrig="660">
          <v:shape id="_x0000_i1028" type="#_x0000_t75" style="width:24.3pt;height:31.8pt" o:ole="">
            <v:imagedata r:id="rId15" o:title=""/>
          </v:shape>
          <o:OLEObject Type="Embed" ProgID="Equation.3" ShapeID="_x0000_i1028" DrawAspect="Content" ObjectID="_1488772788" r:id="rId16"/>
        </w:object>
      </w:r>
      <w:r w:rsidR="001A5957" w:rsidRPr="00D53E19">
        <w:rPr>
          <w:sz w:val="24"/>
          <w:szCs w:val="24"/>
        </w:rPr>
        <w:t>=</w:t>
      </w:r>
      <w:r w:rsidR="001A5957" w:rsidRPr="00D53E19">
        <w:rPr>
          <w:position w:val="-24"/>
          <w:sz w:val="24"/>
          <w:szCs w:val="24"/>
        </w:rPr>
        <w:object w:dxaOrig="660" w:dyaOrig="620">
          <v:shape id="_x0000_i1029" type="#_x0000_t75" style="width:32.75pt;height:30.85pt" o:ole="">
            <v:imagedata r:id="rId17" o:title=""/>
          </v:shape>
          <o:OLEObject Type="Embed" ProgID="Equation.3" ShapeID="_x0000_i1029" DrawAspect="Content" ObjectID="_1488772789" r:id="rId18"/>
        </w:object>
      </w:r>
    </w:p>
    <w:p w:rsidR="001A5957" w:rsidRPr="00D53E19" w:rsidRDefault="001A5957" w:rsidP="001A5957">
      <w:pPr>
        <w:jc w:val="center"/>
        <w:rPr>
          <w:sz w:val="24"/>
          <w:szCs w:val="24"/>
        </w:rPr>
      </w:pPr>
      <w:r w:rsidRPr="00D53E19">
        <w:rPr>
          <w:sz w:val="24"/>
          <w:szCs w:val="24"/>
        </w:rPr>
        <w:t>By integrating twice:</w:t>
      </w:r>
    </w:p>
    <w:p w:rsidR="001A5957" w:rsidRPr="00D53E19" w:rsidRDefault="001A5957" w:rsidP="001A5957">
      <w:pPr>
        <w:jc w:val="center"/>
        <w:rPr>
          <w:sz w:val="24"/>
          <w:szCs w:val="24"/>
        </w:rPr>
      </w:pPr>
      <w:r w:rsidRPr="00D53E19">
        <w:rPr>
          <w:sz w:val="24"/>
          <w:szCs w:val="24"/>
        </w:rPr>
        <w:t>y=</w:t>
      </w:r>
      <w:r w:rsidRPr="00D53E19">
        <w:rPr>
          <w:position w:val="-32"/>
          <w:sz w:val="24"/>
          <w:szCs w:val="24"/>
        </w:rPr>
        <w:object w:dxaOrig="2060" w:dyaOrig="760">
          <v:shape id="_x0000_i1030" type="#_x0000_t75" style="width:102.85pt;height:38.35pt" o:ole="">
            <v:imagedata r:id="rId19" o:title=""/>
          </v:shape>
          <o:OLEObject Type="Embed" ProgID="Equation.3" ShapeID="_x0000_i1030" DrawAspect="Content" ObjectID="_1488772790" r:id="rId20"/>
        </w:object>
      </w:r>
    </w:p>
    <w:p w:rsidR="001A5957" w:rsidRPr="00D53E19" w:rsidRDefault="001A5957" w:rsidP="001A5957">
      <w:pPr>
        <w:jc w:val="center"/>
        <w:rPr>
          <w:sz w:val="24"/>
          <w:szCs w:val="24"/>
        </w:rPr>
      </w:pPr>
      <w:r w:rsidRPr="00D53E19">
        <w:rPr>
          <w:sz w:val="24"/>
          <w:szCs w:val="24"/>
        </w:rPr>
        <w:t>With C1</w:t>
      </w:r>
      <w:r>
        <w:rPr>
          <w:sz w:val="24"/>
          <w:szCs w:val="24"/>
        </w:rPr>
        <w:t xml:space="preserve"> </w:t>
      </w:r>
      <w:r w:rsidRPr="00D53E19">
        <w:rPr>
          <w:sz w:val="24"/>
          <w:szCs w:val="24"/>
        </w:rPr>
        <w:t>= -</w:t>
      </w:r>
      <w:r w:rsidRPr="00D53E19">
        <w:rPr>
          <w:position w:val="-24"/>
          <w:sz w:val="24"/>
          <w:szCs w:val="24"/>
        </w:rPr>
        <w:object w:dxaOrig="600" w:dyaOrig="660">
          <v:shape id="_x0000_i1031" type="#_x0000_t75" style="width:29pt;height:32.75pt" o:ole="">
            <v:imagedata r:id="rId21" o:title=""/>
          </v:shape>
          <o:OLEObject Type="Embed" ProgID="Equation.3" ShapeID="_x0000_i1031" DrawAspect="Content" ObjectID="_1488772791" r:id="rId22"/>
        </w:object>
      </w:r>
      <w:r w:rsidRPr="00D53E19">
        <w:rPr>
          <w:sz w:val="24"/>
          <w:szCs w:val="24"/>
        </w:rPr>
        <w:t xml:space="preserve"> and C2</w:t>
      </w:r>
      <w:r>
        <w:rPr>
          <w:sz w:val="24"/>
          <w:szCs w:val="24"/>
        </w:rPr>
        <w:t xml:space="preserve"> </w:t>
      </w:r>
      <w:r w:rsidRPr="00D53E19">
        <w:rPr>
          <w:sz w:val="24"/>
          <w:szCs w:val="24"/>
        </w:rPr>
        <w:t>= -</w:t>
      </w:r>
      <w:r w:rsidRPr="00D53E19">
        <w:rPr>
          <w:position w:val="-24"/>
          <w:sz w:val="24"/>
          <w:szCs w:val="24"/>
        </w:rPr>
        <w:object w:dxaOrig="620" w:dyaOrig="660">
          <v:shape id="_x0000_i1032" type="#_x0000_t75" style="width:30.85pt;height:32.75pt" o:ole="">
            <v:imagedata r:id="rId23" o:title=""/>
          </v:shape>
          <o:OLEObject Type="Embed" ProgID="Equation.3" ShapeID="_x0000_i1032" DrawAspect="Content" ObjectID="_1488772792" r:id="rId24"/>
        </w:object>
      </w:r>
    </w:p>
    <w:p w:rsidR="001A5957" w:rsidRPr="00D53E19" w:rsidRDefault="001A5957" w:rsidP="001A5957">
      <w:pPr>
        <w:jc w:val="center"/>
        <w:rPr>
          <w:sz w:val="24"/>
          <w:szCs w:val="24"/>
        </w:rPr>
      </w:pPr>
      <w:r w:rsidRPr="00D53E19">
        <w:rPr>
          <w:sz w:val="24"/>
          <w:szCs w:val="24"/>
        </w:rPr>
        <w:t xml:space="preserve">We get: Y= </w:t>
      </w:r>
      <w:r w:rsidRPr="00D53E19">
        <w:rPr>
          <w:position w:val="-24"/>
          <w:sz w:val="24"/>
          <w:szCs w:val="24"/>
        </w:rPr>
        <w:object w:dxaOrig="1700" w:dyaOrig="620">
          <v:shape id="_x0000_i1033" type="#_x0000_t75" style="width:85.1pt;height:30.85pt" o:ole="">
            <v:imagedata r:id="rId25" o:title=""/>
          </v:shape>
          <o:OLEObject Type="Embed" ProgID="Equation.3" ShapeID="_x0000_i1033" DrawAspect="Content" ObjectID="_1488772793" r:id="rId26"/>
        </w:object>
      </w:r>
    </w:p>
    <w:p w:rsidR="001A5957" w:rsidRPr="001A5957" w:rsidRDefault="001A5957" w:rsidP="001A5957">
      <w:pPr>
        <w:jc w:val="center"/>
        <w:rPr>
          <w:b/>
          <w:sz w:val="24"/>
          <w:szCs w:val="24"/>
        </w:rPr>
      </w:pPr>
      <w:r w:rsidRPr="001A5957">
        <w:rPr>
          <w:b/>
          <w:sz w:val="24"/>
          <w:szCs w:val="24"/>
        </w:rPr>
        <w:t>For x = L/2 (Mid-Span)</w:t>
      </w:r>
    </w:p>
    <w:p w:rsidR="001A5957" w:rsidRPr="00D53E19" w:rsidRDefault="001A5957" w:rsidP="001A5957">
      <w:pPr>
        <w:jc w:val="center"/>
        <w:rPr>
          <w:sz w:val="24"/>
          <w:szCs w:val="24"/>
        </w:rPr>
      </w:pPr>
      <w:r w:rsidRPr="00D53E19">
        <w:rPr>
          <w:sz w:val="24"/>
          <w:szCs w:val="24"/>
        </w:rPr>
        <w:t xml:space="preserve">Y= </w:t>
      </w:r>
      <w:r w:rsidRPr="00D53E19">
        <w:rPr>
          <w:position w:val="-24"/>
          <w:sz w:val="24"/>
          <w:szCs w:val="24"/>
        </w:rPr>
        <w:object w:dxaOrig="1700" w:dyaOrig="620">
          <v:shape id="_x0000_i1034" type="#_x0000_t75" style="width:85.1pt;height:30.85pt" o:ole="">
            <v:imagedata r:id="rId25" o:title=""/>
          </v:shape>
          <o:OLEObject Type="Embed" ProgID="Equation.3" ShapeID="_x0000_i1034" DrawAspect="Content" ObjectID="_1488772794" r:id="rId27"/>
        </w:object>
      </w:r>
      <w:r w:rsidRPr="00D53E19">
        <w:rPr>
          <w:sz w:val="24"/>
          <w:szCs w:val="24"/>
        </w:rPr>
        <w:t>=</w:t>
      </w:r>
      <w:r w:rsidRPr="00D53E19">
        <w:rPr>
          <w:position w:val="-30"/>
          <w:sz w:val="24"/>
          <w:szCs w:val="24"/>
        </w:rPr>
        <w:object w:dxaOrig="1860" w:dyaOrig="680">
          <v:shape id="_x0000_i1035" type="#_x0000_t75" style="width:92.55pt;height:33.65pt" o:ole="">
            <v:imagedata r:id="rId28" o:title=""/>
          </v:shape>
          <o:OLEObject Type="Embed" ProgID="Equation.3" ShapeID="_x0000_i1035" DrawAspect="Content" ObjectID="_1488772795" r:id="rId29"/>
        </w:object>
      </w:r>
      <w:r w:rsidRPr="00D53E19">
        <w:rPr>
          <w:sz w:val="24"/>
          <w:szCs w:val="24"/>
        </w:rPr>
        <w:t xml:space="preserve">= </w:t>
      </w:r>
      <w:r w:rsidRPr="00D53E19">
        <w:rPr>
          <w:sz w:val="24"/>
          <w:szCs w:val="24"/>
          <w:bdr w:val="single" w:sz="4" w:space="0" w:color="auto"/>
        </w:rPr>
        <w:t>-</w:t>
      </w:r>
      <w:r w:rsidRPr="00D53E19">
        <w:rPr>
          <w:position w:val="-24"/>
          <w:sz w:val="24"/>
          <w:szCs w:val="24"/>
          <w:bdr w:val="single" w:sz="4" w:space="0" w:color="auto"/>
        </w:rPr>
        <w:object w:dxaOrig="620" w:dyaOrig="660">
          <v:shape id="_x0000_i1036" type="#_x0000_t75" style="width:30.85pt;height:32.75pt" o:ole="">
            <v:imagedata r:id="rId30" o:title=""/>
          </v:shape>
          <o:OLEObject Type="Embed" ProgID="Equation.3" ShapeID="_x0000_i1036" DrawAspect="Content" ObjectID="_1488772796" r:id="rId31"/>
        </w:object>
      </w:r>
    </w:p>
    <w:p w:rsidR="001A5957" w:rsidRPr="001A5957" w:rsidRDefault="001A5957" w:rsidP="001A5957">
      <w:pPr>
        <w:jc w:val="center"/>
        <w:rPr>
          <w:b/>
          <w:sz w:val="24"/>
          <w:szCs w:val="24"/>
        </w:rPr>
      </w:pPr>
      <w:r w:rsidRPr="001A5957">
        <w:rPr>
          <w:b/>
          <w:sz w:val="24"/>
          <w:szCs w:val="24"/>
        </w:rPr>
        <w:t>For x = L/4 (Quarter-Span)</w:t>
      </w:r>
    </w:p>
    <w:p w:rsidR="001A5957" w:rsidRDefault="001A5957" w:rsidP="001A5957">
      <w:pPr>
        <w:jc w:val="center"/>
        <w:rPr>
          <w:sz w:val="24"/>
          <w:szCs w:val="24"/>
        </w:rPr>
      </w:pPr>
      <w:r w:rsidRPr="00D53E19">
        <w:rPr>
          <w:sz w:val="24"/>
          <w:szCs w:val="24"/>
        </w:rPr>
        <w:t xml:space="preserve">Y= </w:t>
      </w:r>
      <w:r w:rsidRPr="00D53E19">
        <w:rPr>
          <w:position w:val="-24"/>
          <w:sz w:val="24"/>
          <w:szCs w:val="24"/>
        </w:rPr>
        <w:object w:dxaOrig="1700" w:dyaOrig="620">
          <v:shape id="_x0000_i1037" type="#_x0000_t75" style="width:85.1pt;height:30.85pt" o:ole="">
            <v:imagedata r:id="rId25" o:title=""/>
          </v:shape>
          <o:OLEObject Type="Embed" ProgID="Equation.3" ShapeID="_x0000_i1037" DrawAspect="Content" ObjectID="_1488772797" r:id="rId32"/>
        </w:object>
      </w:r>
      <w:r w:rsidRPr="00D53E19">
        <w:rPr>
          <w:sz w:val="24"/>
          <w:szCs w:val="24"/>
        </w:rPr>
        <w:t>=</w:t>
      </w:r>
      <w:r w:rsidRPr="00D53E19">
        <w:rPr>
          <w:position w:val="-30"/>
          <w:sz w:val="24"/>
          <w:szCs w:val="24"/>
        </w:rPr>
        <w:object w:dxaOrig="2240" w:dyaOrig="680">
          <v:shape id="_x0000_i1038" type="#_x0000_t75" style="width:112.2pt;height:33.65pt" o:ole="">
            <v:imagedata r:id="rId33" o:title=""/>
          </v:shape>
          <o:OLEObject Type="Embed" ProgID="Equation.3" ShapeID="_x0000_i1038" DrawAspect="Content" ObjectID="_1488772798" r:id="rId34"/>
        </w:object>
      </w:r>
      <w:r w:rsidRPr="00D53E19">
        <w:rPr>
          <w:sz w:val="24"/>
          <w:szCs w:val="24"/>
        </w:rPr>
        <w:t xml:space="preserve">= </w:t>
      </w:r>
      <w:r w:rsidRPr="00D53E19">
        <w:rPr>
          <w:sz w:val="24"/>
          <w:szCs w:val="24"/>
          <w:bdr w:val="single" w:sz="4" w:space="0" w:color="auto"/>
        </w:rPr>
        <w:t>-</w:t>
      </w:r>
      <w:r w:rsidRPr="00D53E19">
        <w:rPr>
          <w:position w:val="-24"/>
          <w:sz w:val="24"/>
          <w:szCs w:val="24"/>
          <w:bdr w:val="single" w:sz="4" w:space="0" w:color="auto"/>
        </w:rPr>
        <w:object w:dxaOrig="740" w:dyaOrig="660">
          <v:shape id="_x0000_i1039" type="#_x0000_t75" style="width:37.4pt;height:32.75pt" o:ole="">
            <v:imagedata r:id="rId35" o:title=""/>
          </v:shape>
          <o:OLEObject Type="Embed" ProgID="Equation.3" ShapeID="_x0000_i1039" DrawAspect="Content" ObjectID="_1488772799" r:id="rId36"/>
        </w:object>
      </w:r>
    </w:p>
    <w:p w:rsidR="00EE3145" w:rsidRDefault="00EE3145" w:rsidP="001A5957">
      <w:pPr>
        <w:rPr>
          <w:b/>
          <w:sz w:val="28"/>
        </w:rPr>
      </w:pPr>
    </w:p>
    <w:p w:rsidR="00EE3145" w:rsidRDefault="00E17784">
      <w:pPr>
        <w:rPr>
          <w:b/>
          <w:sz w:val="28"/>
        </w:rPr>
      </w:pPr>
      <w:r>
        <w:rPr>
          <w:b/>
          <w:sz w:val="28"/>
        </w:rPr>
        <w:t>Sample Calculation</w:t>
      </w:r>
    </w:p>
    <w:p w:rsidR="00E17784" w:rsidRDefault="00E17784">
      <w:r>
        <w:rPr>
          <w:b/>
          <w:sz w:val="28"/>
        </w:rPr>
        <w:tab/>
      </w:r>
      <w:r>
        <w:rPr>
          <w:b/>
          <w:sz w:val="28"/>
        </w:rPr>
        <w:tab/>
      </w:r>
      <w:r>
        <w:t>For steel:</w:t>
      </w:r>
    </w:p>
    <w:p w:rsidR="00E17784" w:rsidRPr="00E12371" w:rsidRDefault="00E17784" w:rsidP="00E17784">
      <w:pPr>
        <w:pStyle w:val="ListParagraph"/>
        <w:ind w:left="1498"/>
        <w:rPr>
          <w:rFonts w:asciiTheme="majorBidi" w:hAnsiTheme="majorBidi" w:cstheme="majorBidi"/>
        </w:rPr>
      </w:pPr>
      <w:r>
        <w:tab/>
      </w:r>
      <m:oMath>
        <m:r>
          <w:rPr>
            <w:rFonts w:ascii="Cambria Math" w:hAnsi="Cambria Math" w:cstheme="majorBidi"/>
          </w:rPr>
          <w:br/>
        </m:r>
      </m:oMath>
      <m:oMathPara>
        <m:oMath>
          <m:r>
            <w:rPr>
              <w:rFonts w:ascii="Cambria Math" w:hAnsi="Cambria Math" w:cstheme="majorBidi"/>
            </w:rPr>
            <m:t>I</m:t>
          </m:r>
          <m:r>
            <w:rPr>
              <w:rFonts w:ascii="Cambria Math" w:hAnsiTheme="majorBidi" w:cstheme="majorBidi"/>
            </w:rPr>
            <m:t>=</m:t>
          </m:r>
          <m:f>
            <m:fPr>
              <m:ctrlPr>
                <w:rPr>
                  <w:rFonts w:ascii="Cambria Math" w:hAnsiTheme="majorBidi" w:cstheme="majorBidi"/>
                  <w:i/>
                </w:rPr>
              </m:ctrlPr>
            </m:fPr>
            <m:num>
              <m:r>
                <w:rPr>
                  <w:rFonts w:ascii="Cambria Math" w:hAnsiTheme="majorBidi" w:cstheme="majorBidi"/>
                </w:rPr>
                <m:t>1</m:t>
              </m:r>
            </m:num>
            <m:den>
              <m:r>
                <w:rPr>
                  <w:rFonts w:ascii="Cambria Math" w:hAnsiTheme="majorBidi" w:cstheme="majorBidi"/>
                </w:rPr>
                <m:t>12</m:t>
              </m:r>
            </m:den>
          </m:f>
          <m:r>
            <w:rPr>
              <w:rFonts w:ascii="Cambria Math" w:hAnsi="Cambria Math" w:cstheme="majorBidi"/>
            </w:rPr>
            <m:t>b</m:t>
          </m:r>
          <m:sSup>
            <m:sSupPr>
              <m:ctrlPr>
                <w:rPr>
                  <w:rFonts w:ascii="Cambria Math" w:hAnsiTheme="majorBidi" w:cstheme="majorBidi"/>
                  <w:i/>
                </w:rPr>
              </m:ctrlPr>
            </m:sSupPr>
            <m:e>
              <m:r>
                <w:rPr>
                  <w:rFonts w:ascii="Cambria Math" w:hAnsi="Cambria Math" w:cstheme="majorBidi"/>
                </w:rPr>
                <m:t>h</m:t>
              </m:r>
            </m:e>
            <m:sup>
              <m:r>
                <w:rPr>
                  <w:rFonts w:ascii="Cambria Math" w:hAnsiTheme="majorBidi" w:cstheme="majorBidi"/>
                </w:rPr>
                <m:t>3</m:t>
              </m:r>
            </m:sup>
          </m:sSup>
        </m:oMath>
      </m:oMathPara>
    </w:p>
    <w:p w:rsidR="00E17784" w:rsidRPr="00E12371" w:rsidRDefault="00E17784" w:rsidP="00E17784">
      <w:pPr>
        <w:pStyle w:val="ListParagraph"/>
        <w:ind w:left="1498"/>
        <w:rPr>
          <w:rFonts w:asciiTheme="majorBidi" w:hAnsiTheme="majorBidi" w:cstheme="majorBidi"/>
          <w:i/>
        </w:rPr>
      </w:pPr>
      <m:oMathPara>
        <m:oMath>
          <m:r>
            <w:rPr>
              <w:rFonts w:ascii="Cambria Math" w:hAnsi="Cambria Math" w:cstheme="majorBidi"/>
            </w:rPr>
            <m:t>I</m:t>
          </m:r>
          <m:r>
            <w:rPr>
              <w:rFonts w:ascii="Cambria Math" w:hAnsiTheme="majorBidi" w:cstheme="majorBidi"/>
            </w:rPr>
            <m:t>=</m:t>
          </m:r>
          <m:f>
            <m:fPr>
              <m:ctrlPr>
                <w:rPr>
                  <w:rFonts w:ascii="Cambria Math" w:hAnsiTheme="majorBidi" w:cstheme="majorBidi"/>
                  <w:i/>
                </w:rPr>
              </m:ctrlPr>
            </m:fPr>
            <m:num>
              <m:r>
                <w:rPr>
                  <w:rFonts w:ascii="Cambria Math" w:hAnsiTheme="majorBidi" w:cstheme="majorBidi"/>
                </w:rPr>
                <m:t>1</m:t>
              </m:r>
            </m:num>
            <m:den>
              <m:r>
                <w:rPr>
                  <w:rFonts w:ascii="Cambria Math" w:hAnsiTheme="majorBidi" w:cstheme="majorBidi"/>
                </w:rPr>
                <m:t>12</m:t>
              </m:r>
            </m:den>
          </m:f>
          <m:r>
            <w:rPr>
              <w:rFonts w:ascii="Cambria Math" w:hAnsiTheme="majorBidi" w:cstheme="majorBidi"/>
            </w:rPr>
            <m:t xml:space="preserve">19.09 </m:t>
          </m:r>
          <m:r>
            <w:rPr>
              <w:rFonts w:ascii="Cambria Math" w:hAnsi="Cambria Math" w:cstheme="majorBidi"/>
            </w:rPr>
            <m:t>mm*</m:t>
          </m:r>
          <m:sSup>
            <m:sSupPr>
              <m:ctrlPr>
                <w:rPr>
                  <w:rFonts w:ascii="Cambria Math" w:hAnsiTheme="majorBidi" w:cstheme="majorBidi"/>
                  <w:i/>
                </w:rPr>
              </m:ctrlPr>
            </m:sSupPr>
            <m:e>
              <m:r>
                <w:rPr>
                  <w:rFonts w:ascii="Cambria Math" w:hAnsiTheme="majorBidi" w:cstheme="majorBidi"/>
                </w:rPr>
                <m:t>12.79</m:t>
              </m:r>
            </m:e>
            <m:sup>
              <m:r>
                <w:rPr>
                  <w:rFonts w:ascii="Cambria Math" w:hAnsiTheme="majorBidi" w:cstheme="majorBidi"/>
                </w:rPr>
                <m:t>3</m:t>
              </m:r>
            </m:sup>
          </m:sSup>
          <m:r>
            <w:rPr>
              <w:rFonts w:ascii="Cambria Math" w:hAnsiTheme="majorBidi" w:cstheme="majorBidi"/>
            </w:rPr>
            <m:t xml:space="preserve"> </m:t>
          </m:r>
          <m:sSup>
            <m:sSupPr>
              <m:ctrlPr>
                <w:rPr>
                  <w:rFonts w:ascii="Cambria Math" w:hAnsiTheme="majorBidi" w:cstheme="majorBidi"/>
                  <w:i/>
                </w:rPr>
              </m:ctrlPr>
            </m:sSupPr>
            <m:e>
              <m:r>
                <w:rPr>
                  <w:rFonts w:ascii="Cambria Math" w:hAnsi="Cambria Math" w:cstheme="majorBidi"/>
                </w:rPr>
                <m:t>mm</m:t>
              </m:r>
            </m:e>
            <m:sup>
              <m:r>
                <w:rPr>
                  <w:rFonts w:ascii="Cambria Math" w:hAnsiTheme="majorBidi" w:cstheme="majorBidi"/>
                </w:rPr>
                <m:t>3</m:t>
              </m:r>
            </m:sup>
          </m:sSup>
        </m:oMath>
      </m:oMathPara>
    </w:p>
    <w:p w:rsidR="00E17784" w:rsidRPr="00E12371" w:rsidRDefault="00E17784" w:rsidP="00E17784">
      <w:pPr>
        <w:pStyle w:val="ListParagraph"/>
        <w:ind w:left="1498"/>
        <w:rPr>
          <w:rFonts w:asciiTheme="majorBidi" w:hAnsiTheme="majorBidi" w:cstheme="majorBidi"/>
          <w:i/>
        </w:rPr>
      </w:pPr>
      <m:oMathPara>
        <m:oMath>
          <m:r>
            <w:rPr>
              <w:rFonts w:ascii="Cambria Math" w:hAnsi="Cambria Math" w:cstheme="majorBidi"/>
            </w:rPr>
            <m:t>I</m:t>
          </m:r>
          <m:r>
            <w:rPr>
              <w:rFonts w:ascii="Cambria Math" w:hAnsiTheme="majorBidi" w:cstheme="majorBidi"/>
            </w:rPr>
            <m:t>≈</m:t>
          </m:r>
          <m:r>
            <w:rPr>
              <w:rFonts w:ascii="Cambria Math" w:hAnsiTheme="majorBidi" w:cstheme="majorBidi"/>
            </w:rPr>
            <m:t>3328.40</m:t>
          </m:r>
          <m:sSup>
            <m:sSupPr>
              <m:ctrlPr>
                <w:rPr>
                  <w:rFonts w:ascii="Cambria Math" w:hAnsiTheme="majorBidi" w:cstheme="majorBidi"/>
                  <w:i/>
                </w:rPr>
              </m:ctrlPr>
            </m:sSupPr>
            <m:e>
              <m:r>
                <w:rPr>
                  <w:rFonts w:ascii="Cambria Math" w:hAnsi="Cambria Math" w:cstheme="majorBidi"/>
                </w:rPr>
                <m:t>mm</m:t>
              </m:r>
            </m:e>
            <m:sup>
              <m:r>
                <w:rPr>
                  <w:rFonts w:ascii="Cambria Math" w:hAnsiTheme="majorBidi" w:cstheme="majorBidi"/>
                </w:rPr>
                <m:t>4</m:t>
              </m:r>
            </m:sup>
          </m:sSup>
        </m:oMath>
      </m:oMathPara>
    </w:p>
    <w:p w:rsidR="00E17784" w:rsidRPr="00E12371" w:rsidRDefault="00E17784" w:rsidP="00E17784">
      <w:pPr>
        <w:pStyle w:val="ListParagraph"/>
        <w:ind w:left="1498"/>
        <w:rPr>
          <w:rFonts w:asciiTheme="majorBidi" w:hAnsiTheme="majorBidi" w:cstheme="majorBidi"/>
          <w:i/>
        </w:rPr>
      </w:pPr>
      <m:oMathPara>
        <m:oMath>
          <m:r>
            <w:rPr>
              <w:rFonts w:ascii="Cambria Math" w:hAnsi="Cambria Math" w:cstheme="majorBidi"/>
            </w:rPr>
            <m:t>I</m:t>
          </m:r>
          <m:r>
            <w:rPr>
              <w:rFonts w:ascii="Cambria Math" w:hAnsiTheme="majorBidi" w:cstheme="majorBidi"/>
            </w:rPr>
            <m:t>≈</m:t>
          </m:r>
          <m:r>
            <w:rPr>
              <w:rFonts w:ascii="Cambria Math" w:hAnsiTheme="majorBidi" w:cstheme="majorBidi"/>
            </w:rPr>
            <m:t>3.33</m:t>
          </m:r>
          <m:r>
            <w:rPr>
              <w:rFonts w:ascii="Cambria Math" w:hAnsi="Cambria Math" w:cstheme="majorBidi"/>
            </w:rPr>
            <m:t>*</m:t>
          </m:r>
          <m:sSup>
            <m:sSupPr>
              <m:ctrlPr>
                <w:rPr>
                  <w:rFonts w:ascii="Cambria Math" w:hAnsiTheme="majorBidi" w:cstheme="majorBidi"/>
                  <w:i/>
                </w:rPr>
              </m:ctrlPr>
            </m:sSupPr>
            <m:e>
              <m:r>
                <w:rPr>
                  <w:rFonts w:ascii="Cambria Math" w:hAnsiTheme="majorBidi" w:cstheme="majorBidi"/>
                </w:rPr>
                <m:t>10</m:t>
              </m:r>
            </m:e>
            <m:sup>
              <m:r>
                <w:rPr>
                  <w:rFonts w:ascii="Cambria Math" w:hAnsi="Cambria Math" w:cstheme="majorBidi"/>
                </w:rPr>
                <m:t>-</m:t>
              </m:r>
              <m:r>
                <w:rPr>
                  <w:rFonts w:ascii="Cambria Math" w:hAnsiTheme="majorBidi" w:cstheme="majorBidi"/>
                </w:rPr>
                <m:t>9</m:t>
              </m:r>
            </m:sup>
          </m:sSup>
          <m:r>
            <w:rPr>
              <w:rFonts w:ascii="Cambria Math" w:hAnsiTheme="majorBidi" w:cstheme="majorBidi"/>
            </w:rPr>
            <m:t xml:space="preserve"> </m:t>
          </m:r>
          <m:sSup>
            <m:sSupPr>
              <m:ctrlPr>
                <w:rPr>
                  <w:rFonts w:ascii="Cambria Math" w:hAnsiTheme="majorBidi" w:cstheme="majorBidi"/>
                  <w:i/>
                </w:rPr>
              </m:ctrlPr>
            </m:sSupPr>
            <m:e>
              <m:r>
                <w:rPr>
                  <w:rFonts w:ascii="Cambria Math" w:hAnsi="Cambria Math" w:cstheme="majorBidi"/>
                </w:rPr>
                <m:t>m</m:t>
              </m:r>
            </m:e>
            <m:sup>
              <m:r>
                <w:rPr>
                  <w:rFonts w:ascii="Cambria Math" w:hAnsiTheme="majorBidi" w:cstheme="majorBidi"/>
                </w:rPr>
                <m:t>4</m:t>
              </m:r>
            </m:sup>
          </m:sSup>
        </m:oMath>
      </m:oMathPara>
    </w:p>
    <w:tbl>
      <w:tblPr>
        <w:tblpPr w:leftFromText="180" w:rightFromText="180" w:vertAnchor="text" w:horzAnchor="page" w:tblpX="5431" w:tblpY="127"/>
        <w:tblW w:w="2689" w:type="dxa"/>
        <w:tblLayout w:type="fixed"/>
        <w:tblLook w:val="04A0" w:firstRow="1" w:lastRow="0" w:firstColumn="1" w:lastColumn="0" w:noHBand="0" w:noVBand="1"/>
      </w:tblPr>
      <w:tblGrid>
        <w:gridCol w:w="756"/>
        <w:gridCol w:w="756"/>
        <w:gridCol w:w="1177"/>
      </w:tblGrid>
      <w:tr w:rsidR="005F59EA" w:rsidRPr="00E17784" w:rsidTr="005F59EA">
        <w:trPr>
          <w:trHeight w:val="300"/>
        </w:trPr>
        <w:tc>
          <w:tcPr>
            <w:tcW w:w="268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Theoretical Moment of Inertia</w:t>
            </w:r>
            <w:r>
              <w:rPr>
                <w:rFonts w:ascii="Calibri" w:eastAsia="Times New Roman" w:hAnsi="Calibri" w:cs="Times New Roman"/>
                <w:color w:val="000000"/>
                <w:lang w:eastAsia="en-CA"/>
              </w:rPr>
              <w:t xml:space="preserve"> (10^-9 m^4)</w:t>
            </w:r>
          </w:p>
        </w:tc>
      </w:tr>
      <w:tr w:rsidR="005F59EA" w:rsidRPr="00E17784" w:rsidTr="005F59EA">
        <w:trPr>
          <w:trHeight w:val="300"/>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Brass</w:t>
            </w:r>
          </w:p>
        </w:tc>
        <w:tc>
          <w:tcPr>
            <w:tcW w:w="756" w:type="dxa"/>
            <w:tcBorders>
              <w:top w:val="nil"/>
              <w:left w:val="nil"/>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Steel</w:t>
            </w:r>
          </w:p>
        </w:tc>
        <w:tc>
          <w:tcPr>
            <w:tcW w:w="1177" w:type="dxa"/>
            <w:tcBorders>
              <w:top w:val="nil"/>
              <w:left w:val="nil"/>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Aluminum</w:t>
            </w:r>
          </w:p>
        </w:tc>
      </w:tr>
      <w:tr w:rsidR="005F59EA" w:rsidRPr="00E17784" w:rsidTr="005F59EA">
        <w:trPr>
          <w:trHeight w:val="300"/>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3.31</w:t>
            </w:r>
          </w:p>
        </w:tc>
        <w:tc>
          <w:tcPr>
            <w:tcW w:w="756" w:type="dxa"/>
            <w:tcBorders>
              <w:top w:val="nil"/>
              <w:left w:val="nil"/>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3.33</w:t>
            </w:r>
          </w:p>
        </w:tc>
        <w:tc>
          <w:tcPr>
            <w:tcW w:w="1177" w:type="dxa"/>
            <w:tcBorders>
              <w:top w:val="nil"/>
              <w:left w:val="nil"/>
              <w:bottom w:val="single" w:sz="4" w:space="0" w:color="auto"/>
              <w:right w:val="single" w:sz="4" w:space="0" w:color="auto"/>
            </w:tcBorders>
            <w:shd w:val="clear" w:color="auto" w:fill="auto"/>
            <w:noWrap/>
            <w:vAlign w:val="center"/>
            <w:hideMark/>
          </w:tcPr>
          <w:p w:rsidR="005F59EA" w:rsidRPr="00E17784" w:rsidRDefault="005F59EA" w:rsidP="005F59EA">
            <w:pPr>
              <w:spacing w:after="0" w:line="240" w:lineRule="auto"/>
              <w:jc w:val="center"/>
              <w:rPr>
                <w:rFonts w:ascii="Calibri" w:eastAsia="Times New Roman" w:hAnsi="Calibri" w:cs="Times New Roman"/>
                <w:color w:val="000000"/>
                <w:lang w:eastAsia="en-CA"/>
              </w:rPr>
            </w:pPr>
            <w:r w:rsidRPr="00E17784">
              <w:rPr>
                <w:rFonts w:ascii="Calibri" w:eastAsia="Times New Roman" w:hAnsi="Calibri" w:cs="Times New Roman"/>
                <w:color w:val="000000"/>
                <w:lang w:eastAsia="en-CA"/>
              </w:rPr>
              <w:t>3.35</w:t>
            </w:r>
          </w:p>
        </w:tc>
      </w:tr>
    </w:tbl>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5F59EA" w:rsidRDefault="005F59EA" w:rsidP="00E17784">
      <w:pPr>
        <w:pStyle w:val="ListParagraph"/>
        <w:ind w:left="1498"/>
        <w:rPr>
          <w:rFonts w:asciiTheme="majorBidi" w:hAnsiTheme="majorBidi" w:cstheme="majorBidi"/>
          <w:iCs/>
        </w:rPr>
      </w:pPr>
    </w:p>
    <w:p w:rsidR="00E17784" w:rsidRPr="00E12371" w:rsidRDefault="00E17784" w:rsidP="00E17784">
      <w:pPr>
        <w:pStyle w:val="ListParagraph"/>
        <w:ind w:left="1498"/>
        <w:rPr>
          <w:rFonts w:asciiTheme="majorBidi" w:hAnsiTheme="majorBidi" w:cstheme="majorBidi"/>
          <w:iCs/>
        </w:rPr>
      </w:pPr>
      <w:r w:rsidRPr="00E12371">
        <w:rPr>
          <w:rFonts w:asciiTheme="majorBidi" w:hAnsiTheme="majorBidi" w:cstheme="majorBidi"/>
          <w:iCs/>
        </w:rPr>
        <w:t xml:space="preserve">For mid span: </w:t>
      </w:r>
    </w:p>
    <w:p w:rsidR="00E17784" w:rsidRPr="00E12371" w:rsidRDefault="00E17784" w:rsidP="00E17784">
      <w:pPr>
        <w:pStyle w:val="ListParagraph"/>
        <w:ind w:left="1498"/>
        <w:rPr>
          <w:rFonts w:asciiTheme="majorBidi" w:hAnsiTheme="majorBidi" w:cstheme="majorBidi"/>
          <w:iCs/>
        </w:rPr>
      </w:pPr>
      <m:oMathPara>
        <m:oMath>
          <m:r>
            <w:rPr>
              <w:rFonts w:ascii="Cambria Math" w:hAnsi="Cambria Math" w:cstheme="majorBidi"/>
            </w:rPr>
            <m:t>x</m:t>
          </m:r>
          <m:r>
            <w:rPr>
              <w:rFonts w:ascii="Cambria Math" w:hAnsiTheme="majorBidi" w:cstheme="majorBidi"/>
            </w:rPr>
            <m:t>=</m:t>
          </m:r>
          <m:f>
            <m:fPr>
              <m:ctrlPr>
                <w:rPr>
                  <w:rFonts w:ascii="Cambria Math" w:hAnsiTheme="majorBidi" w:cstheme="majorBidi"/>
                  <w:i/>
                  <w:iCs/>
                </w:rPr>
              </m:ctrlPr>
            </m:fPr>
            <m:num>
              <m:r>
                <w:rPr>
                  <w:rFonts w:ascii="Cambria Math" w:hAnsi="Cambria Math" w:cstheme="majorBidi"/>
                </w:rPr>
                <m:t>L</m:t>
              </m:r>
            </m:num>
            <m:den>
              <m:r>
                <w:rPr>
                  <w:rFonts w:ascii="Cambria Math" w:hAnsiTheme="majorBidi" w:cstheme="majorBidi"/>
                </w:rPr>
                <m:t>2</m:t>
              </m:r>
            </m:den>
          </m:f>
          <m:r>
            <w:rPr>
              <w:rFonts w:ascii="Cambria Math" w:hAnsiTheme="majorBidi" w:cstheme="majorBidi"/>
            </w:rPr>
            <m:t>=</m:t>
          </m:r>
          <m:f>
            <m:fPr>
              <m:ctrlPr>
                <w:rPr>
                  <w:rFonts w:ascii="Cambria Math" w:hAnsiTheme="majorBidi" w:cstheme="majorBidi"/>
                  <w:i/>
                  <w:iCs/>
                </w:rPr>
              </m:ctrlPr>
            </m:fPr>
            <m:num>
              <m:r>
                <w:rPr>
                  <w:rFonts w:ascii="Cambria Math" w:hAnsiTheme="majorBidi" w:cstheme="majorBidi"/>
                </w:rPr>
                <m:t>0,455</m:t>
              </m:r>
            </m:num>
            <m:den>
              <m:r>
                <w:rPr>
                  <w:rFonts w:ascii="Cambria Math" w:hAnsiTheme="majorBidi" w:cstheme="majorBidi"/>
                </w:rPr>
                <m:t>2</m:t>
              </m:r>
            </m:den>
          </m:f>
          <m:r>
            <w:rPr>
              <w:rFonts w:ascii="Cambria Math" w:hAnsiTheme="majorBidi" w:cstheme="majorBidi"/>
            </w:rPr>
            <m:t>=0</m:t>
          </m:r>
          <m:r>
            <w:rPr>
              <w:rFonts w:ascii="Cambria Math" w:hAnsiTheme="majorBidi" w:cstheme="majorBidi"/>
            </w:rPr>
            <m:t>.</m:t>
          </m:r>
          <m:r>
            <w:rPr>
              <w:rFonts w:ascii="Cambria Math" w:hAnsiTheme="majorBidi" w:cstheme="majorBidi"/>
            </w:rPr>
            <m:t>2275</m:t>
          </m:r>
          <m:r>
            <w:rPr>
              <w:rFonts w:ascii="Cambria Math" w:hAnsi="Cambria Math" w:cstheme="majorBidi"/>
            </w:rPr>
            <m:t>m</m:t>
          </m:r>
        </m:oMath>
      </m:oMathPara>
    </w:p>
    <w:p w:rsidR="00E17784" w:rsidRPr="00E12371" w:rsidRDefault="00E17784" w:rsidP="00E17784">
      <w:pPr>
        <w:pStyle w:val="ListParagraph"/>
        <w:ind w:left="1498"/>
        <w:rPr>
          <w:rFonts w:asciiTheme="majorBidi" w:hAnsiTheme="majorBidi" w:cstheme="majorBidi"/>
          <w:iCs/>
        </w:rPr>
      </w:pPr>
      <w:r w:rsidRPr="00E12371">
        <w:rPr>
          <w:rFonts w:asciiTheme="majorBidi" w:hAnsiTheme="majorBidi" w:cstheme="majorBidi"/>
          <w:iCs/>
        </w:rPr>
        <w:t xml:space="preserve">For quarter span: </w:t>
      </w:r>
    </w:p>
    <w:p w:rsidR="00E17784" w:rsidRPr="00E12371" w:rsidRDefault="00E17784" w:rsidP="00E17784">
      <w:pPr>
        <w:pStyle w:val="ListParagraph"/>
        <w:ind w:left="1498"/>
        <w:rPr>
          <w:rFonts w:asciiTheme="majorBidi" w:hAnsiTheme="majorBidi" w:cstheme="majorBidi"/>
          <w:iCs/>
        </w:rPr>
      </w:pPr>
      <m:oMathPara>
        <m:oMath>
          <m:r>
            <w:rPr>
              <w:rFonts w:ascii="Cambria Math" w:hAnsi="Cambria Math" w:cstheme="majorBidi"/>
            </w:rPr>
            <m:t>x</m:t>
          </m:r>
          <m:r>
            <w:rPr>
              <w:rFonts w:ascii="Cambria Math" w:hAnsiTheme="majorBidi" w:cstheme="majorBidi"/>
            </w:rPr>
            <m:t>=</m:t>
          </m:r>
          <m:f>
            <m:fPr>
              <m:ctrlPr>
                <w:rPr>
                  <w:rFonts w:ascii="Cambria Math" w:hAnsiTheme="majorBidi" w:cstheme="majorBidi"/>
                  <w:i/>
                  <w:iCs/>
                </w:rPr>
              </m:ctrlPr>
            </m:fPr>
            <m:num>
              <m:r>
                <w:rPr>
                  <w:rFonts w:ascii="Cambria Math" w:hAnsi="Cambria Math" w:cstheme="majorBidi"/>
                </w:rPr>
                <m:t>L</m:t>
              </m:r>
            </m:num>
            <m:den>
              <m:r>
                <w:rPr>
                  <w:rFonts w:ascii="Cambria Math" w:hAnsiTheme="majorBidi" w:cstheme="majorBidi"/>
                </w:rPr>
                <m:t>4</m:t>
              </m:r>
            </m:den>
          </m:f>
          <m:r>
            <w:rPr>
              <w:rFonts w:ascii="Cambria Math" w:hAnsiTheme="majorBidi" w:cstheme="majorBidi"/>
            </w:rPr>
            <m:t>=</m:t>
          </m:r>
          <m:f>
            <m:fPr>
              <m:ctrlPr>
                <w:rPr>
                  <w:rFonts w:ascii="Cambria Math" w:hAnsiTheme="majorBidi" w:cstheme="majorBidi"/>
                  <w:i/>
                  <w:iCs/>
                </w:rPr>
              </m:ctrlPr>
            </m:fPr>
            <m:num>
              <m:r>
                <w:rPr>
                  <w:rFonts w:ascii="Cambria Math" w:hAnsiTheme="majorBidi" w:cstheme="majorBidi"/>
                </w:rPr>
                <m:t>0,455</m:t>
              </m:r>
            </m:num>
            <m:den>
              <m:r>
                <w:rPr>
                  <w:rFonts w:ascii="Cambria Math" w:hAnsiTheme="majorBidi" w:cstheme="majorBidi"/>
                </w:rPr>
                <m:t>4</m:t>
              </m:r>
            </m:den>
          </m:f>
          <m:r>
            <w:rPr>
              <w:rFonts w:ascii="Cambria Math" w:hAnsiTheme="majorBidi" w:cstheme="majorBidi"/>
            </w:rPr>
            <m:t>=0</m:t>
          </m:r>
          <m:r>
            <w:rPr>
              <w:rFonts w:ascii="Cambria Math" w:hAnsiTheme="majorBidi" w:cstheme="majorBidi"/>
            </w:rPr>
            <m:t>.</m:t>
          </m:r>
          <m:r>
            <w:rPr>
              <w:rFonts w:ascii="Cambria Math" w:hAnsiTheme="majorBidi" w:cstheme="majorBidi"/>
            </w:rPr>
            <m:t>11375</m:t>
          </m:r>
          <m:r>
            <w:rPr>
              <w:rFonts w:ascii="Cambria Math" w:hAnsi="Cambria Math" w:cstheme="majorBidi"/>
            </w:rPr>
            <m:t>m</m:t>
          </m:r>
        </m:oMath>
      </m:oMathPara>
    </w:p>
    <w:p w:rsidR="00E17784" w:rsidRPr="00E12371" w:rsidRDefault="00E17784" w:rsidP="00E17784">
      <w:pPr>
        <w:pStyle w:val="ListParagraph"/>
        <w:ind w:left="1498"/>
        <w:rPr>
          <w:rFonts w:asciiTheme="majorBidi" w:hAnsiTheme="majorBidi" w:cstheme="majorBidi"/>
          <w:iCs/>
        </w:rPr>
      </w:pPr>
      <w:r w:rsidRPr="00E12371">
        <w:rPr>
          <w:rFonts w:asciiTheme="majorBidi" w:hAnsiTheme="majorBidi" w:cstheme="majorBidi"/>
          <w:iCs/>
        </w:rPr>
        <w:t>Then the theoretical deflection for x at the mid span:</w:t>
      </w:r>
    </w:p>
    <w:p w:rsidR="00E17784" w:rsidRPr="00E12371" w:rsidRDefault="00E17784" w:rsidP="00E17784">
      <w:pPr>
        <w:pStyle w:val="ListParagraph"/>
        <w:ind w:left="1498"/>
        <w:rPr>
          <w:rFonts w:asciiTheme="majorBidi" w:hAnsiTheme="majorBidi" w:cstheme="majorBidi"/>
          <w:iCs/>
        </w:rPr>
      </w:pPr>
    </w:p>
    <w:p w:rsidR="00E17784" w:rsidRPr="00E12371" w:rsidRDefault="00E17784" w:rsidP="00667C87">
      <w:pPr>
        <w:pStyle w:val="ListParagraph"/>
        <w:ind w:left="1498"/>
        <w:jc w:val="center"/>
        <w:rPr>
          <w:rFonts w:asciiTheme="majorBidi" w:hAnsiTheme="majorBidi" w:cstheme="majorBidi"/>
        </w:rPr>
      </w:pPr>
      <m:oMathPara>
        <m:oMath>
          <m:sSub>
            <m:sSubPr>
              <m:ctrlPr>
                <w:rPr>
                  <w:rFonts w:ascii="Cambria Math" w:eastAsiaTheme="minorEastAsia" w:hAnsiTheme="majorBidi" w:cstheme="majorBidi"/>
                </w:rPr>
              </m:ctrlPr>
            </m:sSubPr>
            <m:e>
              <m:r>
                <m:rPr>
                  <m:sty m:val="p"/>
                </m:rPr>
                <w:rPr>
                  <w:rFonts w:ascii="Cambria Math" w:eastAsiaTheme="minorEastAsia" w:hAnsiTheme="majorBidi" w:cstheme="majorBidi"/>
                </w:rPr>
                <m:t>y</m:t>
              </m:r>
            </m:e>
            <m:sub>
              <m:r>
                <m:rPr>
                  <m:sty m:val="p"/>
                </m:rPr>
                <w:rPr>
                  <w:rFonts w:ascii="Cambria Math" w:eastAsiaTheme="minorEastAsia" w:hAnsiTheme="majorBidi" w:cstheme="majorBidi"/>
                </w:rPr>
                <m:t>theo</m:t>
              </m:r>
            </m:sub>
          </m:sSub>
          <m:r>
            <m:rPr>
              <m:sty m:val="p"/>
            </m:rPr>
            <w:rPr>
              <w:rFonts w:ascii="Cambria Math" w:eastAsiaTheme="minorEastAsia" w:hAnsiTheme="majorBidi" w:cstheme="majorBidi"/>
            </w:rPr>
            <m:t xml:space="preserve">= </m:t>
          </m:r>
          <m:r>
            <m:rPr>
              <m:sty m:val="p"/>
            </m:rPr>
            <w:rPr>
              <w:rFonts w:ascii="Cambria Math" w:hAnsi="Cambria Math"/>
              <w:position w:val="-24"/>
              <w:sz w:val="24"/>
              <w:szCs w:val="24"/>
              <w:bdr w:val="single" w:sz="4" w:space="0" w:color="auto"/>
            </w:rPr>
            <w:object w:dxaOrig="620" w:dyaOrig="660">
              <v:shape id="_x0000_i1040" type="#_x0000_t75" style="width:30.85pt;height:32.75pt" o:ole="">
                <v:imagedata r:id="rId30" o:title=""/>
              </v:shape>
              <o:OLEObject Type="Embed" ProgID="Equation.3" ShapeID="_x0000_i1040" DrawAspect="Content" ObjectID="_1488772800" r:id="rId37"/>
            </w:object>
          </m:r>
        </m:oMath>
      </m:oMathPara>
    </w:p>
    <w:p w:rsidR="00E17784" w:rsidRPr="00E12371" w:rsidRDefault="00E17784" w:rsidP="00667C87">
      <w:pPr>
        <w:pStyle w:val="ListParagraph"/>
        <w:ind w:left="1498"/>
        <w:jc w:val="center"/>
        <w:rPr>
          <w:rFonts w:asciiTheme="majorBidi" w:hAnsiTheme="majorBidi" w:cstheme="majorBidi"/>
        </w:rPr>
      </w:pPr>
    </w:p>
    <w:p w:rsidR="00E17784" w:rsidRPr="00E17784" w:rsidRDefault="00E17784" w:rsidP="00667C87">
      <w:pPr>
        <w:pStyle w:val="ListParagraph"/>
        <w:ind w:left="1498"/>
        <w:jc w:val="center"/>
        <w:rPr>
          <w:rFonts w:asciiTheme="majorBidi" w:eastAsiaTheme="minorEastAsia" w:hAnsiTheme="majorBidi" w:cstheme="majorBidi"/>
        </w:rPr>
      </w:pPr>
      <m:oMathPara>
        <m:oMath>
          <m:sSub>
            <m:sSubPr>
              <m:ctrlPr>
                <w:rPr>
                  <w:rFonts w:ascii="Cambria Math" w:eastAsiaTheme="minorEastAsia" w:hAnsiTheme="majorBidi" w:cstheme="majorBidi"/>
                </w:rPr>
              </m:ctrlPr>
            </m:sSubPr>
            <m:e>
              <m:r>
                <m:rPr>
                  <m:sty m:val="p"/>
                </m:rPr>
                <w:rPr>
                  <w:rFonts w:ascii="Cambria Math" w:eastAsiaTheme="minorEastAsia" w:hAnsiTheme="majorBidi" w:cstheme="majorBidi"/>
                </w:rPr>
                <m:t>y</m:t>
              </m:r>
            </m:e>
            <m:sub>
              <m:r>
                <m:rPr>
                  <m:sty m:val="p"/>
                </m:rPr>
                <w:rPr>
                  <w:rFonts w:ascii="Cambria Math" w:eastAsiaTheme="minorEastAsia" w:hAnsiTheme="majorBidi" w:cstheme="majorBidi"/>
                </w:rPr>
                <m:t>theo</m:t>
              </m:r>
            </m:sub>
          </m:sSub>
          <m:r>
            <w:rPr>
              <w:rFonts w:ascii="Cambria Math" w:hAnsiTheme="majorBidi" w:cstheme="majorBidi"/>
            </w:rPr>
            <m:t>≈</m:t>
          </m:r>
          <m:r>
            <w:rPr>
              <w:rFonts w:ascii="Cambria Math" w:hAnsiTheme="majorBidi" w:cstheme="majorBidi"/>
            </w:rPr>
            <m:t>0.00089</m:t>
          </m:r>
          <m:r>
            <w:rPr>
              <w:rFonts w:ascii="Cambria Math" w:hAnsi="Cambria Math" w:cstheme="majorBidi"/>
            </w:rPr>
            <m:t>m</m:t>
          </m:r>
          <m:r>
            <w:rPr>
              <w:rFonts w:ascii="Cambria Math" w:hAnsiTheme="majorBidi" w:cstheme="majorBidi"/>
            </w:rPr>
            <m:t>≈</m:t>
          </m:r>
          <m:r>
            <w:rPr>
              <w:rFonts w:ascii="Cambria Math" w:hAnsiTheme="majorBidi" w:cstheme="majorBidi"/>
            </w:rPr>
            <m:t>0.89</m:t>
          </m:r>
          <m:r>
            <w:rPr>
              <w:rFonts w:ascii="Cambria Math" w:hAnsi="Cambria Math" w:cstheme="majorBidi"/>
            </w:rPr>
            <m:t>mm</m:t>
          </m:r>
        </m:oMath>
      </m:oMathPara>
    </w:p>
    <w:p w:rsidR="00E77DAC" w:rsidRDefault="00E17784">
      <w:pPr>
        <w:rPr>
          <w:b/>
          <w:sz w:val="28"/>
        </w:rPr>
      </w:pPr>
      <w:r>
        <w:rPr>
          <w:b/>
          <w:sz w:val="28"/>
        </w:rPr>
        <w:tab/>
      </w:r>
    </w:p>
    <w:tbl>
      <w:tblPr>
        <w:tblW w:w="9355" w:type="dxa"/>
        <w:tblInd w:w="-5" w:type="dxa"/>
        <w:tblLook w:val="04A0" w:firstRow="1" w:lastRow="0" w:firstColumn="1" w:lastColumn="0" w:noHBand="0" w:noVBand="1"/>
      </w:tblPr>
      <w:tblGrid>
        <w:gridCol w:w="1082"/>
        <w:gridCol w:w="1459"/>
        <w:gridCol w:w="1287"/>
        <w:gridCol w:w="1274"/>
        <w:gridCol w:w="1489"/>
        <w:gridCol w:w="1347"/>
        <w:gridCol w:w="1417"/>
      </w:tblGrid>
      <w:tr w:rsidR="00E77DAC" w:rsidRPr="00E77DAC" w:rsidTr="005A59F6">
        <w:trPr>
          <w:trHeight w:val="300"/>
        </w:trPr>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77DAC" w:rsidRPr="00E77DAC" w:rsidRDefault="00E77DAC"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Theoretical Values</w:t>
            </w:r>
          </w:p>
        </w:tc>
      </w:tr>
      <w:tr w:rsidR="00E77DAC" w:rsidRPr="00E77DAC" w:rsidTr="00E77DAC">
        <w:trPr>
          <w:trHeight w:val="300"/>
        </w:trPr>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Load (g)</w:t>
            </w:r>
          </w:p>
        </w:tc>
        <w:tc>
          <w:tcPr>
            <w:tcW w:w="2746"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Brass</w:t>
            </w:r>
          </w:p>
        </w:tc>
        <w:tc>
          <w:tcPr>
            <w:tcW w:w="2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Steel</w:t>
            </w:r>
          </w:p>
        </w:tc>
        <w:tc>
          <w:tcPr>
            <w:tcW w:w="2764"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Aluminum</w:t>
            </w:r>
          </w:p>
        </w:tc>
      </w:tr>
      <w:tr w:rsidR="00E77DAC" w:rsidRPr="00E77DAC" w:rsidTr="00E77DAC">
        <w:trPr>
          <w:trHeight w:val="300"/>
        </w:trPr>
        <w:tc>
          <w:tcPr>
            <w:tcW w:w="1082" w:type="dxa"/>
            <w:vMerge/>
            <w:tcBorders>
              <w:top w:val="single" w:sz="4" w:space="0" w:color="auto"/>
              <w:left w:val="single" w:sz="4" w:space="0" w:color="auto"/>
              <w:bottom w:val="single" w:sz="4" w:space="0" w:color="auto"/>
              <w:right w:val="single" w:sz="4" w:space="0" w:color="auto"/>
            </w:tcBorders>
            <w:vAlign w:val="center"/>
            <w:hideMark/>
          </w:tcPr>
          <w:p w:rsidR="00E77DAC" w:rsidRPr="00E77DAC" w:rsidRDefault="00E77DAC" w:rsidP="00E77DAC">
            <w:pPr>
              <w:spacing w:after="0" w:line="240" w:lineRule="auto"/>
              <w:rPr>
                <w:rFonts w:ascii="Calibri" w:eastAsia="Times New Roman" w:hAnsi="Calibri" w:cs="Times New Roman"/>
                <w:color w:val="000000"/>
                <w:lang w:eastAsia="en-CA"/>
              </w:rPr>
            </w:pPr>
          </w:p>
        </w:tc>
        <w:tc>
          <w:tcPr>
            <w:tcW w:w="1459"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c>
          <w:tcPr>
            <w:tcW w:w="1274"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c>
          <w:tcPr>
            <w:tcW w:w="1347"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200 N</w:t>
            </w:r>
          </w:p>
        </w:tc>
        <w:tc>
          <w:tcPr>
            <w:tcW w:w="145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1.13</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0.78</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0.59</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0.41</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1.67</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1.15</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400 N</w:t>
            </w:r>
          </w:p>
        </w:tc>
        <w:tc>
          <w:tcPr>
            <w:tcW w:w="145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2.26</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1.55</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1.18</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0.81</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3.35</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2.30</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600 N</w:t>
            </w:r>
          </w:p>
        </w:tc>
        <w:tc>
          <w:tcPr>
            <w:tcW w:w="145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3.39</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2.33</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1.77</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1.22</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5.02</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3.45</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800 N</w:t>
            </w:r>
          </w:p>
        </w:tc>
        <w:tc>
          <w:tcPr>
            <w:tcW w:w="145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4.52</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3.11</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2.36</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1.62</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6.69</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4.60</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1000 N</w:t>
            </w:r>
          </w:p>
        </w:tc>
        <w:tc>
          <w:tcPr>
            <w:tcW w:w="145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5.65</w:t>
            </w:r>
          </w:p>
        </w:tc>
        <w:tc>
          <w:tcPr>
            <w:tcW w:w="128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3.88</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2.95</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2.03</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8.37</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5A59F6"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00E77DAC" w:rsidRPr="00E77DAC">
              <w:rPr>
                <w:rFonts w:ascii="Calibri" w:eastAsia="Times New Roman" w:hAnsi="Calibri" w:cs="Times New Roman"/>
                <w:color w:val="000000"/>
                <w:lang w:eastAsia="en-CA"/>
              </w:rPr>
              <w:t>5.75</w:t>
            </w:r>
          </w:p>
        </w:tc>
      </w:tr>
    </w:tbl>
    <w:p w:rsidR="00E17784" w:rsidRDefault="00E17784">
      <w:pPr>
        <w:rPr>
          <w:b/>
          <w:sz w:val="28"/>
        </w:rPr>
      </w:pPr>
    </w:p>
    <w:tbl>
      <w:tblPr>
        <w:tblW w:w="9355" w:type="dxa"/>
        <w:tblInd w:w="-5" w:type="dxa"/>
        <w:tblLook w:val="04A0" w:firstRow="1" w:lastRow="0" w:firstColumn="1" w:lastColumn="0" w:noHBand="0" w:noVBand="1"/>
      </w:tblPr>
      <w:tblGrid>
        <w:gridCol w:w="1082"/>
        <w:gridCol w:w="1318"/>
        <w:gridCol w:w="1428"/>
        <w:gridCol w:w="1274"/>
        <w:gridCol w:w="1489"/>
        <w:gridCol w:w="1347"/>
        <w:gridCol w:w="1417"/>
      </w:tblGrid>
      <w:tr w:rsidR="00E77DAC" w:rsidRPr="00E77DAC" w:rsidTr="005A59F6">
        <w:trPr>
          <w:trHeight w:val="300"/>
        </w:trPr>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77DAC" w:rsidRPr="00E77DAC" w:rsidRDefault="00E77DAC" w:rsidP="00E77DAC">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Experimental Values</w:t>
            </w:r>
          </w:p>
        </w:tc>
      </w:tr>
      <w:tr w:rsidR="00E77DAC" w:rsidRPr="00E77DAC" w:rsidTr="00E77DAC">
        <w:trPr>
          <w:trHeight w:val="300"/>
        </w:trPr>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Load (g)</w:t>
            </w:r>
          </w:p>
        </w:tc>
        <w:tc>
          <w:tcPr>
            <w:tcW w:w="2746"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Brass</w:t>
            </w:r>
          </w:p>
        </w:tc>
        <w:tc>
          <w:tcPr>
            <w:tcW w:w="2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Steel</w:t>
            </w:r>
          </w:p>
        </w:tc>
        <w:tc>
          <w:tcPr>
            <w:tcW w:w="2764" w:type="dxa"/>
            <w:gridSpan w:val="2"/>
            <w:tcBorders>
              <w:top w:val="single" w:sz="4" w:space="0" w:color="auto"/>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Aluminum</w:t>
            </w:r>
          </w:p>
        </w:tc>
      </w:tr>
      <w:tr w:rsidR="00E77DAC" w:rsidRPr="00E77DAC" w:rsidTr="00E77DAC">
        <w:trPr>
          <w:trHeight w:val="300"/>
        </w:trPr>
        <w:tc>
          <w:tcPr>
            <w:tcW w:w="1082" w:type="dxa"/>
            <w:vMerge/>
            <w:tcBorders>
              <w:top w:val="single" w:sz="4" w:space="0" w:color="auto"/>
              <w:left w:val="single" w:sz="4" w:space="0" w:color="auto"/>
              <w:bottom w:val="single" w:sz="4" w:space="0" w:color="auto"/>
              <w:right w:val="single" w:sz="4" w:space="0" w:color="auto"/>
            </w:tcBorders>
            <w:vAlign w:val="center"/>
            <w:hideMark/>
          </w:tcPr>
          <w:p w:rsidR="00E77DAC" w:rsidRPr="00E77DAC" w:rsidRDefault="00E77DAC" w:rsidP="00E77DAC">
            <w:pPr>
              <w:spacing w:after="0" w:line="240" w:lineRule="auto"/>
              <w:rPr>
                <w:rFonts w:ascii="Calibri" w:eastAsia="Times New Roman" w:hAnsi="Calibri" w:cs="Times New Roman"/>
                <w:color w:val="000000"/>
                <w:lang w:eastAsia="en-CA"/>
              </w:rPr>
            </w:pPr>
          </w:p>
        </w:tc>
        <w:tc>
          <w:tcPr>
            <w:tcW w:w="1318"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c>
          <w:tcPr>
            <w:tcW w:w="1274"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c>
          <w:tcPr>
            <w:tcW w:w="1347" w:type="dxa"/>
            <w:tcBorders>
              <w:top w:val="nil"/>
              <w:left w:val="nil"/>
              <w:bottom w:val="single" w:sz="4" w:space="0" w:color="auto"/>
              <w:right w:val="single" w:sz="4" w:space="0" w:color="auto"/>
            </w:tcBorders>
            <w:shd w:val="clear" w:color="auto" w:fill="auto"/>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L/2</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at x = L/4</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200 N</w:t>
            </w:r>
          </w:p>
        </w:tc>
        <w:tc>
          <w:tcPr>
            <w:tcW w:w="131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-1.35</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-0.96</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-0.65</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-0.5</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-1.74</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-1.26</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400 N</w:t>
            </w:r>
          </w:p>
        </w:tc>
        <w:tc>
          <w:tcPr>
            <w:tcW w:w="131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-2.95</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-2.1</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-1.28</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-0.97</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-3.68</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-2.63</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600 N</w:t>
            </w:r>
          </w:p>
        </w:tc>
        <w:tc>
          <w:tcPr>
            <w:tcW w:w="131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-4.57</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-3.26</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-1.95</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-1.47</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-5.6</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-3.99</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800 N</w:t>
            </w:r>
          </w:p>
        </w:tc>
        <w:tc>
          <w:tcPr>
            <w:tcW w:w="131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-6.25</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-4.46</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-2.66</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-1.98</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-7.52</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-5.36</w:t>
            </w:r>
          </w:p>
        </w:tc>
      </w:tr>
      <w:tr w:rsidR="00E77DAC" w:rsidRPr="00E77DAC" w:rsidTr="00E77DA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1000 N</w:t>
            </w:r>
          </w:p>
        </w:tc>
        <w:tc>
          <w:tcPr>
            <w:tcW w:w="131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-7.97</w:t>
            </w:r>
          </w:p>
        </w:tc>
        <w:tc>
          <w:tcPr>
            <w:tcW w:w="1428"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-5.68</w:t>
            </w:r>
          </w:p>
        </w:tc>
        <w:tc>
          <w:tcPr>
            <w:tcW w:w="1274"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-3.42</w:t>
            </w:r>
          </w:p>
        </w:tc>
        <w:tc>
          <w:tcPr>
            <w:tcW w:w="1489"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-2.53</w:t>
            </w:r>
          </w:p>
        </w:tc>
        <w:tc>
          <w:tcPr>
            <w:tcW w:w="134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-9.47</w:t>
            </w:r>
          </w:p>
        </w:tc>
        <w:tc>
          <w:tcPr>
            <w:tcW w:w="1417" w:type="dxa"/>
            <w:tcBorders>
              <w:top w:val="nil"/>
              <w:left w:val="nil"/>
              <w:bottom w:val="single" w:sz="4" w:space="0" w:color="auto"/>
              <w:right w:val="single" w:sz="4" w:space="0" w:color="auto"/>
            </w:tcBorders>
            <w:shd w:val="clear" w:color="auto" w:fill="auto"/>
            <w:noWrap/>
            <w:vAlign w:val="center"/>
            <w:hideMark/>
          </w:tcPr>
          <w:p w:rsidR="00E77DAC" w:rsidRPr="00E77DAC" w:rsidRDefault="00E77DAC" w:rsidP="00E77DAC">
            <w:pPr>
              <w:spacing w:after="0" w:line="240" w:lineRule="auto"/>
              <w:jc w:val="center"/>
              <w:rPr>
                <w:rFonts w:ascii="Calibri" w:eastAsia="Times New Roman" w:hAnsi="Calibri" w:cs="Times New Roman"/>
                <w:color w:val="000000"/>
                <w:lang w:eastAsia="en-CA"/>
              </w:rPr>
            </w:pPr>
            <w:r w:rsidRPr="00E77DAC">
              <w:rPr>
                <w:rFonts w:ascii="Calibri" w:eastAsia="Times New Roman" w:hAnsi="Calibri" w:cs="Times New Roman"/>
                <w:color w:val="000000"/>
                <w:lang w:eastAsia="en-CA"/>
              </w:rPr>
              <w:t>-6.73</w:t>
            </w:r>
          </w:p>
        </w:tc>
      </w:tr>
    </w:tbl>
    <w:p w:rsidR="00E17784" w:rsidRDefault="00E17784">
      <w:pPr>
        <w:rPr>
          <w:b/>
          <w:sz w:val="28"/>
        </w:rPr>
      </w:pPr>
    </w:p>
    <w:p w:rsidR="005A59F6" w:rsidRDefault="005A59F6" w:rsidP="005A59F6">
      <w:pPr>
        <w:jc w:val="both"/>
        <w:rPr>
          <w:sz w:val="24"/>
          <w:szCs w:val="24"/>
        </w:rPr>
      </w:pPr>
    </w:p>
    <w:p w:rsidR="005A59F6" w:rsidRDefault="005A59F6" w:rsidP="005A59F6">
      <w:pPr>
        <w:jc w:val="both"/>
        <w:rPr>
          <w:sz w:val="24"/>
          <w:szCs w:val="24"/>
        </w:rPr>
      </w:pPr>
    </w:p>
    <w:p w:rsidR="005A59F6" w:rsidRDefault="005A59F6" w:rsidP="005A59F6">
      <w:pPr>
        <w:jc w:val="both"/>
        <w:rPr>
          <w:sz w:val="24"/>
          <w:szCs w:val="24"/>
        </w:rPr>
      </w:pPr>
    </w:p>
    <w:p w:rsidR="005A59F6" w:rsidRDefault="005A59F6" w:rsidP="005A59F6">
      <w:pPr>
        <w:jc w:val="both"/>
        <w:rPr>
          <w:sz w:val="24"/>
          <w:szCs w:val="24"/>
        </w:rPr>
      </w:pPr>
    </w:p>
    <w:p w:rsidR="005A59F6" w:rsidRDefault="005A59F6" w:rsidP="005A59F6">
      <w:pPr>
        <w:jc w:val="both"/>
        <w:rPr>
          <w:sz w:val="24"/>
          <w:szCs w:val="24"/>
        </w:rPr>
      </w:pPr>
    </w:p>
    <w:p w:rsidR="005A59F6" w:rsidRPr="00FB4605" w:rsidRDefault="005A59F6" w:rsidP="005A59F6">
      <w:pPr>
        <w:jc w:val="both"/>
        <w:rPr>
          <w:sz w:val="24"/>
          <w:szCs w:val="24"/>
        </w:rPr>
      </w:pPr>
      <w:r>
        <w:rPr>
          <w:sz w:val="24"/>
          <w:szCs w:val="24"/>
        </w:rPr>
        <w:lastRenderedPageBreak/>
        <w:t xml:space="preserve">Using the Formulas: </w:t>
      </w:r>
    </w:p>
    <w:p w:rsidR="005A59F6" w:rsidRPr="00D53E19" w:rsidRDefault="005A59F6" w:rsidP="005A59F6">
      <w:pPr>
        <w:jc w:val="center"/>
        <w:rPr>
          <w:sz w:val="24"/>
          <w:szCs w:val="24"/>
        </w:rPr>
      </w:pPr>
      <w:r w:rsidRPr="00D53E19">
        <w:rPr>
          <w:sz w:val="24"/>
          <w:szCs w:val="24"/>
        </w:rPr>
        <w:t>For x = L/2 (Mid-Span)</w:t>
      </w:r>
    </w:p>
    <w:p w:rsidR="005A59F6" w:rsidRPr="00D53E19" w:rsidRDefault="005A59F6" w:rsidP="005A59F6">
      <w:pPr>
        <w:jc w:val="center"/>
        <w:rPr>
          <w:sz w:val="24"/>
          <w:szCs w:val="24"/>
        </w:rPr>
      </w:pPr>
      <w:r w:rsidRPr="00D53E19">
        <w:rPr>
          <w:sz w:val="24"/>
          <w:szCs w:val="24"/>
        </w:rPr>
        <w:t>Y</w:t>
      </w:r>
      <w:r>
        <w:rPr>
          <w:sz w:val="24"/>
          <w:szCs w:val="24"/>
        </w:rPr>
        <w:t xml:space="preserve"> </w:t>
      </w:r>
      <w:r w:rsidRPr="00D53E19">
        <w:rPr>
          <w:sz w:val="24"/>
          <w:szCs w:val="24"/>
        </w:rPr>
        <w:t xml:space="preserve">= </w:t>
      </w:r>
      <w:r w:rsidRPr="00FB4605">
        <w:rPr>
          <w:sz w:val="24"/>
          <w:szCs w:val="24"/>
        </w:rPr>
        <w:t xml:space="preserve"> </w:t>
      </w:r>
      <w:r w:rsidRPr="00FB4605">
        <w:rPr>
          <w:position w:val="-24"/>
          <w:sz w:val="24"/>
          <w:szCs w:val="24"/>
        </w:rPr>
        <w:object w:dxaOrig="800" w:dyaOrig="660">
          <v:shape id="_x0000_i1041" type="#_x0000_t75" style="width:40.2pt;height:32.75pt" o:ole="">
            <v:imagedata r:id="rId38" o:title=""/>
          </v:shape>
          <o:OLEObject Type="Embed" ProgID="Equation.3" ShapeID="_x0000_i1041" DrawAspect="Content" ObjectID="_1488772801" r:id="rId39"/>
        </w:object>
      </w:r>
      <w:r w:rsidRPr="00FB4605">
        <w:rPr>
          <w:sz w:val="24"/>
          <w:szCs w:val="24"/>
        </w:rPr>
        <w:sym w:font="Wingdings" w:char="F0E0"/>
      </w:r>
      <w:r>
        <w:rPr>
          <w:sz w:val="24"/>
          <w:szCs w:val="24"/>
        </w:rPr>
        <w:t xml:space="preserve"> E = </w:t>
      </w:r>
      <w:r w:rsidRPr="00FB4605">
        <w:rPr>
          <w:position w:val="-24"/>
          <w:sz w:val="24"/>
          <w:szCs w:val="24"/>
        </w:rPr>
        <w:object w:dxaOrig="760" w:dyaOrig="660">
          <v:shape id="_x0000_i1042" type="#_x0000_t75" style="width:38.35pt;height:32.75pt" o:ole="">
            <v:imagedata r:id="rId40" o:title=""/>
          </v:shape>
          <o:OLEObject Type="Embed" ProgID="Equation.3" ShapeID="_x0000_i1042" DrawAspect="Content" ObjectID="_1488772802" r:id="rId41"/>
        </w:object>
      </w:r>
    </w:p>
    <w:p w:rsidR="005A59F6" w:rsidRPr="00D53E19" w:rsidRDefault="005A59F6" w:rsidP="005A59F6">
      <w:pPr>
        <w:jc w:val="center"/>
        <w:rPr>
          <w:sz w:val="24"/>
          <w:szCs w:val="24"/>
        </w:rPr>
      </w:pPr>
      <w:r w:rsidRPr="00D53E19">
        <w:rPr>
          <w:sz w:val="24"/>
          <w:szCs w:val="24"/>
        </w:rPr>
        <w:t>For x = L/4 (Quarter-Span)</w:t>
      </w:r>
    </w:p>
    <w:p w:rsidR="005A59F6" w:rsidRDefault="005A59F6" w:rsidP="005A59F6">
      <w:pPr>
        <w:jc w:val="center"/>
        <w:rPr>
          <w:sz w:val="24"/>
          <w:szCs w:val="24"/>
        </w:rPr>
      </w:pPr>
      <w:r w:rsidRPr="00D53E19">
        <w:rPr>
          <w:sz w:val="24"/>
          <w:szCs w:val="24"/>
        </w:rPr>
        <w:t>Y</w:t>
      </w:r>
      <w:r>
        <w:rPr>
          <w:sz w:val="24"/>
          <w:szCs w:val="24"/>
        </w:rPr>
        <w:t xml:space="preserve"> </w:t>
      </w:r>
      <w:r w:rsidRPr="00D53E19">
        <w:rPr>
          <w:sz w:val="24"/>
          <w:szCs w:val="24"/>
        </w:rPr>
        <w:t xml:space="preserve">=  </w:t>
      </w:r>
      <w:r w:rsidRPr="00FB4605">
        <w:rPr>
          <w:position w:val="-24"/>
          <w:sz w:val="24"/>
          <w:szCs w:val="24"/>
        </w:rPr>
        <w:object w:dxaOrig="920" w:dyaOrig="660">
          <v:shape id="_x0000_i1043" type="#_x0000_t75" style="width:45.8pt;height:32.75pt" o:ole="">
            <v:imagedata r:id="rId42" o:title=""/>
          </v:shape>
          <o:OLEObject Type="Embed" ProgID="Equation.3" ShapeID="_x0000_i1043" DrawAspect="Content" ObjectID="_1488772803" r:id="rId43"/>
        </w:object>
      </w:r>
      <w:r w:rsidRPr="00FB4605">
        <w:rPr>
          <w:sz w:val="24"/>
          <w:szCs w:val="24"/>
        </w:rPr>
        <w:sym w:font="Wingdings" w:char="F0E0"/>
      </w:r>
      <w:r>
        <w:rPr>
          <w:sz w:val="24"/>
          <w:szCs w:val="24"/>
        </w:rPr>
        <w:t xml:space="preserve"> E = </w:t>
      </w:r>
      <w:r w:rsidRPr="00FB4605">
        <w:rPr>
          <w:position w:val="-24"/>
          <w:sz w:val="24"/>
          <w:szCs w:val="24"/>
        </w:rPr>
        <w:object w:dxaOrig="880" w:dyaOrig="660">
          <v:shape id="_x0000_i1044" type="#_x0000_t75" style="width:43.95pt;height:32.75pt" o:ole="">
            <v:imagedata r:id="rId44" o:title=""/>
          </v:shape>
          <o:OLEObject Type="Embed" ProgID="Equation.3" ShapeID="_x0000_i1044" DrawAspect="Content" ObjectID="_1488772804" r:id="rId45"/>
        </w:object>
      </w:r>
    </w:p>
    <w:p w:rsidR="00EE3145" w:rsidRDefault="00EE3145">
      <w:pPr>
        <w:rPr>
          <w:b/>
          <w:sz w:val="28"/>
        </w:rPr>
      </w:pPr>
    </w:p>
    <w:tbl>
      <w:tblPr>
        <w:tblW w:w="5000" w:type="pct"/>
        <w:tblLook w:val="04A0" w:firstRow="1" w:lastRow="0" w:firstColumn="1" w:lastColumn="0" w:noHBand="0" w:noVBand="1"/>
      </w:tblPr>
      <w:tblGrid>
        <w:gridCol w:w="1105"/>
        <w:gridCol w:w="1584"/>
        <w:gridCol w:w="1328"/>
        <w:gridCol w:w="1367"/>
        <w:gridCol w:w="1300"/>
        <w:gridCol w:w="1393"/>
        <w:gridCol w:w="1273"/>
      </w:tblGrid>
      <w:tr w:rsidR="0023497D" w:rsidRPr="005A59F6" w:rsidTr="002349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3497D" w:rsidRPr="005A59F6"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Theoretical Modulus of Elasticity</w:t>
            </w:r>
          </w:p>
        </w:tc>
      </w:tr>
      <w:tr w:rsidR="005A59F6" w:rsidRPr="005A59F6" w:rsidTr="0023497D">
        <w:trPr>
          <w:trHeight w:val="300"/>
        </w:trPr>
        <w:tc>
          <w:tcPr>
            <w:tcW w:w="5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Load (g)</w:t>
            </w:r>
          </w:p>
        </w:tc>
        <w:tc>
          <w:tcPr>
            <w:tcW w:w="1557" w:type="pct"/>
            <w:gridSpan w:val="2"/>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Brass</w:t>
            </w:r>
          </w:p>
        </w:tc>
        <w:tc>
          <w:tcPr>
            <w:tcW w:w="1426" w:type="pct"/>
            <w:gridSpan w:val="2"/>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Steel</w:t>
            </w:r>
          </w:p>
        </w:tc>
        <w:tc>
          <w:tcPr>
            <w:tcW w:w="1426" w:type="pct"/>
            <w:gridSpan w:val="2"/>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Aluminum</w:t>
            </w:r>
          </w:p>
        </w:tc>
      </w:tr>
      <w:tr w:rsidR="005A59F6" w:rsidRPr="005A59F6" w:rsidTr="0023497D">
        <w:trPr>
          <w:trHeight w:val="300"/>
        </w:trPr>
        <w:tc>
          <w:tcPr>
            <w:tcW w:w="591" w:type="pct"/>
            <w:vMerge/>
            <w:tcBorders>
              <w:top w:val="single" w:sz="4" w:space="0" w:color="auto"/>
              <w:left w:val="single" w:sz="4" w:space="0" w:color="auto"/>
              <w:bottom w:val="single" w:sz="4" w:space="0" w:color="auto"/>
              <w:right w:val="single" w:sz="4" w:space="0" w:color="auto"/>
            </w:tcBorders>
            <w:vAlign w:val="center"/>
            <w:hideMark/>
          </w:tcPr>
          <w:p w:rsidR="005A59F6" w:rsidRPr="005A59F6" w:rsidRDefault="005A59F6" w:rsidP="005A59F6">
            <w:pPr>
              <w:spacing w:after="0" w:line="240" w:lineRule="auto"/>
              <w:rPr>
                <w:rFonts w:ascii="Calibri" w:eastAsia="Times New Roman" w:hAnsi="Calibri" w:cs="Times New Roman"/>
                <w:color w:val="000000"/>
                <w:lang w:eastAsia="en-CA"/>
              </w:rPr>
            </w:pPr>
          </w:p>
        </w:tc>
        <w:tc>
          <w:tcPr>
            <w:tcW w:w="847" w:type="pct"/>
            <w:tcBorders>
              <w:top w:val="nil"/>
              <w:left w:val="nil"/>
              <w:bottom w:val="single" w:sz="4" w:space="0" w:color="auto"/>
              <w:right w:val="single" w:sz="4" w:space="0" w:color="auto"/>
            </w:tcBorders>
            <w:shd w:val="clear" w:color="auto" w:fill="auto"/>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L/2</w:t>
            </w:r>
          </w:p>
        </w:tc>
        <w:tc>
          <w:tcPr>
            <w:tcW w:w="710"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L/4</w:t>
            </w:r>
          </w:p>
        </w:tc>
        <w:tc>
          <w:tcPr>
            <w:tcW w:w="731" w:type="pct"/>
            <w:tcBorders>
              <w:top w:val="nil"/>
              <w:left w:val="nil"/>
              <w:bottom w:val="single" w:sz="4" w:space="0" w:color="auto"/>
              <w:right w:val="single" w:sz="4" w:space="0" w:color="auto"/>
            </w:tcBorders>
            <w:shd w:val="clear" w:color="auto" w:fill="auto"/>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L/2</w:t>
            </w:r>
          </w:p>
        </w:tc>
        <w:tc>
          <w:tcPr>
            <w:tcW w:w="69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L/4</w:t>
            </w:r>
          </w:p>
        </w:tc>
        <w:tc>
          <w:tcPr>
            <w:tcW w:w="745" w:type="pct"/>
            <w:tcBorders>
              <w:top w:val="nil"/>
              <w:left w:val="nil"/>
              <w:bottom w:val="single" w:sz="4" w:space="0" w:color="auto"/>
              <w:right w:val="single" w:sz="4" w:space="0" w:color="auto"/>
            </w:tcBorders>
            <w:shd w:val="clear" w:color="auto" w:fill="auto"/>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L/2</w:t>
            </w:r>
          </w:p>
        </w:tc>
        <w:tc>
          <w:tcPr>
            <w:tcW w:w="68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at x = L/4</w:t>
            </w:r>
          </w:p>
        </w:tc>
      </w:tr>
      <w:tr w:rsidR="005A59F6" w:rsidRPr="005A59F6" w:rsidTr="0023497D">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200 N</w:t>
            </w:r>
          </w:p>
        </w:tc>
        <w:tc>
          <w:tcPr>
            <w:tcW w:w="847"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105.027</w:t>
            </w:r>
          </w:p>
        </w:tc>
        <w:tc>
          <w:tcPr>
            <w:tcW w:w="710"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104.51</w:t>
            </w:r>
          </w:p>
        </w:tc>
        <w:tc>
          <w:tcPr>
            <w:tcW w:w="73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200.11</w:t>
            </w:r>
          </w:p>
        </w:tc>
        <w:tc>
          <w:tcPr>
            <w:tcW w:w="69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197.64</w:t>
            </w:r>
          </w:p>
        </w:tc>
        <w:tc>
          <w:tcPr>
            <w:tcW w:w="74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70.16</w:t>
            </w:r>
          </w:p>
        </w:tc>
        <w:tc>
          <w:tcPr>
            <w:tcW w:w="68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69.98</w:t>
            </w:r>
          </w:p>
        </w:tc>
      </w:tr>
      <w:tr w:rsidR="005A59F6" w:rsidRPr="005A59F6" w:rsidTr="0023497D">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400 N</w:t>
            </w:r>
          </w:p>
        </w:tc>
        <w:tc>
          <w:tcPr>
            <w:tcW w:w="847"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104.981</w:t>
            </w:r>
          </w:p>
        </w:tc>
        <w:tc>
          <w:tcPr>
            <w:tcW w:w="710"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105.19</w:t>
            </w:r>
          </w:p>
        </w:tc>
        <w:tc>
          <w:tcPr>
            <w:tcW w:w="73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199.94</w:t>
            </w:r>
          </w:p>
        </w:tc>
        <w:tc>
          <w:tcPr>
            <w:tcW w:w="69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200.08</w:t>
            </w:r>
          </w:p>
        </w:tc>
        <w:tc>
          <w:tcPr>
            <w:tcW w:w="74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69.95</w:t>
            </w:r>
          </w:p>
        </w:tc>
        <w:tc>
          <w:tcPr>
            <w:tcW w:w="68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70.01</w:t>
            </w:r>
          </w:p>
        </w:tc>
      </w:tr>
      <w:tr w:rsidR="005A59F6" w:rsidRPr="005A59F6" w:rsidTr="0023497D">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600 N</w:t>
            </w:r>
          </w:p>
        </w:tc>
        <w:tc>
          <w:tcPr>
            <w:tcW w:w="847"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104.996</w:t>
            </w:r>
          </w:p>
        </w:tc>
        <w:tc>
          <w:tcPr>
            <w:tcW w:w="710"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104.96</w:t>
            </w:r>
          </w:p>
        </w:tc>
        <w:tc>
          <w:tcPr>
            <w:tcW w:w="73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199.99</w:t>
            </w:r>
          </w:p>
        </w:tc>
        <w:tc>
          <w:tcPr>
            <w:tcW w:w="69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199.26</w:t>
            </w:r>
          </w:p>
        </w:tc>
        <w:tc>
          <w:tcPr>
            <w:tcW w:w="74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70.02</w:t>
            </w:r>
          </w:p>
        </w:tc>
        <w:tc>
          <w:tcPr>
            <w:tcW w:w="68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69.99</w:t>
            </w:r>
          </w:p>
        </w:tc>
      </w:tr>
      <w:tr w:rsidR="005A59F6" w:rsidRPr="005A59F6" w:rsidTr="0023497D">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800 N</w:t>
            </w:r>
          </w:p>
        </w:tc>
        <w:tc>
          <w:tcPr>
            <w:tcW w:w="847"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105.004</w:t>
            </w:r>
          </w:p>
        </w:tc>
        <w:tc>
          <w:tcPr>
            <w:tcW w:w="710"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104.85</w:t>
            </w:r>
          </w:p>
        </w:tc>
        <w:tc>
          <w:tcPr>
            <w:tcW w:w="73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200.02</w:t>
            </w:r>
          </w:p>
        </w:tc>
        <w:tc>
          <w:tcPr>
            <w:tcW w:w="69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200.08</w:t>
            </w:r>
          </w:p>
        </w:tc>
        <w:tc>
          <w:tcPr>
            <w:tcW w:w="745"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70.05</w:t>
            </w:r>
          </w:p>
        </w:tc>
        <w:tc>
          <w:tcPr>
            <w:tcW w:w="681" w:type="pct"/>
            <w:tcBorders>
              <w:top w:val="nil"/>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69.98</w:t>
            </w:r>
          </w:p>
        </w:tc>
      </w:tr>
      <w:tr w:rsidR="0023497D" w:rsidRPr="005A59F6" w:rsidTr="0023497D">
        <w:trPr>
          <w:trHeight w:val="300"/>
        </w:trPr>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1000 N</w:t>
            </w:r>
          </w:p>
        </w:tc>
        <w:tc>
          <w:tcPr>
            <w:tcW w:w="847"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105.008</w:t>
            </w:r>
          </w:p>
        </w:tc>
        <w:tc>
          <w:tcPr>
            <w:tcW w:w="710"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105.05</w:t>
            </w:r>
          </w:p>
        </w:tc>
        <w:tc>
          <w:tcPr>
            <w:tcW w:w="731"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199.97</w:t>
            </w:r>
          </w:p>
        </w:tc>
        <w:tc>
          <w:tcPr>
            <w:tcW w:w="695"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199.58</w:t>
            </w:r>
          </w:p>
        </w:tc>
        <w:tc>
          <w:tcPr>
            <w:tcW w:w="745"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69.99</w:t>
            </w:r>
          </w:p>
        </w:tc>
        <w:tc>
          <w:tcPr>
            <w:tcW w:w="681" w:type="pct"/>
            <w:tcBorders>
              <w:top w:val="single" w:sz="4" w:space="0" w:color="auto"/>
              <w:left w:val="nil"/>
              <w:bottom w:val="single" w:sz="4" w:space="0" w:color="auto"/>
              <w:right w:val="single" w:sz="4" w:space="0" w:color="auto"/>
            </w:tcBorders>
            <w:shd w:val="clear" w:color="auto" w:fill="auto"/>
            <w:noWrap/>
            <w:vAlign w:val="center"/>
            <w:hideMark/>
          </w:tcPr>
          <w:p w:rsidR="005A59F6" w:rsidRPr="005A59F6" w:rsidRDefault="005A59F6" w:rsidP="005A59F6">
            <w:pPr>
              <w:spacing w:after="0" w:line="240" w:lineRule="auto"/>
              <w:jc w:val="center"/>
              <w:rPr>
                <w:rFonts w:ascii="Calibri" w:eastAsia="Times New Roman" w:hAnsi="Calibri" w:cs="Times New Roman"/>
                <w:color w:val="000000"/>
                <w:lang w:eastAsia="en-CA"/>
              </w:rPr>
            </w:pPr>
            <w:r w:rsidRPr="005A59F6">
              <w:rPr>
                <w:rFonts w:ascii="Calibri" w:eastAsia="Times New Roman" w:hAnsi="Calibri" w:cs="Times New Roman"/>
                <w:color w:val="000000"/>
                <w:lang w:eastAsia="en-CA"/>
              </w:rPr>
              <w:t>70.00</w:t>
            </w:r>
          </w:p>
        </w:tc>
      </w:tr>
      <w:tr w:rsidR="0023497D" w:rsidRPr="005A59F6" w:rsidTr="0023497D">
        <w:trPr>
          <w:trHeight w:val="389"/>
        </w:trPr>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3497D" w:rsidRPr="005A59F6" w:rsidRDefault="0023497D" w:rsidP="0023497D">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Average E</w:t>
            </w:r>
          </w:p>
        </w:tc>
        <w:tc>
          <w:tcPr>
            <w:tcW w:w="847" w:type="pct"/>
            <w:tcBorders>
              <w:top w:val="single" w:sz="4" w:space="0" w:color="auto"/>
              <w:left w:val="nil"/>
              <w:bottom w:val="single" w:sz="4" w:space="0" w:color="auto"/>
              <w:right w:val="single" w:sz="4" w:space="0" w:color="auto"/>
            </w:tcBorders>
            <w:shd w:val="clear" w:color="auto" w:fill="auto"/>
            <w:noWrap/>
            <w:vAlign w:val="center"/>
          </w:tcPr>
          <w:p w:rsidR="0023497D" w:rsidRPr="0023497D" w:rsidRDefault="0023497D" w:rsidP="0023497D">
            <w:pPr>
              <w:spacing w:after="0"/>
              <w:jc w:val="center"/>
              <w:rPr>
                <w:rFonts w:ascii="Calibri" w:hAnsi="Calibri"/>
                <w:color w:val="000000"/>
              </w:rPr>
            </w:pPr>
            <w:r>
              <w:rPr>
                <w:rFonts w:ascii="Calibri" w:hAnsi="Calibri"/>
                <w:color w:val="000000"/>
              </w:rPr>
              <w:t>105.003</w:t>
            </w:r>
          </w:p>
        </w:tc>
        <w:tc>
          <w:tcPr>
            <w:tcW w:w="710" w:type="pct"/>
            <w:tcBorders>
              <w:top w:val="single" w:sz="4" w:space="0" w:color="auto"/>
              <w:left w:val="nil"/>
              <w:bottom w:val="single" w:sz="4" w:space="0" w:color="auto"/>
              <w:right w:val="single" w:sz="4" w:space="0" w:color="auto"/>
            </w:tcBorders>
            <w:shd w:val="clear" w:color="auto" w:fill="auto"/>
            <w:noWrap/>
            <w:vAlign w:val="center"/>
          </w:tcPr>
          <w:p w:rsidR="0023497D" w:rsidRPr="005A59F6" w:rsidRDefault="0023497D" w:rsidP="0023497D">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104.91</w:t>
            </w:r>
          </w:p>
        </w:tc>
        <w:tc>
          <w:tcPr>
            <w:tcW w:w="731" w:type="pct"/>
            <w:tcBorders>
              <w:top w:val="single" w:sz="4" w:space="0" w:color="auto"/>
              <w:left w:val="nil"/>
              <w:bottom w:val="single" w:sz="4" w:space="0" w:color="auto"/>
              <w:right w:val="single" w:sz="4" w:space="0" w:color="auto"/>
            </w:tcBorders>
            <w:shd w:val="clear" w:color="auto" w:fill="auto"/>
            <w:noWrap/>
            <w:vAlign w:val="center"/>
          </w:tcPr>
          <w:p w:rsidR="0023497D" w:rsidRPr="005A59F6"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200.01</w:t>
            </w:r>
          </w:p>
        </w:tc>
        <w:tc>
          <w:tcPr>
            <w:tcW w:w="695" w:type="pct"/>
            <w:tcBorders>
              <w:top w:val="single" w:sz="4" w:space="0" w:color="auto"/>
              <w:left w:val="nil"/>
              <w:bottom w:val="single" w:sz="4" w:space="0" w:color="auto"/>
              <w:right w:val="single" w:sz="4" w:space="0" w:color="auto"/>
            </w:tcBorders>
            <w:shd w:val="clear" w:color="auto" w:fill="auto"/>
            <w:noWrap/>
            <w:vAlign w:val="center"/>
          </w:tcPr>
          <w:p w:rsidR="0023497D" w:rsidRPr="005A59F6"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199.33</w:t>
            </w:r>
          </w:p>
        </w:tc>
        <w:tc>
          <w:tcPr>
            <w:tcW w:w="745" w:type="pct"/>
            <w:tcBorders>
              <w:top w:val="single" w:sz="4" w:space="0" w:color="auto"/>
              <w:left w:val="nil"/>
              <w:bottom w:val="single" w:sz="4" w:space="0" w:color="auto"/>
              <w:right w:val="single" w:sz="4" w:space="0" w:color="auto"/>
            </w:tcBorders>
            <w:shd w:val="clear" w:color="auto" w:fill="auto"/>
            <w:noWrap/>
            <w:vAlign w:val="center"/>
          </w:tcPr>
          <w:p w:rsidR="0023497D" w:rsidRPr="005A59F6"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70.03</w:t>
            </w:r>
          </w:p>
        </w:tc>
        <w:tc>
          <w:tcPr>
            <w:tcW w:w="681" w:type="pct"/>
            <w:tcBorders>
              <w:top w:val="single" w:sz="4" w:space="0" w:color="auto"/>
              <w:left w:val="nil"/>
              <w:bottom w:val="single" w:sz="4" w:space="0" w:color="auto"/>
              <w:right w:val="single" w:sz="4" w:space="0" w:color="auto"/>
            </w:tcBorders>
            <w:shd w:val="clear" w:color="auto" w:fill="auto"/>
            <w:noWrap/>
            <w:vAlign w:val="center"/>
          </w:tcPr>
          <w:p w:rsidR="0023497D" w:rsidRPr="005A59F6"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69.99</w:t>
            </w:r>
          </w:p>
        </w:tc>
      </w:tr>
      <w:tr w:rsidR="0023497D" w:rsidRPr="005A59F6" w:rsidTr="0023497D">
        <w:trPr>
          <w:trHeight w:val="389"/>
        </w:trPr>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3497D" w:rsidRDefault="0023497D" w:rsidP="0023497D">
            <w:pPr>
              <w:spacing w:after="0" w:line="240" w:lineRule="auto"/>
              <w:jc w:val="center"/>
              <w:rPr>
                <w:rFonts w:ascii="Calibri" w:eastAsia="Times New Roman" w:hAnsi="Calibri" w:cs="Times New Roman"/>
                <w:color w:val="000000"/>
                <w:lang w:eastAsia="en-CA"/>
              </w:rPr>
            </w:pPr>
          </w:p>
        </w:tc>
        <w:tc>
          <w:tcPr>
            <w:tcW w:w="1557" w:type="pct"/>
            <w:gridSpan w:val="2"/>
            <w:tcBorders>
              <w:top w:val="single" w:sz="4" w:space="0" w:color="auto"/>
              <w:left w:val="nil"/>
              <w:bottom w:val="single" w:sz="4" w:space="0" w:color="auto"/>
              <w:right w:val="single" w:sz="4" w:space="0" w:color="auto"/>
            </w:tcBorders>
            <w:shd w:val="clear" w:color="auto" w:fill="auto"/>
            <w:noWrap/>
            <w:vAlign w:val="center"/>
          </w:tcPr>
          <w:p w:rsidR="0023497D" w:rsidRDefault="0023497D" w:rsidP="0023497D">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104.958</w:t>
            </w:r>
          </w:p>
        </w:tc>
        <w:tc>
          <w:tcPr>
            <w:tcW w:w="1426" w:type="pct"/>
            <w:gridSpan w:val="2"/>
            <w:tcBorders>
              <w:top w:val="single" w:sz="4" w:space="0" w:color="auto"/>
              <w:left w:val="nil"/>
              <w:bottom w:val="single" w:sz="4" w:space="0" w:color="auto"/>
              <w:right w:val="single" w:sz="4" w:space="0" w:color="auto"/>
            </w:tcBorders>
            <w:shd w:val="clear" w:color="auto" w:fill="auto"/>
            <w:noWrap/>
            <w:vAlign w:val="center"/>
          </w:tcPr>
          <w:p w:rsidR="0023497D"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199.67</w:t>
            </w:r>
          </w:p>
        </w:tc>
        <w:tc>
          <w:tcPr>
            <w:tcW w:w="1426" w:type="pct"/>
            <w:gridSpan w:val="2"/>
            <w:tcBorders>
              <w:top w:val="single" w:sz="4" w:space="0" w:color="auto"/>
              <w:left w:val="nil"/>
              <w:bottom w:val="single" w:sz="4" w:space="0" w:color="auto"/>
              <w:right w:val="single" w:sz="4" w:space="0" w:color="auto"/>
            </w:tcBorders>
            <w:shd w:val="clear" w:color="auto" w:fill="auto"/>
            <w:noWrap/>
            <w:vAlign w:val="center"/>
          </w:tcPr>
          <w:p w:rsidR="0023497D" w:rsidRDefault="0023497D" w:rsidP="005A59F6">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70.01</w:t>
            </w:r>
          </w:p>
        </w:tc>
      </w:tr>
    </w:tbl>
    <w:p w:rsidR="00EE3145" w:rsidRDefault="00EE3145">
      <w:pPr>
        <w:rPr>
          <w:b/>
          <w:sz w:val="28"/>
        </w:rPr>
      </w:pPr>
    </w:p>
    <w:tbl>
      <w:tblPr>
        <w:tblW w:w="7560" w:type="dxa"/>
        <w:jc w:val="center"/>
        <w:tblLook w:val="04A0" w:firstRow="1" w:lastRow="0" w:firstColumn="1" w:lastColumn="0" w:noHBand="0" w:noVBand="1"/>
      </w:tblPr>
      <w:tblGrid>
        <w:gridCol w:w="3830"/>
        <w:gridCol w:w="1071"/>
        <w:gridCol w:w="1071"/>
        <w:gridCol w:w="1588"/>
      </w:tblGrid>
      <w:tr w:rsidR="0023497D" w:rsidRPr="00FD1644" w:rsidTr="00E3030E">
        <w:trPr>
          <w:trHeight w:val="300"/>
          <w:jc w:val="center"/>
        </w:trPr>
        <w:tc>
          <w:tcPr>
            <w:tcW w:w="7560" w:type="dxa"/>
            <w:gridSpan w:val="4"/>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 xml:space="preserve">Error In Modulus Of elasticity </w:t>
            </w:r>
          </w:p>
        </w:tc>
      </w:tr>
      <w:tr w:rsidR="0023497D" w:rsidRPr="00FD1644" w:rsidTr="00E3030E">
        <w:trPr>
          <w:trHeight w:val="300"/>
          <w:jc w:val="center"/>
        </w:trPr>
        <w:tc>
          <w:tcPr>
            <w:tcW w:w="383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Beam Material</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Brass</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Steel</w:t>
            </w:r>
          </w:p>
        </w:tc>
        <w:tc>
          <w:tcPr>
            <w:tcW w:w="1588"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Aluminum</w:t>
            </w:r>
          </w:p>
        </w:tc>
      </w:tr>
      <w:tr w:rsidR="0023497D" w:rsidRPr="00FD1644" w:rsidTr="00E3030E">
        <w:trPr>
          <w:trHeight w:val="300"/>
          <w:jc w:val="center"/>
        </w:trPr>
        <w:tc>
          <w:tcPr>
            <w:tcW w:w="3830" w:type="dxa"/>
            <w:tcBorders>
              <w:top w:val="nil"/>
              <w:left w:val="single" w:sz="4" w:space="0" w:color="auto"/>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Published Value (</w:t>
            </w:r>
            <w:proofErr w:type="spellStart"/>
            <w:r w:rsidRPr="00FD1644">
              <w:rPr>
                <w:rFonts w:ascii="Calibri" w:eastAsia="Times New Roman" w:hAnsi="Calibri" w:cs="Times New Roman"/>
                <w:color w:val="000000"/>
                <w:lang w:val="en-US"/>
              </w:rPr>
              <w:t>GPa</w:t>
            </w:r>
            <w:proofErr w:type="spellEnd"/>
            <w:r w:rsidRPr="00FD1644">
              <w:rPr>
                <w:rFonts w:ascii="Calibri" w:eastAsia="Times New Roman" w:hAnsi="Calibri" w:cs="Times New Roman"/>
                <w:color w:val="000000"/>
                <w:lang w:val="en-US"/>
              </w:rPr>
              <w:t>)</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105.00</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200.00</w:t>
            </w:r>
          </w:p>
        </w:tc>
        <w:tc>
          <w:tcPr>
            <w:tcW w:w="1588"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70.00</w:t>
            </w:r>
          </w:p>
        </w:tc>
      </w:tr>
      <w:tr w:rsidR="0023497D" w:rsidRPr="00FD1644" w:rsidTr="00E3030E">
        <w:trPr>
          <w:trHeight w:val="300"/>
          <w:jc w:val="center"/>
        </w:trPr>
        <w:tc>
          <w:tcPr>
            <w:tcW w:w="38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Experimental Value (</w:t>
            </w:r>
            <w:proofErr w:type="spellStart"/>
            <w:r w:rsidRPr="00FD1644">
              <w:rPr>
                <w:rFonts w:ascii="Calibri" w:eastAsia="Times New Roman" w:hAnsi="Calibri" w:cs="Times New Roman"/>
                <w:color w:val="000000"/>
                <w:lang w:val="en-US"/>
              </w:rPr>
              <w:t>Gpa</w:t>
            </w:r>
            <w:proofErr w:type="spellEnd"/>
            <w:r w:rsidRPr="00FD1644">
              <w:rPr>
                <w:rFonts w:ascii="Calibri" w:eastAsia="Times New Roman" w:hAnsi="Calibri" w:cs="Times New Roman"/>
                <w:color w:val="000000"/>
                <w:lang w:val="en-US"/>
              </w:rPr>
              <w:t xml:space="preserve">) </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Pr>
                <w:rFonts w:ascii="Calibri" w:eastAsia="Times New Roman" w:hAnsi="Calibri" w:cs="Times New Roman"/>
                <w:color w:val="000000"/>
                <w:lang w:val="en-US"/>
              </w:rPr>
              <w:t>104.958</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23497D">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197.</w:t>
            </w:r>
            <w:r>
              <w:rPr>
                <w:rFonts w:ascii="Calibri" w:eastAsia="Times New Roman" w:hAnsi="Calibri" w:cs="Times New Roman"/>
                <w:color w:val="000000"/>
                <w:lang w:val="en-US"/>
              </w:rPr>
              <w:t>67</w:t>
            </w:r>
          </w:p>
        </w:tc>
        <w:tc>
          <w:tcPr>
            <w:tcW w:w="1588"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23497D">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70.</w:t>
            </w:r>
            <w:r>
              <w:rPr>
                <w:rFonts w:ascii="Calibri" w:eastAsia="Times New Roman" w:hAnsi="Calibri" w:cs="Times New Roman"/>
                <w:color w:val="000000"/>
                <w:lang w:val="en-US"/>
              </w:rPr>
              <w:t>01</w:t>
            </w:r>
          </w:p>
        </w:tc>
      </w:tr>
      <w:tr w:rsidR="0023497D" w:rsidRPr="00FD1644" w:rsidTr="00E3030E">
        <w:trPr>
          <w:trHeight w:val="300"/>
          <w:jc w:val="center"/>
        </w:trPr>
        <w:tc>
          <w:tcPr>
            <w:tcW w:w="38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Percentage Error (%)</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E3030E">
            <w:pPr>
              <w:spacing w:after="0" w:line="240" w:lineRule="auto"/>
              <w:jc w:val="center"/>
              <w:rPr>
                <w:rFonts w:ascii="Calibri" w:eastAsia="Times New Roman" w:hAnsi="Calibri" w:cs="Times New Roman"/>
                <w:color w:val="000000"/>
                <w:lang w:val="en-US"/>
              </w:rPr>
            </w:pPr>
            <w:r>
              <w:rPr>
                <w:rFonts w:ascii="Calibri" w:eastAsia="Times New Roman" w:hAnsi="Calibri" w:cs="Times New Roman"/>
                <w:color w:val="000000"/>
                <w:lang w:val="en-US"/>
              </w:rPr>
              <w:t>0.040</w:t>
            </w:r>
          </w:p>
        </w:tc>
        <w:tc>
          <w:tcPr>
            <w:tcW w:w="1071"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23497D">
            <w:pPr>
              <w:spacing w:after="0" w:line="240" w:lineRule="auto"/>
              <w:jc w:val="center"/>
              <w:rPr>
                <w:rFonts w:ascii="Calibri" w:eastAsia="Times New Roman" w:hAnsi="Calibri" w:cs="Times New Roman"/>
                <w:color w:val="000000"/>
                <w:lang w:val="en-US"/>
              </w:rPr>
            </w:pPr>
            <w:r w:rsidRPr="00FD1644">
              <w:rPr>
                <w:rFonts w:ascii="Calibri" w:eastAsia="Times New Roman" w:hAnsi="Calibri" w:cs="Times New Roman"/>
                <w:color w:val="000000"/>
                <w:lang w:val="en-US"/>
              </w:rPr>
              <w:t>1.</w:t>
            </w:r>
            <w:r>
              <w:rPr>
                <w:rFonts w:ascii="Calibri" w:eastAsia="Times New Roman" w:hAnsi="Calibri" w:cs="Times New Roman"/>
                <w:color w:val="000000"/>
                <w:lang w:val="en-US"/>
              </w:rPr>
              <w:t>165</w:t>
            </w:r>
          </w:p>
        </w:tc>
        <w:tc>
          <w:tcPr>
            <w:tcW w:w="1588" w:type="dxa"/>
            <w:tcBorders>
              <w:top w:val="nil"/>
              <w:left w:val="nil"/>
              <w:bottom w:val="single" w:sz="4" w:space="0" w:color="auto"/>
              <w:right w:val="single" w:sz="4" w:space="0" w:color="auto"/>
            </w:tcBorders>
            <w:shd w:val="clear" w:color="auto" w:fill="auto"/>
            <w:noWrap/>
            <w:vAlign w:val="bottom"/>
            <w:hideMark/>
          </w:tcPr>
          <w:p w:rsidR="0023497D" w:rsidRPr="00FD1644" w:rsidRDefault="0023497D" w:rsidP="0023497D">
            <w:pPr>
              <w:spacing w:after="0" w:line="240" w:lineRule="auto"/>
              <w:jc w:val="center"/>
              <w:rPr>
                <w:rFonts w:ascii="Calibri" w:eastAsia="Times New Roman" w:hAnsi="Calibri" w:cs="Times New Roman"/>
                <w:color w:val="000000"/>
                <w:lang w:val="en-US"/>
              </w:rPr>
            </w:pPr>
            <w:r>
              <w:rPr>
                <w:rFonts w:ascii="Calibri" w:eastAsia="Times New Roman" w:hAnsi="Calibri" w:cs="Times New Roman"/>
                <w:color w:val="000000"/>
                <w:lang w:val="en-US"/>
              </w:rPr>
              <w:t>0.014</w:t>
            </w:r>
          </w:p>
        </w:tc>
      </w:tr>
    </w:tbl>
    <w:p w:rsidR="00EE3145" w:rsidRDefault="00EE3145">
      <w:pPr>
        <w:rPr>
          <w:b/>
          <w:sz w:val="28"/>
        </w:rPr>
      </w:pPr>
    </w:p>
    <w:p w:rsidR="00EE3145" w:rsidRDefault="00EE3145">
      <w:pPr>
        <w:rPr>
          <w:b/>
          <w:sz w:val="28"/>
        </w:rPr>
      </w:pPr>
    </w:p>
    <w:p w:rsidR="00EE3145" w:rsidRDefault="00EE3145" w:rsidP="0023497D">
      <w:pPr>
        <w:jc w:val="center"/>
        <w:rPr>
          <w:b/>
          <w:sz w:val="28"/>
        </w:rPr>
      </w:pPr>
    </w:p>
    <w:p w:rsidR="00EE3145" w:rsidRDefault="00FA727A" w:rsidP="00FA727A">
      <w:pPr>
        <w:jc w:val="center"/>
        <w:rPr>
          <w:b/>
          <w:sz w:val="28"/>
        </w:rPr>
      </w:pPr>
      <w:r>
        <w:rPr>
          <w:noProof/>
          <w:lang w:eastAsia="en-CA"/>
        </w:rPr>
        <w:lastRenderedPageBreak/>
        <w:drawing>
          <wp:inline distT="0" distB="0" distL="0" distR="0" wp14:anchorId="228A17C4" wp14:editId="72E4397C">
            <wp:extent cx="4362450" cy="25717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E3145" w:rsidRDefault="0023497D" w:rsidP="0023497D">
      <w:pPr>
        <w:jc w:val="center"/>
        <w:rPr>
          <w:b/>
          <w:sz w:val="28"/>
        </w:rPr>
      </w:pPr>
      <w:r>
        <w:rPr>
          <w:noProof/>
          <w:lang w:eastAsia="en-CA"/>
        </w:rPr>
        <w:drawing>
          <wp:inline distT="0" distB="0" distL="0" distR="0" wp14:anchorId="2D77C48B" wp14:editId="66BBD49F">
            <wp:extent cx="4324350" cy="25336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E3145" w:rsidRDefault="00FA727A" w:rsidP="00FA727A">
      <w:pPr>
        <w:jc w:val="center"/>
        <w:rPr>
          <w:b/>
          <w:sz w:val="28"/>
        </w:rPr>
      </w:pPr>
      <w:r>
        <w:rPr>
          <w:noProof/>
          <w:lang w:eastAsia="en-CA"/>
        </w:rPr>
        <w:drawing>
          <wp:inline distT="0" distB="0" distL="0" distR="0" wp14:anchorId="359CBDDE" wp14:editId="234A567A">
            <wp:extent cx="4343400" cy="26384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EE3145" w:rsidRDefault="00FA727A">
      <w:pPr>
        <w:rPr>
          <w:b/>
          <w:sz w:val="28"/>
        </w:rPr>
      </w:pPr>
      <w:r>
        <w:rPr>
          <w:b/>
          <w:sz w:val="28"/>
        </w:rPr>
        <w:lastRenderedPageBreak/>
        <w:t>Part 2: Cantilever Beam</w:t>
      </w:r>
    </w:p>
    <w:tbl>
      <w:tblPr>
        <w:tblW w:w="7239" w:type="dxa"/>
        <w:jc w:val="center"/>
        <w:tblLook w:val="04A0" w:firstRow="1" w:lastRow="0" w:firstColumn="1" w:lastColumn="0" w:noHBand="0" w:noVBand="1"/>
      </w:tblPr>
      <w:tblGrid>
        <w:gridCol w:w="2835"/>
        <w:gridCol w:w="1418"/>
        <w:gridCol w:w="1559"/>
        <w:gridCol w:w="1427"/>
      </w:tblGrid>
      <w:tr w:rsidR="00FA727A" w:rsidRPr="00FA727A" w:rsidTr="00FA727A">
        <w:trPr>
          <w:trHeight w:val="315"/>
          <w:jc w:val="center"/>
        </w:trPr>
        <w:tc>
          <w:tcPr>
            <w:tcW w:w="723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Cantilever Beam</w:t>
            </w:r>
          </w:p>
        </w:tc>
      </w:tr>
      <w:tr w:rsidR="00FA727A" w:rsidRPr="00FA727A" w:rsidTr="00FA727A">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Cantilever Beam</w:t>
            </w:r>
          </w:p>
        </w:tc>
        <w:tc>
          <w:tcPr>
            <w:tcW w:w="1418"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Brass</w:t>
            </w:r>
          </w:p>
        </w:tc>
        <w:tc>
          <w:tcPr>
            <w:tcW w:w="1559"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Steel</w:t>
            </w:r>
          </w:p>
        </w:tc>
        <w:tc>
          <w:tcPr>
            <w:tcW w:w="1427"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Aluminum</w:t>
            </w:r>
          </w:p>
        </w:tc>
      </w:tr>
      <w:tr w:rsidR="00FA727A" w:rsidRPr="00FA727A" w:rsidTr="00FA727A">
        <w:trPr>
          <w:trHeight w:val="585"/>
          <w:jc w:val="center"/>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Span, L (mm)</w:t>
            </w:r>
          </w:p>
        </w:tc>
        <w:tc>
          <w:tcPr>
            <w:tcW w:w="1418"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250.00</w:t>
            </w:r>
          </w:p>
        </w:tc>
        <w:tc>
          <w:tcPr>
            <w:tcW w:w="1559"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250.00</w:t>
            </w:r>
          </w:p>
        </w:tc>
        <w:tc>
          <w:tcPr>
            <w:tcW w:w="1427"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250.00</w:t>
            </w:r>
          </w:p>
        </w:tc>
      </w:tr>
      <w:tr w:rsidR="00FA727A" w:rsidRPr="00FA727A" w:rsidTr="00FA727A">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Height, h (mm)</w:t>
            </w:r>
          </w:p>
        </w:tc>
        <w:tc>
          <w:tcPr>
            <w:tcW w:w="1418"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3.25</w:t>
            </w:r>
          </w:p>
        </w:tc>
        <w:tc>
          <w:tcPr>
            <w:tcW w:w="1559"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3.58</w:t>
            </w:r>
          </w:p>
        </w:tc>
        <w:tc>
          <w:tcPr>
            <w:tcW w:w="1427"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3.20</w:t>
            </w:r>
          </w:p>
        </w:tc>
      </w:tr>
      <w:tr w:rsidR="00FA727A" w:rsidRPr="00FA727A" w:rsidTr="00FA727A">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Width, w (mm)</w:t>
            </w:r>
          </w:p>
        </w:tc>
        <w:tc>
          <w:tcPr>
            <w:tcW w:w="1418"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19.16</w:t>
            </w:r>
          </w:p>
        </w:tc>
        <w:tc>
          <w:tcPr>
            <w:tcW w:w="1559"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19.02</w:t>
            </w:r>
          </w:p>
        </w:tc>
        <w:tc>
          <w:tcPr>
            <w:tcW w:w="1427" w:type="dxa"/>
            <w:tcBorders>
              <w:top w:val="nil"/>
              <w:left w:val="nil"/>
              <w:bottom w:val="single" w:sz="4" w:space="0" w:color="auto"/>
              <w:right w:val="single" w:sz="4" w:space="0" w:color="auto"/>
            </w:tcBorders>
            <w:shd w:val="clear" w:color="auto" w:fill="auto"/>
            <w:noWrap/>
            <w:vAlign w:val="center"/>
            <w:hideMark/>
          </w:tcPr>
          <w:p w:rsidR="00FA727A" w:rsidRPr="00FA727A" w:rsidRDefault="00FA727A" w:rsidP="00FA727A">
            <w:pPr>
              <w:spacing w:after="0" w:line="240" w:lineRule="auto"/>
              <w:jc w:val="center"/>
              <w:rPr>
                <w:rFonts w:ascii="Calibri" w:eastAsia="Times New Roman" w:hAnsi="Calibri" w:cs="Times New Roman"/>
                <w:color w:val="000000"/>
                <w:lang w:eastAsia="en-CA"/>
              </w:rPr>
            </w:pPr>
            <w:r w:rsidRPr="00FA727A">
              <w:rPr>
                <w:rFonts w:ascii="Calibri" w:eastAsia="Times New Roman" w:hAnsi="Calibri" w:cs="Times New Roman"/>
                <w:color w:val="000000"/>
                <w:lang w:eastAsia="en-CA"/>
              </w:rPr>
              <w:t>19.11</w:t>
            </w:r>
          </w:p>
        </w:tc>
      </w:tr>
    </w:tbl>
    <w:p w:rsidR="00EE3145" w:rsidRDefault="00EE3145">
      <w:pPr>
        <w:rPr>
          <w:b/>
          <w:sz w:val="28"/>
        </w:rPr>
      </w:pPr>
    </w:p>
    <w:p w:rsidR="00FA727A" w:rsidRDefault="00FA727A" w:rsidP="00FA727A">
      <w:pPr>
        <w:tabs>
          <w:tab w:val="left" w:pos="5495"/>
        </w:tabs>
        <w:ind w:left="360"/>
        <w:jc w:val="center"/>
        <w:rPr>
          <w:sz w:val="24"/>
          <w:szCs w:val="24"/>
        </w:rPr>
      </w:pPr>
      <w:r w:rsidRPr="00C50B18">
        <w:rPr>
          <w:sz w:val="24"/>
          <w:szCs w:val="24"/>
        </w:rPr>
        <w:t>Y=</w:t>
      </w:r>
      <w:r w:rsidRPr="00C50B18">
        <w:rPr>
          <w:position w:val="-24"/>
          <w:sz w:val="24"/>
          <w:szCs w:val="24"/>
        </w:rPr>
        <w:object w:dxaOrig="1600" w:dyaOrig="620">
          <v:shape id="_x0000_i1045" type="#_x0000_t75" style="width:79.5pt;height:30.85pt" o:ole="">
            <v:imagedata r:id="rId49" o:title=""/>
          </v:shape>
          <o:OLEObject Type="Embed" ProgID="Equation.3" ShapeID="_x0000_i1045" DrawAspect="Content" ObjectID="_1488772805" r:id="rId50"/>
        </w:object>
      </w:r>
    </w:p>
    <w:p w:rsidR="00FA727A" w:rsidRPr="00FA727A" w:rsidRDefault="00FA727A" w:rsidP="00FA727A">
      <w:pPr>
        <w:jc w:val="center"/>
        <w:rPr>
          <w:b/>
          <w:sz w:val="24"/>
          <w:szCs w:val="24"/>
        </w:rPr>
      </w:pPr>
      <w:r w:rsidRPr="00FA727A">
        <w:rPr>
          <w:b/>
          <w:sz w:val="24"/>
          <w:szCs w:val="24"/>
        </w:rPr>
        <w:t>For x = L</w:t>
      </w:r>
    </w:p>
    <w:p w:rsidR="00FA727A" w:rsidRDefault="00FA727A" w:rsidP="00FA727A">
      <w:pPr>
        <w:tabs>
          <w:tab w:val="left" w:pos="5495"/>
        </w:tabs>
        <w:ind w:left="360"/>
        <w:jc w:val="center"/>
        <w:rPr>
          <w:sz w:val="24"/>
          <w:szCs w:val="24"/>
        </w:rPr>
      </w:pPr>
      <w:r w:rsidRPr="00C50B18">
        <w:rPr>
          <w:sz w:val="24"/>
          <w:szCs w:val="24"/>
        </w:rPr>
        <w:t>Y=</w:t>
      </w:r>
      <w:r w:rsidRPr="00C50B18">
        <w:rPr>
          <w:position w:val="-24"/>
          <w:sz w:val="24"/>
          <w:szCs w:val="24"/>
        </w:rPr>
        <w:object w:dxaOrig="1600" w:dyaOrig="620">
          <v:shape id="_x0000_i1046" type="#_x0000_t75" style="width:79.5pt;height:30.85pt" o:ole="">
            <v:imagedata r:id="rId49" o:title=""/>
          </v:shape>
          <o:OLEObject Type="Embed" ProgID="Equation.3" ShapeID="_x0000_i1046" DrawAspect="Content" ObjectID="_1488772806" r:id="rId51"/>
        </w:object>
      </w:r>
      <w:r>
        <w:rPr>
          <w:sz w:val="24"/>
          <w:szCs w:val="24"/>
        </w:rPr>
        <w:t xml:space="preserve">= </w:t>
      </w:r>
      <w:r w:rsidRPr="00C50B18">
        <w:rPr>
          <w:position w:val="-24"/>
          <w:sz w:val="24"/>
          <w:szCs w:val="24"/>
        </w:rPr>
        <w:object w:dxaOrig="1520" w:dyaOrig="620">
          <v:shape id="_x0000_i1047" type="#_x0000_t75" style="width:76.7pt;height:30.85pt" o:ole="">
            <v:imagedata r:id="rId52" o:title=""/>
          </v:shape>
          <o:OLEObject Type="Embed" ProgID="Equation.3" ShapeID="_x0000_i1047" DrawAspect="Content" ObjectID="_1488772807" r:id="rId53"/>
        </w:object>
      </w:r>
      <w:r>
        <w:rPr>
          <w:sz w:val="24"/>
          <w:szCs w:val="24"/>
        </w:rPr>
        <w:t xml:space="preserve"> = </w:t>
      </w:r>
      <w:r w:rsidRPr="00C50B18">
        <w:rPr>
          <w:position w:val="-24"/>
          <w:sz w:val="24"/>
          <w:szCs w:val="24"/>
        </w:rPr>
        <w:object w:dxaOrig="680" w:dyaOrig="660">
          <v:shape id="_x0000_i1048" type="#_x0000_t75" style="width:33.65pt;height:32.75pt" o:ole="">
            <v:imagedata r:id="rId54" o:title=""/>
          </v:shape>
          <o:OLEObject Type="Embed" ProgID="Equation.3" ShapeID="_x0000_i1048" DrawAspect="Content" ObjectID="_1488772808" r:id="rId55"/>
        </w:object>
      </w:r>
    </w:p>
    <w:p w:rsidR="00FA727A" w:rsidRPr="00FA727A" w:rsidRDefault="00FA727A" w:rsidP="00FA727A">
      <w:pPr>
        <w:jc w:val="center"/>
        <w:rPr>
          <w:b/>
          <w:sz w:val="24"/>
          <w:szCs w:val="24"/>
        </w:rPr>
      </w:pPr>
      <w:r w:rsidRPr="00FA727A">
        <w:rPr>
          <w:b/>
          <w:sz w:val="24"/>
          <w:szCs w:val="24"/>
        </w:rPr>
        <w:t>For x = L/2</w:t>
      </w:r>
    </w:p>
    <w:p w:rsidR="00FA727A" w:rsidRDefault="00FA727A" w:rsidP="00FA727A">
      <w:pPr>
        <w:tabs>
          <w:tab w:val="left" w:pos="5495"/>
        </w:tabs>
        <w:ind w:left="360"/>
        <w:jc w:val="center"/>
        <w:rPr>
          <w:sz w:val="24"/>
          <w:szCs w:val="24"/>
        </w:rPr>
      </w:pPr>
      <w:r w:rsidRPr="00C50B18">
        <w:rPr>
          <w:sz w:val="24"/>
          <w:szCs w:val="24"/>
        </w:rPr>
        <w:t>Y=</w:t>
      </w:r>
      <w:r w:rsidRPr="00C50B18">
        <w:rPr>
          <w:position w:val="-24"/>
          <w:sz w:val="24"/>
          <w:szCs w:val="24"/>
        </w:rPr>
        <w:object w:dxaOrig="1600" w:dyaOrig="620">
          <v:shape id="_x0000_i1049" type="#_x0000_t75" style="width:79.5pt;height:30.85pt" o:ole="">
            <v:imagedata r:id="rId49" o:title=""/>
          </v:shape>
          <o:OLEObject Type="Embed" ProgID="Equation.3" ShapeID="_x0000_i1049" DrawAspect="Content" ObjectID="_1488772809" r:id="rId56"/>
        </w:object>
      </w:r>
      <w:r w:rsidRPr="00C50B18">
        <w:rPr>
          <w:sz w:val="24"/>
          <w:szCs w:val="24"/>
        </w:rPr>
        <w:t>=</w:t>
      </w:r>
      <w:r w:rsidRPr="00C50B18">
        <w:rPr>
          <w:position w:val="-24"/>
          <w:sz w:val="24"/>
          <w:szCs w:val="24"/>
        </w:rPr>
        <w:object w:dxaOrig="800" w:dyaOrig="660">
          <v:shape id="_x0000_i1050" type="#_x0000_t75" style="width:40.2pt;height:32.75pt" o:ole="">
            <v:imagedata r:id="rId57" o:title=""/>
          </v:shape>
          <o:OLEObject Type="Embed" ProgID="Equation.3" ShapeID="_x0000_i1050" DrawAspect="Content" ObjectID="_1488772810" r:id="rId58"/>
        </w:object>
      </w:r>
    </w:p>
    <w:p w:rsidR="00FA727A" w:rsidRPr="00FA727A" w:rsidRDefault="00FA727A" w:rsidP="00FA727A">
      <w:pPr>
        <w:jc w:val="both"/>
        <w:rPr>
          <w:sz w:val="24"/>
        </w:rPr>
      </w:pPr>
    </w:p>
    <w:p w:rsidR="00EE3145" w:rsidRDefault="00FA727A">
      <w:pPr>
        <w:rPr>
          <w:b/>
          <w:sz w:val="28"/>
        </w:rPr>
      </w:pPr>
      <w:r>
        <w:rPr>
          <w:b/>
          <w:sz w:val="28"/>
        </w:rPr>
        <w:t>Sample Calculations:</w:t>
      </w:r>
    </w:p>
    <w:p w:rsidR="00FA727A" w:rsidRDefault="00FA727A">
      <w:pPr>
        <w:rPr>
          <w:sz w:val="24"/>
        </w:rPr>
      </w:pPr>
      <w:r>
        <w:rPr>
          <w:sz w:val="28"/>
        </w:rPr>
        <w:tab/>
      </w:r>
      <w:r>
        <w:rPr>
          <w:sz w:val="24"/>
        </w:rPr>
        <w:t>Applied force: 9.81 * (100/1000) = 0.98 N</w:t>
      </w:r>
    </w:p>
    <w:p w:rsidR="00FA727A" w:rsidRDefault="00FA727A">
      <w:pPr>
        <w:rPr>
          <w:sz w:val="24"/>
          <w:szCs w:val="24"/>
          <w:vertAlign w:val="superscript"/>
        </w:rPr>
      </w:pPr>
      <w:r>
        <w:rPr>
          <w:sz w:val="24"/>
        </w:rPr>
        <w:tab/>
        <w:t>Moment of Inertia for Brass:</w:t>
      </w:r>
      <w:r w:rsidRPr="00FA727A">
        <w:rPr>
          <w:sz w:val="24"/>
          <w:szCs w:val="24"/>
        </w:rPr>
        <w:t xml:space="preserve"> </w:t>
      </w:r>
      <w:r w:rsidRPr="00D53E19">
        <w:rPr>
          <w:position w:val="-24"/>
          <w:sz w:val="24"/>
          <w:szCs w:val="24"/>
        </w:rPr>
        <w:object w:dxaOrig="480" w:dyaOrig="660">
          <v:shape id="_x0000_i1051" type="#_x0000_t75" style="width:23.4pt;height:32.75pt" o:ole="">
            <v:imagedata r:id="rId59" o:title=""/>
          </v:shape>
          <o:OLEObject Type="Embed" ProgID="Equation.3" ShapeID="_x0000_i1051" DrawAspect="Content" ObjectID="_1488772811" r:id="rId60"/>
        </w:object>
      </w:r>
      <w:r w:rsidR="002E27F7">
        <w:rPr>
          <w:sz w:val="24"/>
          <w:szCs w:val="24"/>
        </w:rPr>
        <w:t>= 54.81</w:t>
      </w:r>
      <w:r>
        <w:rPr>
          <w:sz w:val="24"/>
          <w:szCs w:val="24"/>
        </w:rPr>
        <w:t xml:space="preserve"> mm</w:t>
      </w:r>
      <w:r>
        <w:rPr>
          <w:sz w:val="24"/>
          <w:szCs w:val="24"/>
          <w:vertAlign w:val="superscript"/>
        </w:rPr>
        <w:t>4</w:t>
      </w:r>
      <w:r>
        <w:rPr>
          <w:sz w:val="24"/>
          <w:szCs w:val="24"/>
        </w:rPr>
        <w:t xml:space="preserve"> = </w:t>
      </w:r>
      <w:r w:rsidR="002E27F7" w:rsidRPr="002E27F7">
        <w:rPr>
          <w:sz w:val="24"/>
          <w:szCs w:val="24"/>
        </w:rPr>
        <w:t>5.481</w:t>
      </w:r>
      <w:r w:rsidRPr="002E27F7">
        <w:rPr>
          <w:sz w:val="24"/>
          <w:szCs w:val="24"/>
        </w:rPr>
        <w:t xml:space="preserve"> x 10</w:t>
      </w:r>
      <w:r w:rsidRPr="002E27F7">
        <w:rPr>
          <w:sz w:val="24"/>
          <w:szCs w:val="24"/>
          <w:vertAlign w:val="superscript"/>
        </w:rPr>
        <w:t>-11</w:t>
      </w:r>
      <w:r w:rsidRPr="002E27F7">
        <w:rPr>
          <w:sz w:val="24"/>
          <w:szCs w:val="24"/>
        </w:rPr>
        <w:t xml:space="preserve"> m</w:t>
      </w:r>
      <w:r w:rsidRPr="002E27F7">
        <w:rPr>
          <w:sz w:val="24"/>
          <w:szCs w:val="24"/>
          <w:vertAlign w:val="superscript"/>
        </w:rPr>
        <w:t>4</w:t>
      </w:r>
    </w:p>
    <w:p w:rsidR="002E27F7" w:rsidRDefault="002E27F7">
      <w:pPr>
        <w:rPr>
          <w:sz w:val="24"/>
          <w:szCs w:val="24"/>
        </w:rPr>
      </w:pPr>
      <w:r>
        <w:rPr>
          <w:sz w:val="24"/>
          <w:szCs w:val="24"/>
          <w:vertAlign w:val="superscript"/>
        </w:rPr>
        <w:tab/>
      </w:r>
      <w:r>
        <w:rPr>
          <w:sz w:val="24"/>
          <w:szCs w:val="24"/>
        </w:rPr>
        <w:t>At X = L =&gt; Using the above formula =&gt; Y=0.8869 mm</w:t>
      </w:r>
    </w:p>
    <w:p w:rsidR="002E27F7" w:rsidRDefault="002E27F7">
      <w:pPr>
        <w:rPr>
          <w:sz w:val="24"/>
          <w:szCs w:val="24"/>
        </w:rPr>
      </w:pPr>
      <w:r>
        <w:rPr>
          <w:sz w:val="24"/>
          <w:szCs w:val="24"/>
        </w:rPr>
        <w:tab/>
      </w:r>
      <w:r>
        <w:rPr>
          <w:sz w:val="24"/>
          <w:szCs w:val="24"/>
        </w:rPr>
        <w:t>At X = L</w:t>
      </w:r>
      <w:r>
        <w:rPr>
          <w:sz w:val="24"/>
          <w:szCs w:val="24"/>
        </w:rPr>
        <w:t>/2</w:t>
      </w:r>
      <w:r>
        <w:rPr>
          <w:sz w:val="24"/>
          <w:szCs w:val="24"/>
        </w:rPr>
        <w:t xml:space="preserve"> =&gt; Using the above formula =&gt; Y=0.</w:t>
      </w:r>
      <w:r>
        <w:rPr>
          <w:sz w:val="24"/>
          <w:szCs w:val="24"/>
        </w:rPr>
        <w:t xml:space="preserve">2771 </w:t>
      </w:r>
      <w:r>
        <w:rPr>
          <w:sz w:val="24"/>
          <w:szCs w:val="24"/>
        </w:rPr>
        <w:t>mm</w:t>
      </w:r>
    </w:p>
    <w:tbl>
      <w:tblPr>
        <w:tblW w:w="88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93"/>
        <w:gridCol w:w="1417"/>
        <w:gridCol w:w="1341"/>
        <w:gridCol w:w="1119"/>
        <w:gridCol w:w="1788"/>
        <w:gridCol w:w="1047"/>
      </w:tblGrid>
      <w:tr w:rsidR="008806C6" w:rsidRPr="002E27F7" w:rsidTr="002F4226">
        <w:trPr>
          <w:trHeight w:val="315"/>
        </w:trPr>
        <w:tc>
          <w:tcPr>
            <w:tcW w:w="8844" w:type="dxa"/>
            <w:gridSpan w:val="7"/>
            <w:shd w:val="clear" w:color="auto" w:fill="auto"/>
            <w:noWrap/>
            <w:vAlign w:val="center"/>
          </w:tcPr>
          <w:p w:rsidR="008806C6" w:rsidRPr="002E27F7" w:rsidRDefault="008806C6" w:rsidP="008806C6">
            <w:pPr>
              <w:spacing w:after="0" w:line="240" w:lineRule="auto"/>
              <w:jc w:val="center"/>
              <w:rPr>
                <w:rFonts w:ascii="Calibri" w:eastAsia="Times New Roman" w:hAnsi="Calibri" w:cs="Times New Roman"/>
                <w:color w:val="000000"/>
                <w:lang w:val="en-US" w:eastAsia="en-CA"/>
              </w:rPr>
            </w:pPr>
            <w:r w:rsidRPr="008806C6">
              <w:rPr>
                <w:rFonts w:ascii="Calibri" w:eastAsia="Times New Roman" w:hAnsi="Calibri" w:cs="Times New Roman"/>
                <w:color w:val="000000"/>
                <w:lang w:val="en-US" w:eastAsia="en-CA"/>
              </w:rPr>
              <w:t xml:space="preserve">Deflection of Cantilever Beam </w:t>
            </w:r>
            <w:r>
              <w:rPr>
                <w:rFonts w:ascii="Calibri" w:eastAsia="Times New Roman" w:hAnsi="Calibri" w:cs="Times New Roman"/>
                <w:color w:val="000000"/>
                <w:lang w:val="en-US" w:eastAsia="en-CA"/>
              </w:rPr>
              <w:t>Brass</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 xml:space="preserve">Applied </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 xml:space="preserve">Applied </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 xml:space="preserve">Moment of </w:t>
            </w:r>
          </w:p>
        </w:tc>
        <w:tc>
          <w:tcPr>
            <w:tcW w:w="2460" w:type="dxa"/>
            <w:gridSpan w:val="2"/>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Experimental</w:t>
            </w:r>
          </w:p>
        </w:tc>
        <w:tc>
          <w:tcPr>
            <w:tcW w:w="2835" w:type="dxa"/>
            <w:gridSpan w:val="2"/>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Theoretical</w:t>
            </w:r>
          </w:p>
        </w:tc>
      </w:tr>
      <w:tr w:rsidR="002E27F7" w:rsidRPr="002E27F7" w:rsidTr="00E3030E">
        <w:trPr>
          <w:trHeight w:val="360"/>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Load (gm)</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Load (N)</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Inertia (mm</w:t>
            </w:r>
            <w:r w:rsidRPr="002E27F7">
              <w:rPr>
                <w:rFonts w:ascii="Calibri" w:eastAsia="Times New Roman" w:hAnsi="Calibri" w:cs="Times New Roman"/>
                <w:color w:val="000000"/>
                <w:vertAlign w:val="superscript"/>
                <w:lang w:val="en-US" w:eastAsia="en-CA"/>
              </w:rPr>
              <w:t>4</w:t>
            </w:r>
            <w:r w:rsidRPr="002E27F7">
              <w:rPr>
                <w:rFonts w:ascii="Calibri" w:eastAsia="Times New Roman" w:hAnsi="Calibri" w:cs="Times New Roman"/>
                <w:color w:val="000000"/>
                <w:lang w:val="en-US" w:eastAsia="en-CA"/>
              </w:rPr>
              <w:t>)</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at x = L</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at x = L/2</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at x = L</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at x = L/2</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100</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0.98</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54.811</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-1.26</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-0.42</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0.887</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0.277</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200</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1.96</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54.811</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-2.42</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-0.8</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1.774</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0.554</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300</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2.94</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54.811</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-3.59</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-1.19</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2.661</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0.831</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400</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3.92</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54.811</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-4.77</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-1.58</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3.548</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1.109</w:t>
            </w:r>
          </w:p>
        </w:tc>
      </w:tr>
      <w:tr w:rsidR="002E27F7" w:rsidRPr="002E27F7" w:rsidTr="00E3030E">
        <w:trPr>
          <w:trHeight w:val="315"/>
        </w:trPr>
        <w:tc>
          <w:tcPr>
            <w:tcW w:w="113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500</w:t>
            </w:r>
          </w:p>
        </w:tc>
        <w:tc>
          <w:tcPr>
            <w:tcW w:w="993"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4.91</w:t>
            </w:r>
          </w:p>
        </w:tc>
        <w:tc>
          <w:tcPr>
            <w:tcW w:w="141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54.811</w:t>
            </w:r>
          </w:p>
        </w:tc>
        <w:tc>
          <w:tcPr>
            <w:tcW w:w="1341"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-5.83</w:t>
            </w:r>
          </w:p>
        </w:tc>
        <w:tc>
          <w:tcPr>
            <w:tcW w:w="1119"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val="en-US" w:eastAsia="en-CA"/>
              </w:rPr>
              <w:t>-1.94</w:t>
            </w:r>
          </w:p>
        </w:tc>
        <w:tc>
          <w:tcPr>
            <w:tcW w:w="1788"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4.444</w:t>
            </w:r>
          </w:p>
        </w:tc>
        <w:tc>
          <w:tcPr>
            <w:tcW w:w="1047" w:type="dxa"/>
            <w:shd w:val="clear" w:color="auto" w:fill="auto"/>
            <w:noWrap/>
            <w:vAlign w:val="center"/>
            <w:hideMark/>
          </w:tcPr>
          <w:p w:rsidR="002E27F7" w:rsidRPr="002E27F7" w:rsidRDefault="002E27F7" w:rsidP="00E3030E">
            <w:pPr>
              <w:spacing w:after="0" w:line="240" w:lineRule="auto"/>
              <w:jc w:val="center"/>
              <w:rPr>
                <w:rFonts w:ascii="Calibri" w:eastAsia="Times New Roman" w:hAnsi="Calibri" w:cs="Times New Roman"/>
                <w:color w:val="000000"/>
                <w:lang w:eastAsia="en-CA"/>
              </w:rPr>
            </w:pPr>
            <w:r w:rsidRPr="002E27F7">
              <w:rPr>
                <w:rFonts w:ascii="Calibri" w:eastAsia="Times New Roman" w:hAnsi="Calibri" w:cs="Times New Roman"/>
                <w:color w:val="000000"/>
                <w:lang w:eastAsia="en-CA"/>
              </w:rPr>
              <w:t>1.389</w:t>
            </w:r>
          </w:p>
        </w:tc>
      </w:tr>
    </w:tbl>
    <w:p w:rsidR="002E27F7" w:rsidRPr="002E27F7" w:rsidRDefault="002E27F7">
      <w:pPr>
        <w:rPr>
          <w:sz w:val="24"/>
        </w:rPr>
      </w:pPr>
    </w:p>
    <w:tbl>
      <w:tblPr>
        <w:tblpPr w:leftFromText="180" w:rightFromText="180" w:vertAnchor="text" w:horzAnchor="margin" w:tblpY="-59"/>
        <w:tblW w:w="8779" w:type="dxa"/>
        <w:tblLook w:val="04A0" w:firstRow="1" w:lastRow="0" w:firstColumn="1" w:lastColumn="0" w:noHBand="0" w:noVBand="1"/>
      </w:tblPr>
      <w:tblGrid>
        <w:gridCol w:w="1108"/>
        <w:gridCol w:w="1009"/>
        <w:gridCol w:w="1559"/>
        <w:gridCol w:w="850"/>
        <w:gridCol w:w="1418"/>
        <w:gridCol w:w="1701"/>
        <w:gridCol w:w="1134"/>
      </w:tblGrid>
      <w:tr w:rsidR="008806C6" w:rsidRPr="008806C6" w:rsidTr="008806C6">
        <w:trPr>
          <w:trHeight w:val="315"/>
        </w:trPr>
        <w:tc>
          <w:tcPr>
            <w:tcW w:w="877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lastRenderedPageBreak/>
              <w:t>Deflection of Cantilever Beam Steel</w:t>
            </w:r>
          </w:p>
        </w:tc>
      </w:tr>
      <w:tr w:rsidR="008806C6" w:rsidRPr="008806C6" w:rsidTr="008806C6">
        <w:trPr>
          <w:trHeight w:val="315"/>
        </w:trPr>
        <w:tc>
          <w:tcPr>
            <w:tcW w:w="1108" w:type="dxa"/>
            <w:tcBorders>
              <w:top w:val="nil"/>
              <w:left w:val="single" w:sz="8" w:space="0" w:color="auto"/>
              <w:bottom w:val="nil"/>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Applied </w:t>
            </w:r>
          </w:p>
        </w:tc>
        <w:tc>
          <w:tcPr>
            <w:tcW w:w="1009" w:type="dxa"/>
            <w:tcBorders>
              <w:top w:val="nil"/>
              <w:left w:val="nil"/>
              <w:bottom w:val="nil"/>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Applied </w:t>
            </w:r>
          </w:p>
        </w:tc>
        <w:tc>
          <w:tcPr>
            <w:tcW w:w="1559" w:type="dxa"/>
            <w:tcBorders>
              <w:top w:val="nil"/>
              <w:left w:val="nil"/>
              <w:bottom w:val="nil"/>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Moment of </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Experimental</w:t>
            </w:r>
          </w:p>
        </w:tc>
        <w:tc>
          <w:tcPr>
            <w:tcW w:w="2835"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Theoretical</w:t>
            </w:r>
          </w:p>
        </w:tc>
      </w:tr>
      <w:tr w:rsidR="008806C6" w:rsidRPr="008806C6" w:rsidTr="008806C6">
        <w:trPr>
          <w:trHeight w:val="360"/>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Load (gm)</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Load (N)</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Inertia (mm</w:t>
            </w:r>
            <w:r w:rsidRPr="008806C6">
              <w:rPr>
                <w:rFonts w:ascii="Calibri" w:eastAsia="Times New Roman" w:hAnsi="Calibri" w:cs="Times New Roman"/>
                <w:color w:val="000000"/>
                <w:vertAlign w:val="superscript"/>
                <w:lang w:val="en-US" w:eastAsia="en-CA"/>
              </w:rPr>
              <w:t>4</w:t>
            </w:r>
            <w:r w:rsidRPr="008806C6">
              <w:rPr>
                <w:rFonts w:ascii="Calibri" w:eastAsia="Times New Roman" w:hAnsi="Calibri" w:cs="Times New Roman"/>
                <w:color w:val="000000"/>
                <w:lang w:val="en-US" w:eastAsia="en-CA"/>
              </w:rPr>
              <w:t>)</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L/2</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L/2</w:t>
            </w:r>
          </w:p>
        </w:tc>
      </w:tr>
      <w:tr w:rsidR="008806C6" w:rsidRPr="008806C6" w:rsidTr="008806C6">
        <w:trPr>
          <w:trHeight w:val="315"/>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100</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0.98</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-0.61</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-0.19</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0.351</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0.110</w:t>
            </w:r>
          </w:p>
        </w:tc>
      </w:tr>
      <w:tr w:rsidR="008806C6" w:rsidRPr="008806C6" w:rsidTr="008806C6">
        <w:trPr>
          <w:trHeight w:val="315"/>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200</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1.96</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-1.16</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-0.37</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0.702</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0.219</w:t>
            </w:r>
          </w:p>
        </w:tc>
      </w:tr>
      <w:tr w:rsidR="008806C6" w:rsidRPr="008806C6" w:rsidTr="008806C6">
        <w:trPr>
          <w:trHeight w:val="315"/>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300</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2.94</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-1.68</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-0.54</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1.053</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0.329</w:t>
            </w:r>
          </w:p>
        </w:tc>
      </w:tr>
      <w:tr w:rsidR="008806C6" w:rsidRPr="008806C6" w:rsidTr="008806C6">
        <w:trPr>
          <w:trHeight w:val="315"/>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400</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3.92</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-2.24</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-0.74</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1.404</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0.439</w:t>
            </w:r>
          </w:p>
        </w:tc>
      </w:tr>
      <w:tr w:rsidR="008806C6" w:rsidRPr="008806C6" w:rsidTr="008806C6">
        <w:trPr>
          <w:trHeight w:val="315"/>
        </w:trPr>
        <w:tc>
          <w:tcPr>
            <w:tcW w:w="1108"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500</w:t>
            </w:r>
          </w:p>
        </w:tc>
        <w:tc>
          <w:tcPr>
            <w:tcW w:w="100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4.91</w:t>
            </w:r>
          </w:p>
        </w:tc>
        <w:tc>
          <w:tcPr>
            <w:tcW w:w="1559"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85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-2.74</w:t>
            </w:r>
          </w:p>
        </w:tc>
        <w:tc>
          <w:tcPr>
            <w:tcW w:w="1418"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-0.92</w:t>
            </w:r>
          </w:p>
        </w:tc>
        <w:tc>
          <w:tcPr>
            <w:tcW w:w="170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1.758</w:t>
            </w:r>
          </w:p>
        </w:tc>
        <w:tc>
          <w:tcPr>
            <w:tcW w:w="113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0.549</w:t>
            </w:r>
          </w:p>
        </w:tc>
      </w:tr>
    </w:tbl>
    <w:p w:rsidR="00EE3145" w:rsidRDefault="00EE3145">
      <w:pPr>
        <w:rPr>
          <w:b/>
          <w:sz w:val="28"/>
        </w:rPr>
      </w:pPr>
    </w:p>
    <w:p w:rsidR="008806C6" w:rsidRDefault="008806C6">
      <w:r>
        <w:fldChar w:fldCharType="begin"/>
      </w:r>
      <w:r>
        <w:instrText xml:space="preserve"> LINK Excel.Sheet.12 "C:\\Users\\Teodor\\Desktop\\New Microsoft Excel Worksheet (3).xlsx" "Sheet1!R23C11:R30C17" \a \f 4 \h </w:instrText>
      </w:r>
      <w:r>
        <w:fldChar w:fldCharType="separate"/>
      </w:r>
    </w:p>
    <w:p w:rsidR="00EE3145" w:rsidRDefault="008806C6">
      <w:pPr>
        <w:rPr>
          <w:b/>
          <w:sz w:val="28"/>
        </w:rPr>
      </w:pPr>
      <w:r>
        <w:rPr>
          <w:b/>
          <w:sz w:val="28"/>
        </w:rPr>
        <w:fldChar w:fldCharType="end"/>
      </w:r>
    </w:p>
    <w:p w:rsidR="00EE3145" w:rsidRDefault="00EE3145">
      <w:pPr>
        <w:rPr>
          <w:b/>
          <w:sz w:val="28"/>
        </w:rPr>
      </w:pPr>
    </w:p>
    <w:p w:rsidR="00EE3145" w:rsidRDefault="00EE3145">
      <w:pPr>
        <w:rPr>
          <w:b/>
          <w:sz w:val="28"/>
        </w:rPr>
      </w:pPr>
    </w:p>
    <w:p w:rsidR="00EE3145" w:rsidRDefault="00EE3145">
      <w:pPr>
        <w:rPr>
          <w:b/>
          <w:sz w:val="28"/>
        </w:rPr>
      </w:pPr>
    </w:p>
    <w:p w:rsidR="008806C6" w:rsidRDefault="008806C6">
      <w:r>
        <w:fldChar w:fldCharType="begin"/>
      </w:r>
      <w:r>
        <w:instrText xml:space="preserve"> LINK Excel.Sheet.12 "C:\\Users\\Teodor\\Desktop\\New Microsoft Excel Worksheet (3).xlsx" "Sheet1!R33C11:R40C17" \a \f 4 \h  \* MERGEFORMAT </w:instrText>
      </w:r>
      <w:r>
        <w:fldChar w:fldCharType="separate"/>
      </w:r>
    </w:p>
    <w:tbl>
      <w:tblPr>
        <w:tblW w:w="8776" w:type="dxa"/>
        <w:tblLook w:val="04A0" w:firstRow="1" w:lastRow="0" w:firstColumn="1" w:lastColumn="0" w:noHBand="0" w:noVBand="1"/>
      </w:tblPr>
      <w:tblGrid>
        <w:gridCol w:w="1436"/>
        <w:gridCol w:w="1222"/>
        <w:gridCol w:w="1904"/>
        <w:gridCol w:w="1021"/>
        <w:gridCol w:w="1070"/>
        <w:gridCol w:w="976"/>
        <w:gridCol w:w="1147"/>
      </w:tblGrid>
      <w:tr w:rsidR="008806C6" w:rsidRPr="008806C6" w:rsidTr="008806C6">
        <w:trPr>
          <w:trHeight w:val="315"/>
        </w:trPr>
        <w:tc>
          <w:tcPr>
            <w:tcW w:w="8776"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Deflection of Cantilever Beam Aluminum</w:t>
            </w:r>
          </w:p>
        </w:tc>
      </w:tr>
      <w:tr w:rsidR="008806C6" w:rsidRPr="008806C6" w:rsidTr="008806C6">
        <w:trPr>
          <w:trHeight w:val="315"/>
        </w:trPr>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Applied </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Applied </w:t>
            </w:r>
          </w:p>
        </w:tc>
        <w:tc>
          <w:tcPr>
            <w:tcW w:w="1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 xml:space="preserve">Moment of </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Experimental</w:t>
            </w:r>
          </w:p>
        </w:tc>
        <w:tc>
          <w:tcPr>
            <w:tcW w:w="2123" w:type="dxa"/>
            <w:gridSpan w:val="2"/>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Theoretical</w:t>
            </w:r>
          </w:p>
        </w:tc>
      </w:tr>
      <w:tr w:rsidR="008806C6" w:rsidRPr="008806C6" w:rsidTr="008806C6">
        <w:trPr>
          <w:trHeight w:val="360"/>
        </w:trPr>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Load (gm)</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Load (N)</w:t>
            </w:r>
          </w:p>
        </w:tc>
        <w:tc>
          <w:tcPr>
            <w:tcW w:w="1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Inertia (mm</w:t>
            </w:r>
            <w:r w:rsidRPr="008806C6">
              <w:rPr>
                <w:rFonts w:ascii="Calibri" w:eastAsia="Times New Roman" w:hAnsi="Calibri" w:cs="Times New Roman"/>
                <w:color w:val="000000"/>
                <w:vertAlign w:val="superscript"/>
                <w:lang w:val="en-US" w:eastAsia="en-CA"/>
              </w:rPr>
              <w:t>4</w:t>
            </w:r>
            <w:r w:rsidRPr="008806C6">
              <w:rPr>
                <w:rFonts w:ascii="Calibri" w:eastAsia="Times New Roman" w:hAnsi="Calibri" w:cs="Times New Roman"/>
                <w:color w:val="000000"/>
                <w:lang w:val="en-US" w:eastAsia="en-CA"/>
              </w:rPr>
              <w:t>)</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L/2</w:t>
            </w:r>
          </w:p>
        </w:tc>
        <w:tc>
          <w:tcPr>
            <w:tcW w:w="976" w:type="dxa"/>
            <w:tcBorders>
              <w:top w:val="nil"/>
              <w:left w:val="single" w:sz="4"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at x = L/2</w:t>
            </w:r>
          </w:p>
        </w:tc>
      </w:tr>
      <w:tr w:rsidR="008806C6" w:rsidRPr="008806C6" w:rsidTr="008806C6">
        <w:trPr>
          <w:trHeight w:val="315"/>
        </w:trPr>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100</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0.98</w:t>
            </w:r>
          </w:p>
        </w:tc>
        <w:tc>
          <w:tcPr>
            <w:tcW w:w="1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-1.57</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-0.52</w:t>
            </w:r>
          </w:p>
        </w:tc>
        <w:tc>
          <w:tcPr>
            <w:tcW w:w="976" w:type="dxa"/>
            <w:tcBorders>
              <w:top w:val="nil"/>
              <w:left w:val="single" w:sz="4"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1.381</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0.431</w:t>
            </w:r>
          </w:p>
        </w:tc>
      </w:tr>
      <w:tr w:rsidR="008806C6" w:rsidRPr="008806C6" w:rsidTr="008806C6">
        <w:trPr>
          <w:trHeight w:val="315"/>
        </w:trPr>
        <w:tc>
          <w:tcPr>
            <w:tcW w:w="143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200</w:t>
            </w:r>
          </w:p>
        </w:tc>
        <w:tc>
          <w:tcPr>
            <w:tcW w:w="1222" w:type="dxa"/>
            <w:tcBorders>
              <w:top w:val="single" w:sz="4" w:space="0" w:color="auto"/>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1.96</w:t>
            </w:r>
          </w:p>
        </w:tc>
        <w:tc>
          <w:tcPr>
            <w:tcW w:w="1904" w:type="dxa"/>
            <w:tcBorders>
              <w:top w:val="single" w:sz="4" w:space="0" w:color="auto"/>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1021" w:type="dxa"/>
            <w:tcBorders>
              <w:top w:val="single" w:sz="4" w:space="0" w:color="auto"/>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-2.99</w:t>
            </w:r>
          </w:p>
        </w:tc>
        <w:tc>
          <w:tcPr>
            <w:tcW w:w="1070" w:type="dxa"/>
            <w:tcBorders>
              <w:top w:val="single" w:sz="4" w:space="0" w:color="auto"/>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-0.99</w:t>
            </w:r>
          </w:p>
        </w:tc>
        <w:tc>
          <w:tcPr>
            <w:tcW w:w="976"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2.761</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0.863</w:t>
            </w:r>
          </w:p>
        </w:tc>
      </w:tr>
      <w:tr w:rsidR="008806C6" w:rsidRPr="008806C6" w:rsidTr="008806C6">
        <w:trPr>
          <w:trHeight w:val="315"/>
        </w:trPr>
        <w:tc>
          <w:tcPr>
            <w:tcW w:w="1436"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300</w:t>
            </w:r>
          </w:p>
        </w:tc>
        <w:tc>
          <w:tcPr>
            <w:tcW w:w="1222"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2.94</w:t>
            </w:r>
          </w:p>
        </w:tc>
        <w:tc>
          <w:tcPr>
            <w:tcW w:w="190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102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-4.42</w:t>
            </w:r>
          </w:p>
        </w:tc>
        <w:tc>
          <w:tcPr>
            <w:tcW w:w="107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-1.46</w:t>
            </w:r>
          </w:p>
        </w:tc>
        <w:tc>
          <w:tcPr>
            <w:tcW w:w="976"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4.142</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1.294</w:t>
            </w:r>
          </w:p>
        </w:tc>
      </w:tr>
      <w:tr w:rsidR="008806C6" w:rsidRPr="008806C6" w:rsidTr="008806C6">
        <w:trPr>
          <w:trHeight w:val="315"/>
        </w:trPr>
        <w:tc>
          <w:tcPr>
            <w:tcW w:w="1436"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400</w:t>
            </w:r>
          </w:p>
        </w:tc>
        <w:tc>
          <w:tcPr>
            <w:tcW w:w="1222"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3.92</w:t>
            </w:r>
          </w:p>
        </w:tc>
        <w:tc>
          <w:tcPr>
            <w:tcW w:w="190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102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-5.88</w:t>
            </w:r>
          </w:p>
        </w:tc>
        <w:tc>
          <w:tcPr>
            <w:tcW w:w="107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-1.94</w:t>
            </w:r>
          </w:p>
        </w:tc>
        <w:tc>
          <w:tcPr>
            <w:tcW w:w="976"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5.523</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1.726</w:t>
            </w:r>
          </w:p>
        </w:tc>
      </w:tr>
      <w:tr w:rsidR="008806C6" w:rsidRPr="008806C6" w:rsidTr="008806C6">
        <w:trPr>
          <w:trHeight w:val="315"/>
        </w:trPr>
        <w:tc>
          <w:tcPr>
            <w:tcW w:w="1436" w:type="dxa"/>
            <w:tcBorders>
              <w:top w:val="nil"/>
              <w:left w:val="single" w:sz="8" w:space="0" w:color="auto"/>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500</w:t>
            </w:r>
          </w:p>
        </w:tc>
        <w:tc>
          <w:tcPr>
            <w:tcW w:w="1222"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4.91</w:t>
            </w:r>
          </w:p>
        </w:tc>
        <w:tc>
          <w:tcPr>
            <w:tcW w:w="1904"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72.724</w:t>
            </w:r>
          </w:p>
        </w:tc>
        <w:tc>
          <w:tcPr>
            <w:tcW w:w="1021"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-7.36</w:t>
            </w:r>
          </w:p>
        </w:tc>
        <w:tc>
          <w:tcPr>
            <w:tcW w:w="1070"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val="en-US" w:eastAsia="en-CA"/>
              </w:rPr>
              <w:t>-2.42</w:t>
            </w:r>
          </w:p>
        </w:tc>
        <w:tc>
          <w:tcPr>
            <w:tcW w:w="976"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6.918</w:t>
            </w:r>
          </w:p>
        </w:tc>
        <w:tc>
          <w:tcPr>
            <w:tcW w:w="1147" w:type="dxa"/>
            <w:tcBorders>
              <w:top w:val="nil"/>
              <w:left w:val="nil"/>
              <w:bottom w:val="single" w:sz="8" w:space="0" w:color="auto"/>
              <w:right w:val="single" w:sz="8" w:space="0" w:color="auto"/>
            </w:tcBorders>
            <w:shd w:val="clear" w:color="auto" w:fill="auto"/>
            <w:noWrap/>
            <w:vAlign w:val="center"/>
            <w:hideMark/>
          </w:tcPr>
          <w:p w:rsidR="008806C6" w:rsidRPr="008806C6" w:rsidRDefault="008806C6" w:rsidP="008806C6">
            <w:pPr>
              <w:spacing w:after="0" w:line="240" w:lineRule="auto"/>
              <w:jc w:val="center"/>
              <w:rPr>
                <w:rFonts w:ascii="Calibri" w:eastAsia="Times New Roman" w:hAnsi="Calibri" w:cs="Times New Roman"/>
                <w:color w:val="000000"/>
                <w:lang w:eastAsia="en-CA"/>
              </w:rPr>
            </w:pPr>
            <w:r w:rsidRPr="008806C6">
              <w:rPr>
                <w:rFonts w:ascii="Calibri" w:eastAsia="Times New Roman" w:hAnsi="Calibri" w:cs="Times New Roman"/>
                <w:color w:val="000000"/>
                <w:lang w:eastAsia="en-CA"/>
              </w:rPr>
              <w:t>2.162</w:t>
            </w:r>
          </w:p>
        </w:tc>
      </w:tr>
    </w:tbl>
    <w:p w:rsidR="00EE3145" w:rsidRDefault="008806C6">
      <w:pPr>
        <w:rPr>
          <w:b/>
          <w:sz w:val="28"/>
        </w:rPr>
      </w:pPr>
      <w:r>
        <w:rPr>
          <w:b/>
          <w:sz w:val="28"/>
        </w:rPr>
        <w:fldChar w:fldCharType="end"/>
      </w:r>
    </w:p>
    <w:tbl>
      <w:tblPr>
        <w:tblW w:w="9498" w:type="dxa"/>
        <w:tblInd w:w="-10" w:type="dxa"/>
        <w:tblLook w:val="04A0" w:firstRow="1" w:lastRow="0" w:firstColumn="1" w:lastColumn="0" w:noHBand="0" w:noVBand="1"/>
      </w:tblPr>
      <w:tblGrid>
        <w:gridCol w:w="1276"/>
        <w:gridCol w:w="992"/>
        <w:gridCol w:w="1281"/>
        <w:gridCol w:w="1286"/>
        <w:gridCol w:w="1544"/>
        <w:gridCol w:w="1559"/>
        <w:gridCol w:w="1560"/>
      </w:tblGrid>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Applied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Applied</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Moment of</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Deflection exp. (mm)</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Modulus of Elasticity (</w:t>
            </w:r>
            <w:proofErr w:type="spellStart"/>
            <w:r w:rsidRPr="00814393">
              <w:rPr>
                <w:rFonts w:ascii="Calibri" w:eastAsia="Times New Roman" w:hAnsi="Calibri" w:cs="Times New Roman"/>
                <w:color w:val="000000"/>
                <w:lang w:val="en-US" w:eastAsia="en-CA"/>
              </w:rPr>
              <w:t>GPa</w:t>
            </w:r>
            <w:proofErr w:type="spellEnd"/>
            <w:r w:rsidRPr="00814393">
              <w:rPr>
                <w:rFonts w:ascii="Calibri" w:eastAsia="Times New Roman" w:hAnsi="Calibri" w:cs="Times New Roman"/>
                <w:color w:val="000000"/>
                <w:lang w:val="en-US" w:eastAsia="en-CA"/>
              </w:rPr>
              <w:t>)</w:t>
            </w:r>
          </w:p>
        </w:tc>
      </w:tr>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Load (gm)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Load (N)</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Inertia (mm4)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at x = L</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at x = L/2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at x = L</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at x = L/2</w:t>
            </w:r>
          </w:p>
        </w:tc>
      </w:tr>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0.98</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72.724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-0.61</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115.0581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r>
      <w:tr w:rsidR="00814393" w:rsidRPr="00814393" w:rsidTr="00814393">
        <w:trPr>
          <w:trHeight w:val="360"/>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1.96</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72.724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-1.16</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121.0094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r>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2.94</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72.724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-1.68</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-0.54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125.3312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r>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3.92</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72.724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-2.24</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-0.74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125.3312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r>
      <w:tr w:rsidR="00814393" w:rsidRPr="00814393" w:rsidTr="00814393">
        <w:trPr>
          <w:trHeight w:val="31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4.91</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72.724</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-2.74</w:t>
            </w:r>
          </w:p>
        </w:tc>
        <w:tc>
          <w:tcPr>
            <w:tcW w:w="1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-0.92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128.337</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200</w:t>
            </w:r>
          </w:p>
        </w:tc>
      </w:tr>
      <w:tr w:rsidR="00814393" w:rsidRPr="00814393" w:rsidTr="00814393">
        <w:trPr>
          <w:trHeight w:val="315"/>
        </w:trPr>
        <w:tc>
          <w:tcPr>
            <w:tcW w:w="63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Average experimental Modulus of elasticity (</w:t>
            </w:r>
            <w:proofErr w:type="spellStart"/>
            <w:r w:rsidRPr="00814393">
              <w:rPr>
                <w:rFonts w:ascii="Calibri" w:eastAsia="Times New Roman" w:hAnsi="Calibri" w:cs="Times New Roman"/>
                <w:color w:val="000000"/>
                <w:lang w:val="en-US" w:eastAsia="en-CA"/>
              </w:rPr>
              <w:t>GPa</w:t>
            </w:r>
            <w:proofErr w:type="spellEnd"/>
            <w:r w:rsidRPr="00814393">
              <w:rPr>
                <w:rFonts w:ascii="Calibri" w:eastAsia="Times New Roman" w:hAnsi="Calibri" w:cs="Times New Roman"/>
                <w:color w:val="000000"/>
                <w:lang w:val="en-US" w:eastAsia="en-CA"/>
              </w:rPr>
              <w:t>)</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eastAsia="en-CA"/>
              </w:rPr>
              <w:t>161.5</w:t>
            </w:r>
          </w:p>
        </w:tc>
      </w:tr>
      <w:tr w:rsidR="00814393" w:rsidRPr="00814393" w:rsidTr="00814393">
        <w:trPr>
          <w:trHeight w:val="315"/>
        </w:trPr>
        <w:tc>
          <w:tcPr>
            <w:tcW w:w="63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 xml:space="preserve">% error from </w:t>
            </w:r>
            <w:r>
              <w:rPr>
                <w:rFonts w:ascii="Calibri" w:eastAsia="Times New Roman" w:hAnsi="Calibri" w:cs="Times New Roman"/>
                <w:color w:val="000000"/>
                <w:lang w:val="en-US" w:eastAsia="en-CA"/>
              </w:rPr>
              <w:t>200</w:t>
            </w:r>
            <w:r w:rsidRPr="00814393">
              <w:rPr>
                <w:rFonts w:ascii="Calibri" w:eastAsia="Times New Roman" w:hAnsi="Calibri" w:cs="Times New Roman"/>
                <w:color w:val="000000"/>
                <w:lang w:val="en-US" w:eastAsia="en-CA"/>
              </w:rPr>
              <w:t>GPa Published Value (%)</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4393" w:rsidRPr="00814393" w:rsidRDefault="00814393" w:rsidP="00814393">
            <w:pPr>
              <w:spacing w:after="0" w:line="240" w:lineRule="auto"/>
              <w:jc w:val="center"/>
              <w:rPr>
                <w:rFonts w:ascii="Calibri" w:eastAsia="Times New Roman" w:hAnsi="Calibri" w:cs="Times New Roman"/>
                <w:color w:val="000000"/>
                <w:lang w:eastAsia="en-CA"/>
              </w:rPr>
            </w:pPr>
            <w:r w:rsidRPr="00814393">
              <w:rPr>
                <w:rFonts w:ascii="Calibri" w:eastAsia="Times New Roman" w:hAnsi="Calibri" w:cs="Times New Roman"/>
                <w:color w:val="000000"/>
                <w:lang w:val="en-US" w:eastAsia="en-CA"/>
              </w:rPr>
              <w:t>19.25</w:t>
            </w:r>
          </w:p>
        </w:tc>
      </w:tr>
    </w:tbl>
    <w:p w:rsidR="0047420B" w:rsidRDefault="0047420B">
      <w:pPr>
        <w:rPr>
          <w:b/>
          <w:sz w:val="28"/>
        </w:rPr>
      </w:pPr>
    </w:p>
    <w:p w:rsidR="0047420B" w:rsidRDefault="0047420B">
      <w:pPr>
        <w:rPr>
          <w:b/>
          <w:sz w:val="28"/>
        </w:rPr>
      </w:pPr>
    </w:p>
    <w:p w:rsidR="0047420B" w:rsidRDefault="0047420B">
      <w:pPr>
        <w:rPr>
          <w:b/>
          <w:sz w:val="28"/>
        </w:rPr>
      </w:pPr>
    </w:p>
    <w:p w:rsidR="0047420B" w:rsidRDefault="0047420B">
      <w:pPr>
        <w:rPr>
          <w:b/>
          <w:sz w:val="28"/>
        </w:rPr>
      </w:pPr>
    </w:p>
    <w:p w:rsidR="0047420B" w:rsidRDefault="0047420B">
      <w:pPr>
        <w:rPr>
          <w:b/>
          <w:sz w:val="28"/>
        </w:rPr>
      </w:pPr>
    </w:p>
    <w:p w:rsidR="00EE3145" w:rsidRDefault="008806C6" w:rsidP="008806C6">
      <w:pPr>
        <w:jc w:val="center"/>
        <w:rPr>
          <w:b/>
          <w:sz w:val="28"/>
        </w:rPr>
      </w:pPr>
      <w:r>
        <w:rPr>
          <w:noProof/>
          <w:lang w:eastAsia="en-CA"/>
        </w:rPr>
        <w:lastRenderedPageBreak/>
        <w:drawing>
          <wp:inline distT="0" distB="0" distL="0" distR="0" wp14:anchorId="6BB58CFA" wp14:editId="070B097B">
            <wp:extent cx="4743450" cy="252412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EE3145" w:rsidRDefault="0047420B" w:rsidP="0047420B">
      <w:pPr>
        <w:jc w:val="center"/>
        <w:rPr>
          <w:b/>
          <w:sz w:val="28"/>
        </w:rPr>
      </w:pPr>
      <w:r>
        <w:rPr>
          <w:noProof/>
          <w:lang w:eastAsia="en-CA"/>
        </w:rPr>
        <w:drawing>
          <wp:inline distT="0" distB="0" distL="0" distR="0" wp14:anchorId="0EAD5454" wp14:editId="2A88CB5F">
            <wp:extent cx="4800600" cy="258127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EE3145" w:rsidRDefault="007323B3" w:rsidP="007323B3">
      <w:pPr>
        <w:jc w:val="center"/>
        <w:rPr>
          <w:b/>
          <w:sz w:val="28"/>
        </w:rPr>
      </w:pPr>
      <w:r>
        <w:rPr>
          <w:noProof/>
          <w:lang w:eastAsia="en-CA"/>
        </w:rPr>
        <w:drawing>
          <wp:inline distT="0" distB="0" distL="0" distR="0" wp14:anchorId="3818CC55" wp14:editId="2A639892">
            <wp:extent cx="4933950" cy="256222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EE3145" w:rsidRDefault="007323B3" w:rsidP="007323B3">
      <w:pPr>
        <w:jc w:val="center"/>
        <w:rPr>
          <w:b/>
          <w:sz w:val="28"/>
        </w:rPr>
      </w:pPr>
      <w:r>
        <w:rPr>
          <w:noProof/>
          <w:lang w:eastAsia="en-CA"/>
        </w:rPr>
        <w:lastRenderedPageBreak/>
        <w:drawing>
          <wp:inline distT="0" distB="0" distL="0" distR="0" wp14:anchorId="2D70BBE8" wp14:editId="77CE622A">
            <wp:extent cx="4914900" cy="2581275"/>
            <wp:effectExtent l="0" t="0" r="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7323B3" w:rsidRDefault="007323B3" w:rsidP="007323B3">
      <w:pPr>
        <w:jc w:val="center"/>
        <w:rPr>
          <w:b/>
          <w:sz w:val="28"/>
        </w:rPr>
      </w:pPr>
      <w:r>
        <w:rPr>
          <w:noProof/>
          <w:lang w:eastAsia="en-CA"/>
        </w:rPr>
        <w:drawing>
          <wp:inline distT="0" distB="0" distL="0" distR="0" wp14:anchorId="2C9BCE91" wp14:editId="570D8764">
            <wp:extent cx="4905375" cy="2554014"/>
            <wp:effectExtent l="0" t="0" r="9525" b="1778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7323B3" w:rsidRDefault="0047420B" w:rsidP="0047420B">
      <w:pPr>
        <w:jc w:val="center"/>
        <w:rPr>
          <w:b/>
          <w:sz w:val="28"/>
        </w:rPr>
      </w:pPr>
      <w:r>
        <w:rPr>
          <w:noProof/>
          <w:lang w:eastAsia="en-CA"/>
        </w:rPr>
        <w:drawing>
          <wp:inline distT="0" distB="0" distL="0" distR="0" wp14:anchorId="02FDCD1E" wp14:editId="5DB2ACF2">
            <wp:extent cx="4855779" cy="2743200"/>
            <wp:effectExtent l="0" t="0" r="254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7323B3" w:rsidRDefault="007323B3" w:rsidP="007323B3">
      <w:pPr>
        <w:jc w:val="center"/>
        <w:rPr>
          <w:b/>
          <w:sz w:val="28"/>
        </w:rPr>
      </w:pPr>
    </w:p>
    <w:p w:rsidR="007323B3" w:rsidRDefault="007323B3">
      <w:pPr>
        <w:rPr>
          <w:b/>
          <w:sz w:val="28"/>
        </w:rPr>
      </w:pPr>
    </w:p>
    <w:p w:rsidR="00DE12A5" w:rsidRDefault="00DE12A5">
      <w:pPr>
        <w:rPr>
          <w:b/>
          <w:sz w:val="28"/>
        </w:rPr>
      </w:pPr>
      <w:r w:rsidRPr="00DE12A5">
        <w:rPr>
          <w:b/>
          <w:sz w:val="28"/>
        </w:rPr>
        <w:t>Discussion</w:t>
      </w:r>
      <w:r w:rsidR="00BF64CE">
        <w:rPr>
          <w:b/>
          <w:sz w:val="28"/>
        </w:rPr>
        <w:t xml:space="preserve"> &amp; Conclusion</w:t>
      </w:r>
    </w:p>
    <w:p w:rsidR="007323B3" w:rsidRDefault="007323B3" w:rsidP="007323B3">
      <w:pPr>
        <w:pStyle w:val="ListParagraph"/>
        <w:numPr>
          <w:ilvl w:val="0"/>
          <w:numId w:val="4"/>
        </w:numPr>
        <w:tabs>
          <w:tab w:val="left" w:pos="8029"/>
        </w:tabs>
        <w:spacing w:after="120" w:line="240" w:lineRule="auto"/>
        <w:rPr>
          <w:sz w:val="24"/>
          <w:szCs w:val="24"/>
        </w:rPr>
      </w:pPr>
      <w:r w:rsidRPr="00EA2017">
        <w:rPr>
          <w:sz w:val="24"/>
          <w:szCs w:val="24"/>
        </w:rPr>
        <w:t xml:space="preserve">Compare </w:t>
      </w:r>
      <w:r>
        <w:rPr>
          <w:sz w:val="24"/>
          <w:szCs w:val="24"/>
        </w:rPr>
        <w:t>the theoretical deflections with the experimental values.</w:t>
      </w:r>
    </w:p>
    <w:p w:rsidR="007323B3" w:rsidRDefault="007323B3" w:rsidP="007323B3">
      <w:pPr>
        <w:pStyle w:val="ListParagraph"/>
        <w:numPr>
          <w:ilvl w:val="0"/>
          <w:numId w:val="5"/>
        </w:numPr>
        <w:tabs>
          <w:tab w:val="left" w:pos="8029"/>
        </w:tabs>
        <w:spacing w:after="120" w:line="240" w:lineRule="auto"/>
        <w:rPr>
          <w:sz w:val="24"/>
          <w:szCs w:val="24"/>
        </w:rPr>
      </w:pPr>
      <w:r>
        <w:rPr>
          <w:sz w:val="24"/>
          <w:szCs w:val="24"/>
        </w:rPr>
        <w:t>Determine the accuracy of the theoretical equations.</w:t>
      </w:r>
    </w:p>
    <w:p w:rsidR="007323B3" w:rsidRDefault="007323B3" w:rsidP="007323B3">
      <w:pPr>
        <w:pStyle w:val="ListParagraph"/>
        <w:numPr>
          <w:ilvl w:val="0"/>
          <w:numId w:val="5"/>
        </w:numPr>
        <w:tabs>
          <w:tab w:val="left" w:pos="8029"/>
        </w:tabs>
        <w:spacing w:after="120" w:line="240" w:lineRule="auto"/>
        <w:rPr>
          <w:sz w:val="24"/>
          <w:szCs w:val="24"/>
        </w:rPr>
      </w:pPr>
      <w:r>
        <w:rPr>
          <w:sz w:val="24"/>
          <w:szCs w:val="24"/>
        </w:rPr>
        <w:t>Does the accuracy depend on the type of material, load machine, beam configuration? Discuss.</w:t>
      </w:r>
    </w:p>
    <w:p w:rsidR="007323B3" w:rsidRDefault="007323B3" w:rsidP="007323B3">
      <w:pPr>
        <w:ind w:left="720"/>
        <w:rPr>
          <w:sz w:val="24"/>
        </w:rPr>
      </w:pPr>
      <w:r>
        <w:rPr>
          <w:sz w:val="24"/>
        </w:rPr>
        <w:t>In comparing the theoretical deflection and the experimental values, it was found that the percent difference of the modulus of elasticity for brass, steel and aluminum are 0.04%, 1.16% and 0.014% respectively. These results are incredibly accurate, it could be said that suspiciously accurate. Nonetheless, this is proof that the measurements taken in the laboratory yielded accurate and precise data. Some discrepancies in the results could arise from errors in reading or measuring the dimensions, bad positioning of the beam, the precision of the measuring tools, the sample and its integrity and its fatigue.</w:t>
      </w:r>
    </w:p>
    <w:p w:rsidR="0047420B" w:rsidRDefault="00814393" w:rsidP="0047420B">
      <w:pPr>
        <w:pStyle w:val="ListParagraph"/>
        <w:numPr>
          <w:ilvl w:val="0"/>
          <w:numId w:val="4"/>
        </w:numPr>
        <w:rPr>
          <w:sz w:val="24"/>
        </w:rPr>
      </w:pPr>
      <w:r>
        <w:rPr>
          <w:sz w:val="24"/>
        </w:rPr>
        <w:t>Comparing the modulus of elasticity, there is a much bigger difference in between the theoretical and experimental. The perfect differences for brass, steel and aluminum are 17%, 19% and 23% respectively. This could be due to the positioning of the weights on the cantilever setup as they were not stable and the difficulty in reading the measurement.</w:t>
      </w:r>
    </w:p>
    <w:p w:rsidR="00814393" w:rsidRDefault="00814393" w:rsidP="00814393">
      <w:pPr>
        <w:rPr>
          <w:sz w:val="24"/>
        </w:rPr>
      </w:pPr>
    </w:p>
    <w:p w:rsidR="00814393" w:rsidRPr="00814393" w:rsidRDefault="00814393" w:rsidP="00814393">
      <w:pPr>
        <w:ind w:left="360" w:firstLine="360"/>
        <w:rPr>
          <w:sz w:val="24"/>
        </w:rPr>
      </w:pPr>
      <w:r>
        <w:rPr>
          <w:sz w:val="24"/>
        </w:rPr>
        <w:t>In conclusion, this laboratory can be deemed successful due to its rather low percent differences. As a lesson, one can learn that a bad design of a beam can have large consequences on its integrity</w:t>
      </w:r>
      <w:bookmarkStart w:id="0" w:name="_GoBack"/>
      <w:bookmarkEnd w:id="0"/>
      <w:r>
        <w:rPr>
          <w:sz w:val="24"/>
        </w:rPr>
        <w:t xml:space="preserve"> and can cause failure in it.</w:t>
      </w:r>
    </w:p>
    <w:p w:rsidR="00AC2E51" w:rsidRPr="007323B3" w:rsidRDefault="00AC2E51" w:rsidP="007323B3">
      <w:pPr>
        <w:ind w:left="720"/>
        <w:rPr>
          <w:sz w:val="24"/>
        </w:rPr>
      </w:pPr>
    </w:p>
    <w:p w:rsidR="007323B3" w:rsidRDefault="007323B3">
      <w:pPr>
        <w:rPr>
          <w:b/>
          <w:sz w:val="28"/>
        </w:rPr>
      </w:pPr>
    </w:p>
    <w:p w:rsidR="007323B3" w:rsidRDefault="007323B3">
      <w:pPr>
        <w:rPr>
          <w:b/>
          <w:sz w:val="28"/>
        </w:rPr>
      </w:pPr>
    </w:p>
    <w:p w:rsidR="007323B3" w:rsidRDefault="007323B3">
      <w:pPr>
        <w:rPr>
          <w:b/>
          <w:sz w:val="28"/>
        </w:rPr>
      </w:pPr>
    </w:p>
    <w:p w:rsidR="007323B3" w:rsidRDefault="007323B3">
      <w:pPr>
        <w:rPr>
          <w:b/>
          <w:sz w:val="28"/>
        </w:rPr>
      </w:pPr>
    </w:p>
    <w:p w:rsidR="005D2A49" w:rsidRDefault="005D2A49">
      <w:pPr>
        <w:rPr>
          <w:b/>
          <w:sz w:val="28"/>
        </w:rPr>
      </w:pPr>
      <w:r>
        <w:rPr>
          <w:b/>
          <w:sz w:val="28"/>
        </w:rPr>
        <w:t>References</w:t>
      </w:r>
    </w:p>
    <w:p w:rsidR="00EF26C3" w:rsidRDefault="006E6BB9">
      <w:pPr>
        <w:rPr>
          <w:b/>
          <w:sz w:val="28"/>
        </w:rPr>
      </w:pPr>
      <w:r>
        <w:t>Beer F. and Johnston, R. (1992) Mechanics of Materials, McGraw-Hill.</w:t>
      </w:r>
    </w:p>
    <w:p w:rsidR="00EF26C3" w:rsidRDefault="00EF26C3">
      <w:pPr>
        <w:rPr>
          <w:b/>
          <w:sz w:val="28"/>
        </w:rPr>
      </w:pPr>
    </w:p>
    <w:p w:rsidR="00A677C0" w:rsidRPr="00A677C0" w:rsidRDefault="00A677C0" w:rsidP="00A677C0">
      <w:pPr>
        <w:rPr>
          <w:sz w:val="24"/>
        </w:rPr>
      </w:pPr>
    </w:p>
    <w:sectPr w:rsidR="00A677C0" w:rsidRPr="00A677C0" w:rsidSect="00D22AAE">
      <w:footerReference w:type="default" r:id="rId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C1D" w:rsidRDefault="00590C1D" w:rsidP="005D2A49">
      <w:pPr>
        <w:spacing w:after="0" w:line="240" w:lineRule="auto"/>
      </w:pPr>
      <w:r>
        <w:separator/>
      </w:r>
    </w:p>
  </w:endnote>
  <w:endnote w:type="continuationSeparator" w:id="0">
    <w:p w:rsidR="00590C1D" w:rsidRDefault="00590C1D" w:rsidP="005D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9F6" w:rsidRPr="005D2A49" w:rsidRDefault="005A59F6" w:rsidP="005D2A49">
    <w:pPr>
      <w:pStyle w:val="Foo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C1D" w:rsidRDefault="00590C1D" w:rsidP="005D2A49">
      <w:pPr>
        <w:spacing w:after="0" w:line="240" w:lineRule="auto"/>
      </w:pPr>
      <w:r>
        <w:separator/>
      </w:r>
    </w:p>
  </w:footnote>
  <w:footnote w:type="continuationSeparator" w:id="0">
    <w:p w:rsidR="00590C1D" w:rsidRDefault="00590C1D" w:rsidP="005D2A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F754A"/>
    <w:multiLevelType w:val="hybridMultilevel"/>
    <w:tmpl w:val="E050F1C4"/>
    <w:lvl w:ilvl="0" w:tplc="B2F61C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96648ED"/>
    <w:multiLevelType w:val="hybridMultilevel"/>
    <w:tmpl w:val="635675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9B02B29"/>
    <w:multiLevelType w:val="multilevel"/>
    <w:tmpl w:val="121E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EB0FD3"/>
    <w:multiLevelType w:val="hybridMultilevel"/>
    <w:tmpl w:val="472A87A4"/>
    <w:lvl w:ilvl="0" w:tplc="DE9484F6">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CD30EF4"/>
    <w:multiLevelType w:val="hybridMultilevel"/>
    <w:tmpl w:val="421A4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0EC"/>
    <w:rsid w:val="00002181"/>
    <w:rsid w:val="000104AB"/>
    <w:rsid w:val="000129BD"/>
    <w:rsid w:val="00013E7A"/>
    <w:rsid w:val="00015CDF"/>
    <w:rsid w:val="00017B89"/>
    <w:rsid w:val="000202FC"/>
    <w:rsid w:val="00023A0B"/>
    <w:rsid w:val="00025AA0"/>
    <w:rsid w:val="00040EB3"/>
    <w:rsid w:val="0005403F"/>
    <w:rsid w:val="00054510"/>
    <w:rsid w:val="00057D93"/>
    <w:rsid w:val="00072898"/>
    <w:rsid w:val="00083230"/>
    <w:rsid w:val="00083708"/>
    <w:rsid w:val="000849FE"/>
    <w:rsid w:val="00096283"/>
    <w:rsid w:val="00096D6B"/>
    <w:rsid w:val="000974E1"/>
    <w:rsid w:val="000A2176"/>
    <w:rsid w:val="000A3DA6"/>
    <w:rsid w:val="000A42F5"/>
    <w:rsid w:val="000B1440"/>
    <w:rsid w:val="000B4752"/>
    <w:rsid w:val="000C1FDD"/>
    <w:rsid w:val="000C42CD"/>
    <w:rsid w:val="000C48AD"/>
    <w:rsid w:val="000E2594"/>
    <w:rsid w:val="000E5982"/>
    <w:rsid w:val="00102D29"/>
    <w:rsid w:val="0011296D"/>
    <w:rsid w:val="00113511"/>
    <w:rsid w:val="00115892"/>
    <w:rsid w:val="00121372"/>
    <w:rsid w:val="001217D5"/>
    <w:rsid w:val="00123C05"/>
    <w:rsid w:val="0012536D"/>
    <w:rsid w:val="00126311"/>
    <w:rsid w:val="001268BD"/>
    <w:rsid w:val="00133C0E"/>
    <w:rsid w:val="00137DB1"/>
    <w:rsid w:val="00143CE7"/>
    <w:rsid w:val="00144A29"/>
    <w:rsid w:val="001543E6"/>
    <w:rsid w:val="00157AE4"/>
    <w:rsid w:val="00162133"/>
    <w:rsid w:val="0016638A"/>
    <w:rsid w:val="00184393"/>
    <w:rsid w:val="00186435"/>
    <w:rsid w:val="0018676B"/>
    <w:rsid w:val="001939F7"/>
    <w:rsid w:val="001A04A0"/>
    <w:rsid w:val="001A0876"/>
    <w:rsid w:val="001A5957"/>
    <w:rsid w:val="001B792B"/>
    <w:rsid w:val="001C1F78"/>
    <w:rsid w:val="001C49F0"/>
    <w:rsid w:val="001D25F8"/>
    <w:rsid w:val="001D5A4F"/>
    <w:rsid w:val="001E2DB3"/>
    <w:rsid w:val="001E5686"/>
    <w:rsid w:val="001E5EDC"/>
    <w:rsid w:val="001F3916"/>
    <w:rsid w:val="001F5E49"/>
    <w:rsid w:val="001F7DEB"/>
    <w:rsid w:val="00201ACB"/>
    <w:rsid w:val="0020493A"/>
    <w:rsid w:val="00205BD0"/>
    <w:rsid w:val="00214942"/>
    <w:rsid w:val="00217F3F"/>
    <w:rsid w:val="0022057E"/>
    <w:rsid w:val="00221252"/>
    <w:rsid w:val="002275F6"/>
    <w:rsid w:val="00227DAE"/>
    <w:rsid w:val="0023497D"/>
    <w:rsid w:val="00237BE0"/>
    <w:rsid w:val="002429FE"/>
    <w:rsid w:val="002646BA"/>
    <w:rsid w:val="00275C14"/>
    <w:rsid w:val="00276932"/>
    <w:rsid w:val="00280B69"/>
    <w:rsid w:val="0028145F"/>
    <w:rsid w:val="00282C31"/>
    <w:rsid w:val="00291DDE"/>
    <w:rsid w:val="00296A37"/>
    <w:rsid w:val="00297F8A"/>
    <w:rsid w:val="002A10E3"/>
    <w:rsid w:val="002B157E"/>
    <w:rsid w:val="002B29EF"/>
    <w:rsid w:val="002B5BFB"/>
    <w:rsid w:val="002B6CEE"/>
    <w:rsid w:val="002D03F8"/>
    <w:rsid w:val="002E27F7"/>
    <w:rsid w:val="002E3B12"/>
    <w:rsid w:val="0030514B"/>
    <w:rsid w:val="00311608"/>
    <w:rsid w:val="00320A04"/>
    <w:rsid w:val="003368DB"/>
    <w:rsid w:val="00343847"/>
    <w:rsid w:val="00344D6F"/>
    <w:rsid w:val="0035187A"/>
    <w:rsid w:val="0037018C"/>
    <w:rsid w:val="00371A84"/>
    <w:rsid w:val="00386A86"/>
    <w:rsid w:val="003879E9"/>
    <w:rsid w:val="0039234C"/>
    <w:rsid w:val="003A2318"/>
    <w:rsid w:val="003A4893"/>
    <w:rsid w:val="003A72F8"/>
    <w:rsid w:val="003B0DF8"/>
    <w:rsid w:val="003C736B"/>
    <w:rsid w:val="003D2515"/>
    <w:rsid w:val="003D49F7"/>
    <w:rsid w:val="003D6842"/>
    <w:rsid w:val="003D7B4A"/>
    <w:rsid w:val="003E1FD2"/>
    <w:rsid w:val="003E4AD6"/>
    <w:rsid w:val="003F3885"/>
    <w:rsid w:val="003F6F7F"/>
    <w:rsid w:val="003F7B89"/>
    <w:rsid w:val="00400EAC"/>
    <w:rsid w:val="00402C28"/>
    <w:rsid w:val="0040377A"/>
    <w:rsid w:val="00410EEF"/>
    <w:rsid w:val="00412FD6"/>
    <w:rsid w:val="00413A00"/>
    <w:rsid w:val="00415124"/>
    <w:rsid w:val="00424B65"/>
    <w:rsid w:val="00437D0E"/>
    <w:rsid w:val="00440A9F"/>
    <w:rsid w:val="00467175"/>
    <w:rsid w:val="00472A0B"/>
    <w:rsid w:val="0047420B"/>
    <w:rsid w:val="004853C4"/>
    <w:rsid w:val="00493357"/>
    <w:rsid w:val="00497C47"/>
    <w:rsid w:val="004A09B6"/>
    <w:rsid w:val="004A7DAB"/>
    <w:rsid w:val="004C1B65"/>
    <w:rsid w:val="004D2ACA"/>
    <w:rsid w:val="004D5152"/>
    <w:rsid w:val="004D7AE3"/>
    <w:rsid w:val="004E16DE"/>
    <w:rsid w:val="004F2880"/>
    <w:rsid w:val="00503F33"/>
    <w:rsid w:val="00504B5D"/>
    <w:rsid w:val="00516204"/>
    <w:rsid w:val="00517A46"/>
    <w:rsid w:val="00527422"/>
    <w:rsid w:val="005310EC"/>
    <w:rsid w:val="00550F8B"/>
    <w:rsid w:val="00552216"/>
    <w:rsid w:val="0055291D"/>
    <w:rsid w:val="0055322B"/>
    <w:rsid w:val="00554706"/>
    <w:rsid w:val="00570507"/>
    <w:rsid w:val="00572331"/>
    <w:rsid w:val="00572AF5"/>
    <w:rsid w:val="0057622F"/>
    <w:rsid w:val="00583F78"/>
    <w:rsid w:val="00590C1D"/>
    <w:rsid w:val="00594189"/>
    <w:rsid w:val="005949ED"/>
    <w:rsid w:val="005A3A27"/>
    <w:rsid w:val="005A59F6"/>
    <w:rsid w:val="005B2EB6"/>
    <w:rsid w:val="005B7C59"/>
    <w:rsid w:val="005C6F18"/>
    <w:rsid w:val="005D2A49"/>
    <w:rsid w:val="005D69C7"/>
    <w:rsid w:val="005D72F7"/>
    <w:rsid w:val="005F59EA"/>
    <w:rsid w:val="00607561"/>
    <w:rsid w:val="006126EB"/>
    <w:rsid w:val="00614676"/>
    <w:rsid w:val="00617193"/>
    <w:rsid w:val="00633523"/>
    <w:rsid w:val="00635703"/>
    <w:rsid w:val="00636EF5"/>
    <w:rsid w:val="00637A86"/>
    <w:rsid w:val="00653646"/>
    <w:rsid w:val="00654DE5"/>
    <w:rsid w:val="00656F9C"/>
    <w:rsid w:val="00657448"/>
    <w:rsid w:val="00666406"/>
    <w:rsid w:val="00667299"/>
    <w:rsid w:val="00667C87"/>
    <w:rsid w:val="006742D0"/>
    <w:rsid w:val="006746A3"/>
    <w:rsid w:val="00677D5D"/>
    <w:rsid w:val="00681A15"/>
    <w:rsid w:val="006857E4"/>
    <w:rsid w:val="00687142"/>
    <w:rsid w:val="006911A1"/>
    <w:rsid w:val="006932DC"/>
    <w:rsid w:val="006935F7"/>
    <w:rsid w:val="00695722"/>
    <w:rsid w:val="006A037E"/>
    <w:rsid w:val="006A3DD6"/>
    <w:rsid w:val="006A471C"/>
    <w:rsid w:val="006B561F"/>
    <w:rsid w:val="006C0900"/>
    <w:rsid w:val="006C282F"/>
    <w:rsid w:val="006C54FD"/>
    <w:rsid w:val="006C55AD"/>
    <w:rsid w:val="006D0EE9"/>
    <w:rsid w:val="006D2480"/>
    <w:rsid w:val="006E361D"/>
    <w:rsid w:val="006E4FFF"/>
    <w:rsid w:val="006E60BE"/>
    <w:rsid w:val="006E6BB9"/>
    <w:rsid w:val="006E6D02"/>
    <w:rsid w:val="006F6346"/>
    <w:rsid w:val="00705002"/>
    <w:rsid w:val="00715D02"/>
    <w:rsid w:val="007170FA"/>
    <w:rsid w:val="007177FC"/>
    <w:rsid w:val="00717B63"/>
    <w:rsid w:val="00725659"/>
    <w:rsid w:val="007323B3"/>
    <w:rsid w:val="007342BE"/>
    <w:rsid w:val="00751BA7"/>
    <w:rsid w:val="00761EBA"/>
    <w:rsid w:val="00762103"/>
    <w:rsid w:val="00775380"/>
    <w:rsid w:val="00775796"/>
    <w:rsid w:val="00790057"/>
    <w:rsid w:val="0079283C"/>
    <w:rsid w:val="007A2487"/>
    <w:rsid w:val="007A6548"/>
    <w:rsid w:val="007B1F54"/>
    <w:rsid w:val="007B2105"/>
    <w:rsid w:val="007B4213"/>
    <w:rsid w:val="007B5975"/>
    <w:rsid w:val="007B5FDD"/>
    <w:rsid w:val="007C1302"/>
    <w:rsid w:val="007D41A0"/>
    <w:rsid w:val="007F2EA5"/>
    <w:rsid w:val="007F76BC"/>
    <w:rsid w:val="00801E0A"/>
    <w:rsid w:val="00802E54"/>
    <w:rsid w:val="00803A58"/>
    <w:rsid w:val="00806126"/>
    <w:rsid w:val="00806953"/>
    <w:rsid w:val="0081129F"/>
    <w:rsid w:val="00814393"/>
    <w:rsid w:val="00817C1E"/>
    <w:rsid w:val="00823517"/>
    <w:rsid w:val="00825E86"/>
    <w:rsid w:val="008265DC"/>
    <w:rsid w:val="00837D12"/>
    <w:rsid w:val="00840F6E"/>
    <w:rsid w:val="00845144"/>
    <w:rsid w:val="00851F5E"/>
    <w:rsid w:val="00852701"/>
    <w:rsid w:val="00855591"/>
    <w:rsid w:val="00861CB7"/>
    <w:rsid w:val="00865C09"/>
    <w:rsid w:val="00874FB3"/>
    <w:rsid w:val="00875441"/>
    <w:rsid w:val="008762BB"/>
    <w:rsid w:val="00877518"/>
    <w:rsid w:val="008806C6"/>
    <w:rsid w:val="00884112"/>
    <w:rsid w:val="008A4878"/>
    <w:rsid w:val="008A6C2F"/>
    <w:rsid w:val="008B356B"/>
    <w:rsid w:val="008B6587"/>
    <w:rsid w:val="008C209B"/>
    <w:rsid w:val="008C3B01"/>
    <w:rsid w:val="008D75F6"/>
    <w:rsid w:val="008E3FE8"/>
    <w:rsid w:val="008E722A"/>
    <w:rsid w:val="008E77E4"/>
    <w:rsid w:val="008F13FD"/>
    <w:rsid w:val="008F48C7"/>
    <w:rsid w:val="008F7696"/>
    <w:rsid w:val="00901531"/>
    <w:rsid w:val="00903EEA"/>
    <w:rsid w:val="00906C10"/>
    <w:rsid w:val="0091441A"/>
    <w:rsid w:val="009202B8"/>
    <w:rsid w:val="00926D63"/>
    <w:rsid w:val="00931ACB"/>
    <w:rsid w:val="00941223"/>
    <w:rsid w:val="00941F35"/>
    <w:rsid w:val="009437B7"/>
    <w:rsid w:val="00956895"/>
    <w:rsid w:val="00965E96"/>
    <w:rsid w:val="00974C54"/>
    <w:rsid w:val="00976851"/>
    <w:rsid w:val="00983F4C"/>
    <w:rsid w:val="009900D1"/>
    <w:rsid w:val="00995A72"/>
    <w:rsid w:val="0099706F"/>
    <w:rsid w:val="0099707C"/>
    <w:rsid w:val="009B58DE"/>
    <w:rsid w:val="009B6678"/>
    <w:rsid w:val="009C63E1"/>
    <w:rsid w:val="009D2B97"/>
    <w:rsid w:val="009D41D4"/>
    <w:rsid w:val="009E5C32"/>
    <w:rsid w:val="009E63F9"/>
    <w:rsid w:val="009E7F75"/>
    <w:rsid w:val="009F4057"/>
    <w:rsid w:val="00A0726D"/>
    <w:rsid w:val="00A20A80"/>
    <w:rsid w:val="00A20E01"/>
    <w:rsid w:val="00A218B8"/>
    <w:rsid w:val="00A31589"/>
    <w:rsid w:val="00A32CFD"/>
    <w:rsid w:val="00A40191"/>
    <w:rsid w:val="00A51419"/>
    <w:rsid w:val="00A52C3B"/>
    <w:rsid w:val="00A677C0"/>
    <w:rsid w:val="00A70CF4"/>
    <w:rsid w:val="00A716EE"/>
    <w:rsid w:val="00A72286"/>
    <w:rsid w:val="00A77AE5"/>
    <w:rsid w:val="00A92AAF"/>
    <w:rsid w:val="00AA78BF"/>
    <w:rsid w:val="00AB0E09"/>
    <w:rsid w:val="00AB7DF1"/>
    <w:rsid w:val="00AC1F30"/>
    <w:rsid w:val="00AC2E51"/>
    <w:rsid w:val="00AD1792"/>
    <w:rsid w:val="00AD6FAA"/>
    <w:rsid w:val="00AD7BB4"/>
    <w:rsid w:val="00AE0862"/>
    <w:rsid w:val="00AE21B2"/>
    <w:rsid w:val="00AE227A"/>
    <w:rsid w:val="00AE3581"/>
    <w:rsid w:val="00AF131A"/>
    <w:rsid w:val="00AF419C"/>
    <w:rsid w:val="00AF6683"/>
    <w:rsid w:val="00B22524"/>
    <w:rsid w:val="00B2393A"/>
    <w:rsid w:val="00B245D1"/>
    <w:rsid w:val="00B25DFB"/>
    <w:rsid w:val="00B34644"/>
    <w:rsid w:val="00B46EC6"/>
    <w:rsid w:val="00B503F2"/>
    <w:rsid w:val="00B5162F"/>
    <w:rsid w:val="00B53278"/>
    <w:rsid w:val="00B572B8"/>
    <w:rsid w:val="00B632DE"/>
    <w:rsid w:val="00B63839"/>
    <w:rsid w:val="00B6650D"/>
    <w:rsid w:val="00B70DFB"/>
    <w:rsid w:val="00B72341"/>
    <w:rsid w:val="00B7268C"/>
    <w:rsid w:val="00B74662"/>
    <w:rsid w:val="00B75579"/>
    <w:rsid w:val="00B77369"/>
    <w:rsid w:val="00B77B27"/>
    <w:rsid w:val="00B86C8A"/>
    <w:rsid w:val="00B87F5B"/>
    <w:rsid w:val="00BA45A7"/>
    <w:rsid w:val="00BA493E"/>
    <w:rsid w:val="00BA6F49"/>
    <w:rsid w:val="00BB0D00"/>
    <w:rsid w:val="00BB5DA3"/>
    <w:rsid w:val="00BC52FA"/>
    <w:rsid w:val="00BC6473"/>
    <w:rsid w:val="00BD4E6B"/>
    <w:rsid w:val="00BE211F"/>
    <w:rsid w:val="00BF1FF1"/>
    <w:rsid w:val="00BF3BFF"/>
    <w:rsid w:val="00BF3F50"/>
    <w:rsid w:val="00BF6170"/>
    <w:rsid w:val="00BF64CE"/>
    <w:rsid w:val="00C0296C"/>
    <w:rsid w:val="00C06C39"/>
    <w:rsid w:val="00C10879"/>
    <w:rsid w:val="00C13F6A"/>
    <w:rsid w:val="00C17FB3"/>
    <w:rsid w:val="00C22CA3"/>
    <w:rsid w:val="00C43CD3"/>
    <w:rsid w:val="00C4501C"/>
    <w:rsid w:val="00C46573"/>
    <w:rsid w:val="00C50BC6"/>
    <w:rsid w:val="00C52A15"/>
    <w:rsid w:val="00C80AD2"/>
    <w:rsid w:val="00C87EFD"/>
    <w:rsid w:val="00C91060"/>
    <w:rsid w:val="00C94765"/>
    <w:rsid w:val="00CA3227"/>
    <w:rsid w:val="00CA7001"/>
    <w:rsid w:val="00CB34E1"/>
    <w:rsid w:val="00CB6893"/>
    <w:rsid w:val="00CC0597"/>
    <w:rsid w:val="00CC28FB"/>
    <w:rsid w:val="00CC2E00"/>
    <w:rsid w:val="00CC3F37"/>
    <w:rsid w:val="00CD4C5D"/>
    <w:rsid w:val="00CD5854"/>
    <w:rsid w:val="00CE0E70"/>
    <w:rsid w:val="00CE3C8E"/>
    <w:rsid w:val="00D02F7E"/>
    <w:rsid w:val="00D07B12"/>
    <w:rsid w:val="00D157D5"/>
    <w:rsid w:val="00D2255D"/>
    <w:rsid w:val="00D22AAE"/>
    <w:rsid w:val="00D24A5F"/>
    <w:rsid w:val="00D254D1"/>
    <w:rsid w:val="00D265D4"/>
    <w:rsid w:val="00D27F5A"/>
    <w:rsid w:val="00D40187"/>
    <w:rsid w:val="00D456CD"/>
    <w:rsid w:val="00D45901"/>
    <w:rsid w:val="00D55D19"/>
    <w:rsid w:val="00D56F4E"/>
    <w:rsid w:val="00D575E4"/>
    <w:rsid w:val="00D700F2"/>
    <w:rsid w:val="00D93512"/>
    <w:rsid w:val="00DA7715"/>
    <w:rsid w:val="00DB632B"/>
    <w:rsid w:val="00DC160D"/>
    <w:rsid w:val="00DC3F9D"/>
    <w:rsid w:val="00DC66D2"/>
    <w:rsid w:val="00DD458B"/>
    <w:rsid w:val="00DD45AB"/>
    <w:rsid w:val="00DD7F2F"/>
    <w:rsid w:val="00DE12A5"/>
    <w:rsid w:val="00DE1E38"/>
    <w:rsid w:val="00DF57A4"/>
    <w:rsid w:val="00DF66A1"/>
    <w:rsid w:val="00E02517"/>
    <w:rsid w:val="00E14970"/>
    <w:rsid w:val="00E17784"/>
    <w:rsid w:val="00E177C6"/>
    <w:rsid w:val="00E20046"/>
    <w:rsid w:val="00E26168"/>
    <w:rsid w:val="00E263AA"/>
    <w:rsid w:val="00E306F1"/>
    <w:rsid w:val="00E3320D"/>
    <w:rsid w:val="00E400B8"/>
    <w:rsid w:val="00E40766"/>
    <w:rsid w:val="00E42314"/>
    <w:rsid w:val="00E44126"/>
    <w:rsid w:val="00E441C0"/>
    <w:rsid w:val="00E5514D"/>
    <w:rsid w:val="00E559DD"/>
    <w:rsid w:val="00E62CAC"/>
    <w:rsid w:val="00E665B5"/>
    <w:rsid w:val="00E770DF"/>
    <w:rsid w:val="00E77DAC"/>
    <w:rsid w:val="00E911A0"/>
    <w:rsid w:val="00E911F1"/>
    <w:rsid w:val="00EA5886"/>
    <w:rsid w:val="00EA6B0E"/>
    <w:rsid w:val="00EB126F"/>
    <w:rsid w:val="00EB193E"/>
    <w:rsid w:val="00EB2502"/>
    <w:rsid w:val="00EB7240"/>
    <w:rsid w:val="00EC12C5"/>
    <w:rsid w:val="00EC64E7"/>
    <w:rsid w:val="00EC7DF6"/>
    <w:rsid w:val="00EE3145"/>
    <w:rsid w:val="00EF26C3"/>
    <w:rsid w:val="00EF3C8B"/>
    <w:rsid w:val="00EF54A4"/>
    <w:rsid w:val="00F00D8F"/>
    <w:rsid w:val="00F177D7"/>
    <w:rsid w:val="00F3206A"/>
    <w:rsid w:val="00F37599"/>
    <w:rsid w:val="00F50D7E"/>
    <w:rsid w:val="00F56DB8"/>
    <w:rsid w:val="00F65DF3"/>
    <w:rsid w:val="00F70D89"/>
    <w:rsid w:val="00F72757"/>
    <w:rsid w:val="00F7555F"/>
    <w:rsid w:val="00F8244F"/>
    <w:rsid w:val="00F86DA0"/>
    <w:rsid w:val="00F8783E"/>
    <w:rsid w:val="00FA44A1"/>
    <w:rsid w:val="00FA727A"/>
    <w:rsid w:val="00FB142F"/>
    <w:rsid w:val="00FC1014"/>
    <w:rsid w:val="00FC2242"/>
    <w:rsid w:val="00FC2923"/>
    <w:rsid w:val="00FC5B7D"/>
    <w:rsid w:val="00FC656C"/>
    <w:rsid w:val="00FD0872"/>
    <w:rsid w:val="00FD3C7A"/>
    <w:rsid w:val="00FD5448"/>
    <w:rsid w:val="00FD6B37"/>
    <w:rsid w:val="00FE1E19"/>
    <w:rsid w:val="00FE2F58"/>
    <w:rsid w:val="00FE3A1C"/>
    <w:rsid w:val="00FE4914"/>
    <w:rsid w:val="00FF1328"/>
    <w:rsid w:val="00FF4A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766CD7-1FC9-4A6B-9C58-1984DCDD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F7E"/>
    <w:rPr>
      <w:color w:val="0563C1" w:themeColor="hyperlink"/>
      <w:u w:val="single"/>
    </w:rPr>
  </w:style>
  <w:style w:type="paragraph" w:styleId="NoSpacing">
    <w:name w:val="No Spacing"/>
    <w:link w:val="NoSpacingChar"/>
    <w:uiPriority w:val="1"/>
    <w:qFormat/>
    <w:rsid w:val="00A677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77C0"/>
    <w:rPr>
      <w:rFonts w:eastAsiaTheme="minorEastAsia"/>
      <w:lang w:val="en-US"/>
    </w:rPr>
  </w:style>
  <w:style w:type="paragraph" w:styleId="Header">
    <w:name w:val="header"/>
    <w:basedOn w:val="Normal"/>
    <w:link w:val="HeaderChar"/>
    <w:uiPriority w:val="99"/>
    <w:unhideWhenUsed/>
    <w:rsid w:val="005D2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A49"/>
  </w:style>
  <w:style w:type="paragraph" w:styleId="Footer">
    <w:name w:val="footer"/>
    <w:basedOn w:val="Normal"/>
    <w:link w:val="FooterChar"/>
    <w:uiPriority w:val="99"/>
    <w:unhideWhenUsed/>
    <w:rsid w:val="005D2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A49"/>
  </w:style>
  <w:style w:type="character" w:styleId="Strong">
    <w:name w:val="Strong"/>
    <w:basedOn w:val="DefaultParagraphFont"/>
    <w:uiPriority w:val="22"/>
    <w:qFormat/>
    <w:rsid w:val="005D2A49"/>
    <w:rPr>
      <w:b/>
      <w:bCs/>
    </w:rPr>
  </w:style>
  <w:style w:type="character" w:customStyle="1" w:styleId="apple-converted-space">
    <w:name w:val="apple-converted-space"/>
    <w:basedOn w:val="DefaultParagraphFont"/>
    <w:rsid w:val="005D2A49"/>
  </w:style>
  <w:style w:type="paragraph" w:styleId="ListParagraph">
    <w:name w:val="List Paragraph"/>
    <w:basedOn w:val="Normal"/>
    <w:uiPriority w:val="34"/>
    <w:qFormat/>
    <w:rsid w:val="006E6B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95358">
      <w:bodyDiv w:val="1"/>
      <w:marLeft w:val="0"/>
      <w:marRight w:val="0"/>
      <w:marTop w:val="0"/>
      <w:marBottom w:val="0"/>
      <w:divBdr>
        <w:top w:val="none" w:sz="0" w:space="0" w:color="auto"/>
        <w:left w:val="none" w:sz="0" w:space="0" w:color="auto"/>
        <w:bottom w:val="none" w:sz="0" w:space="0" w:color="auto"/>
        <w:right w:val="none" w:sz="0" w:space="0" w:color="auto"/>
      </w:divBdr>
    </w:div>
    <w:div w:id="150297372">
      <w:bodyDiv w:val="1"/>
      <w:marLeft w:val="0"/>
      <w:marRight w:val="0"/>
      <w:marTop w:val="0"/>
      <w:marBottom w:val="0"/>
      <w:divBdr>
        <w:top w:val="none" w:sz="0" w:space="0" w:color="auto"/>
        <w:left w:val="none" w:sz="0" w:space="0" w:color="auto"/>
        <w:bottom w:val="none" w:sz="0" w:space="0" w:color="auto"/>
        <w:right w:val="none" w:sz="0" w:space="0" w:color="auto"/>
      </w:divBdr>
    </w:div>
    <w:div w:id="150604539">
      <w:bodyDiv w:val="1"/>
      <w:marLeft w:val="0"/>
      <w:marRight w:val="0"/>
      <w:marTop w:val="0"/>
      <w:marBottom w:val="0"/>
      <w:divBdr>
        <w:top w:val="none" w:sz="0" w:space="0" w:color="auto"/>
        <w:left w:val="none" w:sz="0" w:space="0" w:color="auto"/>
        <w:bottom w:val="none" w:sz="0" w:space="0" w:color="auto"/>
        <w:right w:val="none" w:sz="0" w:space="0" w:color="auto"/>
      </w:divBdr>
    </w:div>
    <w:div w:id="181478820">
      <w:bodyDiv w:val="1"/>
      <w:marLeft w:val="0"/>
      <w:marRight w:val="0"/>
      <w:marTop w:val="0"/>
      <w:marBottom w:val="0"/>
      <w:divBdr>
        <w:top w:val="none" w:sz="0" w:space="0" w:color="auto"/>
        <w:left w:val="none" w:sz="0" w:space="0" w:color="auto"/>
        <w:bottom w:val="none" w:sz="0" w:space="0" w:color="auto"/>
        <w:right w:val="none" w:sz="0" w:space="0" w:color="auto"/>
      </w:divBdr>
    </w:div>
    <w:div w:id="245112167">
      <w:bodyDiv w:val="1"/>
      <w:marLeft w:val="0"/>
      <w:marRight w:val="0"/>
      <w:marTop w:val="0"/>
      <w:marBottom w:val="0"/>
      <w:divBdr>
        <w:top w:val="none" w:sz="0" w:space="0" w:color="auto"/>
        <w:left w:val="none" w:sz="0" w:space="0" w:color="auto"/>
        <w:bottom w:val="none" w:sz="0" w:space="0" w:color="auto"/>
        <w:right w:val="none" w:sz="0" w:space="0" w:color="auto"/>
      </w:divBdr>
    </w:div>
    <w:div w:id="323821081">
      <w:bodyDiv w:val="1"/>
      <w:marLeft w:val="0"/>
      <w:marRight w:val="0"/>
      <w:marTop w:val="0"/>
      <w:marBottom w:val="0"/>
      <w:divBdr>
        <w:top w:val="none" w:sz="0" w:space="0" w:color="auto"/>
        <w:left w:val="none" w:sz="0" w:space="0" w:color="auto"/>
        <w:bottom w:val="none" w:sz="0" w:space="0" w:color="auto"/>
        <w:right w:val="none" w:sz="0" w:space="0" w:color="auto"/>
      </w:divBdr>
    </w:div>
    <w:div w:id="405153177">
      <w:bodyDiv w:val="1"/>
      <w:marLeft w:val="0"/>
      <w:marRight w:val="0"/>
      <w:marTop w:val="0"/>
      <w:marBottom w:val="0"/>
      <w:divBdr>
        <w:top w:val="none" w:sz="0" w:space="0" w:color="auto"/>
        <w:left w:val="none" w:sz="0" w:space="0" w:color="auto"/>
        <w:bottom w:val="none" w:sz="0" w:space="0" w:color="auto"/>
        <w:right w:val="none" w:sz="0" w:space="0" w:color="auto"/>
      </w:divBdr>
    </w:div>
    <w:div w:id="440879807">
      <w:bodyDiv w:val="1"/>
      <w:marLeft w:val="0"/>
      <w:marRight w:val="0"/>
      <w:marTop w:val="0"/>
      <w:marBottom w:val="0"/>
      <w:divBdr>
        <w:top w:val="none" w:sz="0" w:space="0" w:color="auto"/>
        <w:left w:val="none" w:sz="0" w:space="0" w:color="auto"/>
        <w:bottom w:val="none" w:sz="0" w:space="0" w:color="auto"/>
        <w:right w:val="none" w:sz="0" w:space="0" w:color="auto"/>
      </w:divBdr>
    </w:div>
    <w:div w:id="462888961">
      <w:bodyDiv w:val="1"/>
      <w:marLeft w:val="0"/>
      <w:marRight w:val="0"/>
      <w:marTop w:val="0"/>
      <w:marBottom w:val="0"/>
      <w:divBdr>
        <w:top w:val="none" w:sz="0" w:space="0" w:color="auto"/>
        <w:left w:val="none" w:sz="0" w:space="0" w:color="auto"/>
        <w:bottom w:val="none" w:sz="0" w:space="0" w:color="auto"/>
        <w:right w:val="none" w:sz="0" w:space="0" w:color="auto"/>
      </w:divBdr>
    </w:div>
    <w:div w:id="667099321">
      <w:bodyDiv w:val="1"/>
      <w:marLeft w:val="0"/>
      <w:marRight w:val="0"/>
      <w:marTop w:val="0"/>
      <w:marBottom w:val="0"/>
      <w:divBdr>
        <w:top w:val="none" w:sz="0" w:space="0" w:color="auto"/>
        <w:left w:val="none" w:sz="0" w:space="0" w:color="auto"/>
        <w:bottom w:val="none" w:sz="0" w:space="0" w:color="auto"/>
        <w:right w:val="none" w:sz="0" w:space="0" w:color="auto"/>
      </w:divBdr>
    </w:div>
    <w:div w:id="766462227">
      <w:bodyDiv w:val="1"/>
      <w:marLeft w:val="0"/>
      <w:marRight w:val="0"/>
      <w:marTop w:val="0"/>
      <w:marBottom w:val="0"/>
      <w:divBdr>
        <w:top w:val="none" w:sz="0" w:space="0" w:color="auto"/>
        <w:left w:val="none" w:sz="0" w:space="0" w:color="auto"/>
        <w:bottom w:val="none" w:sz="0" w:space="0" w:color="auto"/>
        <w:right w:val="none" w:sz="0" w:space="0" w:color="auto"/>
      </w:divBdr>
    </w:div>
    <w:div w:id="838695562">
      <w:bodyDiv w:val="1"/>
      <w:marLeft w:val="0"/>
      <w:marRight w:val="0"/>
      <w:marTop w:val="0"/>
      <w:marBottom w:val="0"/>
      <w:divBdr>
        <w:top w:val="none" w:sz="0" w:space="0" w:color="auto"/>
        <w:left w:val="none" w:sz="0" w:space="0" w:color="auto"/>
        <w:bottom w:val="none" w:sz="0" w:space="0" w:color="auto"/>
        <w:right w:val="none" w:sz="0" w:space="0" w:color="auto"/>
      </w:divBdr>
    </w:div>
    <w:div w:id="946697797">
      <w:bodyDiv w:val="1"/>
      <w:marLeft w:val="0"/>
      <w:marRight w:val="0"/>
      <w:marTop w:val="0"/>
      <w:marBottom w:val="0"/>
      <w:divBdr>
        <w:top w:val="none" w:sz="0" w:space="0" w:color="auto"/>
        <w:left w:val="none" w:sz="0" w:space="0" w:color="auto"/>
        <w:bottom w:val="none" w:sz="0" w:space="0" w:color="auto"/>
        <w:right w:val="none" w:sz="0" w:space="0" w:color="auto"/>
      </w:divBdr>
    </w:div>
    <w:div w:id="1006442898">
      <w:bodyDiv w:val="1"/>
      <w:marLeft w:val="0"/>
      <w:marRight w:val="0"/>
      <w:marTop w:val="0"/>
      <w:marBottom w:val="0"/>
      <w:divBdr>
        <w:top w:val="none" w:sz="0" w:space="0" w:color="auto"/>
        <w:left w:val="none" w:sz="0" w:space="0" w:color="auto"/>
        <w:bottom w:val="none" w:sz="0" w:space="0" w:color="auto"/>
        <w:right w:val="none" w:sz="0" w:space="0" w:color="auto"/>
      </w:divBdr>
    </w:div>
    <w:div w:id="1036539479">
      <w:bodyDiv w:val="1"/>
      <w:marLeft w:val="0"/>
      <w:marRight w:val="0"/>
      <w:marTop w:val="0"/>
      <w:marBottom w:val="0"/>
      <w:divBdr>
        <w:top w:val="none" w:sz="0" w:space="0" w:color="auto"/>
        <w:left w:val="none" w:sz="0" w:space="0" w:color="auto"/>
        <w:bottom w:val="none" w:sz="0" w:space="0" w:color="auto"/>
        <w:right w:val="none" w:sz="0" w:space="0" w:color="auto"/>
      </w:divBdr>
    </w:div>
    <w:div w:id="1144854660">
      <w:bodyDiv w:val="1"/>
      <w:marLeft w:val="0"/>
      <w:marRight w:val="0"/>
      <w:marTop w:val="0"/>
      <w:marBottom w:val="0"/>
      <w:divBdr>
        <w:top w:val="none" w:sz="0" w:space="0" w:color="auto"/>
        <w:left w:val="none" w:sz="0" w:space="0" w:color="auto"/>
        <w:bottom w:val="none" w:sz="0" w:space="0" w:color="auto"/>
        <w:right w:val="none" w:sz="0" w:space="0" w:color="auto"/>
      </w:divBdr>
    </w:div>
    <w:div w:id="1155998138">
      <w:bodyDiv w:val="1"/>
      <w:marLeft w:val="0"/>
      <w:marRight w:val="0"/>
      <w:marTop w:val="0"/>
      <w:marBottom w:val="0"/>
      <w:divBdr>
        <w:top w:val="none" w:sz="0" w:space="0" w:color="auto"/>
        <w:left w:val="none" w:sz="0" w:space="0" w:color="auto"/>
        <w:bottom w:val="none" w:sz="0" w:space="0" w:color="auto"/>
        <w:right w:val="none" w:sz="0" w:space="0" w:color="auto"/>
      </w:divBdr>
    </w:div>
    <w:div w:id="1175652715">
      <w:bodyDiv w:val="1"/>
      <w:marLeft w:val="0"/>
      <w:marRight w:val="0"/>
      <w:marTop w:val="0"/>
      <w:marBottom w:val="0"/>
      <w:divBdr>
        <w:top w:val="none" w:sz="0" w:space="0" w:color="auto"/>
        <w:left w:val="none" w:sz="0" w:space="0" w:color="auto"/>
        <w:bottom w:val="none" w:sz="0" w:space="0" w:color="auto"/>
        <w:right w:val="none" w:sz="0" w:space="0" w:color="auto"/>
      </w:divBdr>
    </w:div>
    <w:div w:id="1194466264">
      <w:bodyDiv w:val="1"/>
      <w:marLeft w:val="0"/>
      <w:marRight w:val="0"/>
      <w:marTop w:val="0"/>
      <w:marBottom w:val="0"/>
      <w:divBdr>
        <w:top w:val="none" w:sz="0" w:space="0" w:color="auto"/>
        <w:left w:val="none" w:sz="0" w:space="0" w:color="auto"/>
        <w:bottom w:val="none" w:sz="0" w:space="0" w:color="auto"/>
        <w:right w:val="none" w:sz="0" w:space="0" w:color="auto"/>
      </w:divBdr>
    </w:div>
    <w:div w:id="1230849184">
      <w:bodyDiv w:val="1"/>
      <w:marLeft w:val="0"/>
      <w:marRight w:val="0"/>
      <w:marTop w:val="0"/>
      <w:marBottom w:val="0"/>
      <w:divBdr>
        <w:top w:val="none" w:sz="0" w:space="0" w:color="auto"/>
        <w:left w:val="none" w:sz="0" w:space="0" w:color="auto"/>
        <w:bottom w:val="none" w:sz="0" w:space="0" w:color="auto"/>
        <w:right w:val="none" w:sz="0" w:space="0" w:color="auto"/>
      </w:divBdr>
    </w:div>
    <w:div w:id="1248033477">
      <w:bodyDiv w:val="1"/>
      <w:marLeft w:val="0"/>
      <w:marRight w:val="0"/>
      <w:marTop w:val="0"/>
      <w:marBottom w:val="0"/>
      <w:divBdr>
        <w:top w:val="none" w:sz="0" w:space="0" w:color="auto"/>
        <w:left w:val="none" w:sz="0" w:space="0" w:color="auto"/>
        <w:bottom w:val="none" w:sz="0" w:space="0" w:color="auto"/>
        <w:right w:val="none" w:sz="0" w:space="0" w:color="auto"/>
      </w:divBdr>
    </w:div>
    <w:div w:id="1319963353">
      <w:bodyDiv w:val="1"/>
      <w:marLeft w:val="0"/>
      <w:marRight w:val="0"/>
      <w:marTop w:val="0"/>
      <w:marBottom w:val="0"/>
      <w:divBdr>
        <w:top w:val="none" w:sz="0" w:space="0" w:color="auto"/>
        <w:left w:val="none" w:sz="0" w:space="0" w:color="auto"/>
        <w:bottom w:val="none" w:sz="0" w:space="0" w:color="auto"/>
        <w:right w:val="none" w:sz="0" w:space="0" w:color="auto"/>
      </w:divBdr>
    </w:div>
    <w:div w:id="1330134031">
      <w:bodyDiv w:val="1"/>
      <w:marLeft w:val="0"/>
      <w:marRight w:val="0"/>
      <w:marTop w:val="0"/>
      <w:marBottom w:val="0"/>
      <w:divBdr>
        <w:top w:val="none" w:sz="0" w:space="0" w:color="auto"/>
        <w:left w:val="none" w:sz="0" w:space="0" w:color="auto"/>
        <w:bottom w:val="none" w:sz="0" w:space="0" w:color="auto"/>
        <w:right w:val="none" w:sz="0" w:space="0" w:color="auto"/>
      </w:divBdr>
    </w:div>
    <w:div w:id="1330135402">
      <w:bodyDiv w:val="1"/>
      <w:marLeft w:val="0"/>
      <w:marRight w:val="0"/>
      <w:marTop w:val="0"/>
      <w:marBottom w:val="0"/>
      <w:divBdr>
        <w:top w:val="none" w:sz="0" w:space="0" w:color="auto"/>
        <w:left w:val="none" w:sz="0" w:space="0" w:color="auto"/>
        <w:bottom w:val="none" w:sz="0" w:space="0" w:color="auto"/>
        <w:right w:val="none" w:sz="0" w:space="0" w:color="auto"/>
      </w:divBdr>
    </w:div>
    <w:div w:id="1382705781">
      <w:bodyDiv w:val="1"/>
      <w:marLeft w:val="0"/>
      <w:marRight w:val="0"/>
      <w:marTop w:val="0"/>
      <w:marBottom w:val="0"/>
      <w:divBdr>
        <w:top w:val="none" w:sz="0" w:space="0" w:color="auto"/>
        <w:left w:val="none" w:sz="0" w:space="0" w:color="auto"/>
        <w:bottom w:val="none" w:sz="0" w:space="0" w:color="auto"/>
        <w:right w:val="none" w:sz="0" w:space="0" w:color="auto"/>
      </w:divBdr>
    </w:div>
    <w:div w:id="1384603249">
      <w:bodyDiv w:val="1"/>
      <w:marLeft w:val="0"/>
      <w:marRight w:val="0"/>
      <w:marTop w:val="0"/>
      <w:marBottom w:val="0"/>
      <w:divBdr>
        <w:top w:val="none" w:sz="0" w:space="0" w:color="auto"/>
        <w:left w:val="none" w:sz="0" w:space="0" w:color="auto"/>
        <w:bottom w:val="none" w:sz="0" w:space="0" w:color="auto"/>
        <w:right w:val="none" w:sz="0" w:space="0" w:color="auto"/>
      </w:divBdr>
    </w:div>
    <w:div w:id="1386878098">
      <w:bodyDiv w:val="1"/>
      <w:marLeft w:val="0"/>
      <w:marRight w:val="0"/>
      <w:marTop w:val="0"/>
      <w:marBottom w:val="0"/>
      <w:divBdr>
        <w:top w:val="none" w:sz="0" w:space="0" w:color="auto"/>
        <w:left w:val="none" w:sz="0" w:space="0" w:color="auto"/>
        <w:bottom w:val="none" w:sz="0" w:space="0" w:color="auto"/>
        <w:right w:val="none" w:sz="0" w:space="0" w:color="auto"/>
      </w:divBdr>
    </w:div>
    <w:div w:id="1653606179">
      <w:bodyDiv w:val="1"/>
      <w:marLeft w:val="0"/>
      <w:marRight w:val="0"/>
      <w:marTop w:val="0"/>
      <w:marBottom w:val="0"/>
      <w:divBdr>
        <w:top w:val="none" w:sz="0" w:space="0" w:color="auto"/>
        <w:left w:val="none" w:sz="0" w:space="0" w:color="auto"/>
        <w:bottom w:val="none" w:sz="0" w:space="0" w:color="auto"/>
        <w:right w:val="none" w:sz="0" w:space="0" w:color="auto"/>
      </w:divBdr>
    </w:div>
    <w:div w:id="1668170661">
      <w:bodyDiv w:val="1"/>
      <w:marLeft w:val="0"/>
      <w:marRight w:val="0"/>
      <w:marTop w:val="0"/>
      <w:marBottom w:val="0"/>
      <w:divBdr>
        <w:top w:val="none" w:sz="0" w:space="0" w:color="auto"/>
        <w:left w:val="none" w:sz="0" w:space="0" w:color="auto"/>
        <w:bottom w:val="none" w:sz="0" w:space="0" w:color="auto"/>
        <w:right w:val="none" w:sz="0" w:space="0" w:color="auto"/>
      </w:divBdr>
    </w:div>
    <w:div w:id="1704138647">
      <w:bodyDiv w:val="1"/>
      <w:marLeft w:val="0"/>
      <w:marRight w:val="0"/>
      <w:marTop w:val="0"/>
      <w:marBottom w:val="0"/>
      <w:divBdr>
        <w:top w:val="none" w:sz="0" w:space="0" w:color="auto"/>
        <w:left w:val="none" w:sz="0" w:space="0" w:color="auto"/>
        <w:bottom w:val="none" w:sz="0" w:space="0" w:color="auto"/>
        <w:right w:val="none" w:sz="0" w:space="0" w:color="auto"/>
      </w:divBdr>
    </w:div>
    <w:div w:id="1911118504">
      <w:bodyDiv w:val="1"/>
      <w:marLeft w:val="0"/>
      <w:marRight w:val="0"/>
      <w:marTop w:val="0"/>
      <w:marBottom w:val="0"/>
      <w:divBdr>
        <w:top w:val="none" w:sz="0" w:space="0" w:color="auto"/>
        <w:left w:val="none" w:sz="0" w:space="0" w:color="auto"/>
        <w:bottom w:val="none" w:sz="0" w:space="0" w:color="auto"/>
        <w:right w:val="none" w:sz="0" w:space="0" w:color="auto"/>
      </w:divBdr>
    </w:div>
    <w:div w:id="1998264723">
      <w:bodyDiv w:val="1"/>
      <w:marLeft w:val="0"/>
      <w:marRight w:val="0"/>
      <w:marTop w:val="0"/>
      <w:marBottom w:val="0"/>
      <w:divBdr>
        <w:top w:val="none" w:sz="0" w:space="0" w:color="auto"/>
        <w:left w:val="none" w:sz="0" w:space="0" w:color="auto"/>
        <w:bottom w:val="none" w:sz="0" w:space="0" w:color="auto"/>
        <w:right w:val="none" w:sz="0" w:space="0" w:color="auto"/>
      </w:divBdr>
    </w:div>
    <w:div w:id="2030445706">
      <w:bodyDiv w:val="1"/>
      <w:marLeft w:val="0"/>
      <w:marRight w:val="0"/>
      <w:marTop w:val="0"/>
      <w:marBottom w:val="0"/>
      <w:divBdr>
        <w:top w:val="none" w:sz="0" w:space="0" w:color="auto"/>
        <w:left w:val="none" w:sz="0" w:space="0" w:color="auto"/>
        <w:bottom w:val="none" w:sz="0" w:space="0" w:color="auto"/>
        <w:right w:val="none" w:sz="0" w:space="0" w:color="auto"/>
      </w:divBdr>
    </w:div>
    <w:div w:id="2041316833">
      <w:bodyDiv w:val="1"/>
      <w:marLeft w:val="0"/>
      <w:marRight w:val="0"/>
      <w:marTop w:val="0"/>
      <w:marBottom w:val="0"/>
      <w:divBdr>
        <w:top w:val="none" w:sz="0" w:space="0" w:color="auto"/>
        <w:left w:val="none" w:sz="0" w:space="0" w:color="auto"/>
        <w:bottom w:val="none" w:sz="0" w:space="0" w:color="auto"/>
        <w:right w:val="none" w:sz="0" w:space="0" w:color="auto"/>
      </w:divBdr>
    </w:div>
    <w:div w:id="2061705115">
      <w:bodyDiv w:val="1"/>
      <w:marLeft w:val="0"/>
      <w:marRight w:val="0"/>
      <w:marTop w:val="0"/>
      <w:marBottom w:val="0"/>
      <w:divBdr>
        <w:top w:val="none" w:sz="0" w:space="0" w:color="auto"/>
        <w:left w:val="none" w:sz="0" w:space="0" w:color="auto"/>
        <w:bottom w:val="none" w:sz="0" w:space="0" w:color="auto"/>
        <w:right w:val="none" w:sz="0" w:space="0" w:color="auto"/>
      </w:divBdr>
    </w:div>
    <w:div w:id="2129659129">
      <w:bodyDiv w:val="1"/>
      <w:marLeft w:val="0"/>
      <w:marRight w:val="0"/>
      <w:marTop w:val="0"/>
      <w:marBottom w:val="0"/>
      <w:divBdr>
        <w:top w:val="none" w:sz="0" w:space="0" w:color="auto"/>
        <w:left w:val="none" w:sz="0" w:space="0" w:color="auto"/>
        <w:bottom w:val="none" w:sz="0" w:space="0" w:color="auto"/>
        <w:right w:val="none" w:sz="0" w:space="0" w:color="auto"/>
      </w:divBdr>
    </w:div>
    <w:div w:id="214376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7.wmf"/><Relationship Id="rId42" Type="http://schemas.openxmlformats.org/officeDocument/2006/relationships/image" Target="media/image16.wmf"/><Relationship Id="rId47" Type="http://schemas.openxmlformats.org/officeDocument/2006/relationships/chart" Target="charts/chart2.xml"/><Relationship Id="rId63" Type="http://schemas.openxmlformats.org/officeDocument/2006/relationships/chart" Target="charts/chart6.xm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image" Target="media/image15.wmf"/><Relationship Id="rId45" Type="http://schemas.openxmlformats.org/officeDocument/2006/relationships/oleObject" Target="embeddings/oleObject20.bin"/><Relationship Id="rId53" Type="http://schemas.openxmlformats.org/officeDocument/2006/relationships/oleObject" Target="embeddings/oleObject23.bin"/><Relationship Id="rId58" Type="http://schemas.openxmlformats.org/officeDocument/2006/relationships/oleObject" Target="embeddings/oleObject26.bin"/><Relationship Id="rId66" Type="http://schemas.openxmlformats.org/officeDocument/2006/relationships/chart" Target="charts/chart9.xml"/><Relationship Id="rId5" Type="http://schemas.openxmlformats.org/officeDocument/2006/relationships/settings" Target="settings.xml"/><Relationship Id="rId61" Type="http://schemas.openxmlformats.org/officeDocument/2006/relationships/chart" Target="charts/chart4.xml"/><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image" Target="media/image11.wmf"/><Relationship Id="rId35" Type="http://schemas.openxmlformats.org/officeDocument/2006/relationships/image" Target="media/image13.wmf"/><Relationship Id="rId43" Type="http://schemas.openxmlformats.org/officeDocument/2006/relationships/oleObject" Target="embeddings/oleObject19.bin"/><Relationship Id="rId48" Type="http://schemas.openxmlformats.org/officeDocument/2006/relationships/chart" Target="charts/chart3.xml"/><Relationship Id="rId56" Type="http://schemas.openxmlformats.org/officeDocument/2006/relationships/oleObject" Target="embeddings/oleObject25.bin"/><Relationship Id="rId64" Type="http://schemas.openxmlformats.org/officeDocument/2006/relationships/chart" Target="charts/chart7.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2.bin"/><Relationship Id="rId3" Type="http://schemas.openxmlformats.org/officeDocument/2006/relationships/numbering" Target="numbering.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2.wmf"/><Relationship Id="rId38" Type="http://schemas.openxmlformats.org/officeDocument/2006/relationships/image" Target="media/image14.wmf"/><Relationship Id="rId46" Type="http://schemas.openxmlformats.org/officeDocument/2006/relationships/chart" Target="charts/chart1.xml"/><Relationship Id="rId59" Type="http://schemas.openxmlformats.org/officeDocument/2006/relationships/image" Target="media/image22.wmf"/><Relationship Id="rId67" Type="http://schemas.openxmlformats.org/officeDocument/2006/relationships/footer" Target="footer1.xml"/><Relationship Id="rId20" Type="http://schemas.openxmlformats.org/officeDocument/2006/relationships/oleObject" Target="embeddings/oleObject6.bin"/><Relationship Id="rId41" Type="http://schemas.openxmlformats.org/officeDocument/2006/relationships/oleObject" Target="embeddings/oleObject18.bin"/><Relationship Id="rId54" Type="http://schemas.openxmlformats.org/officeDocument/2006/relationships/image" Target="media/image20.wmf"/><Relationship Id="rId62"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oleObject" Target="embeddings/oleObject15.bin"/><Relationship Id="rId49" Type="http://schemas.openxmlformats.org/officeDocument/2006/relationships/image" Target="media/image18.wmf"/><Relationship Id="rId57" Type="http://schemas.openxmlformats.org/officeDocument/2006/relationships/image" Target="media/image21.wmf"/><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7.wmf"/><Relationship Id="rId52" Type="http://schemas.openxmlformats.org/officeDocument/2006/relationships/image" Target="media/image19.wmf"/><Relationship Id="rId60" Type="http://schemas.openxmlformats.org/officeDocument/2006/relationships/oleObject" Target="embeddings/oleObject27.bin"/><Relationship Id="rId65" Type="http://schemas.openxmlformats.org/officeDocument/2006/relationships/chart" Target="charts/chart8.xml"/><Relationship Id="rId4" Type="http://schemas.openxmlformats.org/officeDocument/2006/relationships/styles" Target="style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7.bin"/><Relationship Id="rId34" Type="http://schemas.openxmlformats.org/officeDocument/2006/relationships/oleObject" Target="embeddings/oleObject14.bin"/><Relationship Id="rId50" Type="http://schemas.openxmlformats.org/officeDocument/2006/relationships/oleObject" Target="embeddings/oleObject21.bin"/><Relationship Id="rId55" Type="http://schemas.openxmlformats.org/officeDocument/2006/relationships/oleObject" Target="embeddings/oleObject24.bin"/></Relationships>
</file>

<file path=word/charts/_rels/chart1.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eodor\Desktop\New%20Microsoft%20Excel%20Worksheet%20(3).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a:effectLst/>
              </a:rPr>
              <a:t>Load Vs. Deflection </a:t>
            </a:r>
            <a:r>
              <a:rPr lang="en-US" sz="1600" baseline="0">
                <a:effectLst/>
              </a:rPr>
              <a:t>of Brass </a:t>
            </a:r>
            <a:r>
              <a:rPr lang="en-US" sz="1600">
                <a:effectLst/>
              </a:rPr>
              <a:t>at Mid-Span </a:t>
            </a:r>
            <a:endParaRPr lang="en-CA"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Theoretical</c:v>
          </c:tx>
          <c:spPr>
            <a:ln w="28575" cap="rnd">
              <a:solidFill>
                <a:schemeClr val="accent2"/>
              </a:solidFill>
              <a:round/>
            </a:ln>
            <a:effectLst/>
          </c:spPr>
          <c:marker>
            <c:symbol val="none"/>
          </c:marker>
          <c:cat>
            <c:strRef>
              <c:f>Sheet2!$A$14:$A$18</c:f>
              <c:strCache>
                <c:ptCount val="5"/>
                <c:pt idx="0">
                  <c:v>200 N</c:v>
                </c:pt>
                <c:pt idx="1">
                  <c:v>400 N</c:v>
                </c:pt>
                <c:pt idx="2">
                  <c:v>600 N</c:v>
                </c:pt>
                <c:pt idx="3">
                  <c:v>800 N</c:v>
                </c:pt>
                <c:pt idx="4">
                  <c:v>1000 N</c:v>
                </c:pt>
              </c:strCache>
            </c:strRef>
          </c:cat>
          <c:val>
            <c:numRef>
              <c:f>Sheet2!$B$14:$B$18</c:f>
              <c:numCache>
                <c:formatCode>0.000</c:formatCode>
                <c:ptCount val="5"/>
                <c:pt idx="0">
                  <c:v>-1.1292904498153744</c:v>
                </c:pt>
                <c:pt idx="1">
                  <c:v>-2.2585808996307488</c:v>
                </c:pt>
                <c:pt idx="2">
                  <c:v>-3.3878713494461232</c:v>
                </c:pt>
                <c:pt idx="3">
                  <c:v>-4.5171617992614976</c:v>
                </c:pt>
                <c:pt idx="4">
                  <c:v>-5.646452249076872</c:v>
                </c:pt>
              </c:numCache>
            </c:numRef>
          </c:val>
          <c:smooth val="0"/>
        </c:ser>
        <c:ser>
          <c:idx val="2"/>
          <c:order val="1"/>
          <c:tx>
            <c:v>Experimental</c:v>
          </c:tx>
          <c:spPr>
            <a:ln w="28575" cap="rnd">
              <a:solidFill>
                <a:schemeClr val="accent3"/>
              </a:solidFill>
              <a:round/>
            </a:ln>
            <a:effectLst/>
          </c:spPr>
          <c:marker>
            <c:symbol val="none"/>
          </c:marker>
          <c:cat>
            <c:strRef>
              <c:f>Sheet2!$A$14:$A$18</c:f>
              <c:strCache>
                <c:ptCount val="5"/>
                <c:pt idx="0">
                  <c:v>200 N</c:v>
                </c:pt>
                <c:pt idx="1">
                  <c:v>400 N</c:v>
                </c:pt>
                <c:pt idx="2">
                  <c:v>600 N</c:v>
                </c:pt>
                <c:pt idx="3">
                  <c:v>800 N</c:v>
                </c:pt>
                <c:pt idx="4">
                  <c:v>1000 N</c:v>
                </c:pt>
              </c:strCache>
            </c:strRef>
          </c:cat>
          <c:val>
            <c:numRef>
              <c:f>Sheet2!$B$4:$B$8</c:f>
              <c:numCache>
                <c:formatCode>General</c:formatCode>
                <c:ptCount val="5"/>
                <c:pt idx="0">
                  <c:v>-1.35</c:v>
                </c:pt>
                <c:pt idx="1">
                  <c:v>-2.95</c:v>
                </c:pt>
                <c:pt idx="2">
                  <c:v>-4.57</c:v>
                </c:pt>
                <c:pt idx="3">
                  <c:v>-6.25</c:v>
                </c:pt>
                <c:pt idx="4">
                  <c:v>-7.97</c:v>
                </c:pt>
              </c:numCache>
            </c:numRef>
          </c:val>
          <c:smooth val="0"/>
        </c:ser>
        <c:dLbls>
          <c:showLegendKey val="0"/>
          <c:showVal val="0"/>
          <c:showCatName val="0"/>
          <c:showSerName val="0"/>
          <c:showPercent val="0"/>
          <c:showBubbleSize val="0"/>
        </c:dLbls>
        <c:hiLowLines>
          <c:spPr>
            <a:ln w="9525" cap="flat" cmpd="sng" algn="ctr">
              <a:noFill/>
              <a:round/>
            </a:ln>
            <a:effectLst/>
          </c:spPr>
        </c:hiLowLines>
        <c:smooth val="0"/>
        <c:axId val="-1667466320"/>
        <c:axId val="-1667465776"/>
      </c:lineChart>
      <c:catAx>
        <c:axId val="-16674663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465776"/>
        <c:crosses val="autoZero"/>
        <c:auto val="1"/>
        <c:lblAlgn val="ctr"/>
        <c:lblOffset val="100"/>
        <c:noMultiLvlLbl val="0"/>
      </c:catAx>
      <c:valAx>
        <c:axId val="-166746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4663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Load Vs. Deflection of Steel at Mid-Span </a:t>
            </a:r>
            <a:endParaRPr lang="en-CA"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Theoretical</c:v>
          </c:tx>
          <c:spPr>
            <a:ln w="28575" cap="rnd">
              <a:solidFill>
                <a:schemeClr val="accent1"/>
              </a:solidFill>
              <a:round/>
            </a:ln>
            <a:effectLst/>
          </c:spPr>
          <c:marker>
            <c:symbol val="none"/>
          </c:marker>
          <c:cat>
            <c:strRef>
              <c:f>Sheet2!$A$14:$A$18</c:f>
              <c:strCache>
                <c:ptCount val="5"/>
                <c:pt idx="0">
                  <c:v>200 N</c:v>
                </c:pt>
                <c:pt idx="1">
                  <c:v>400 N</c:v>
                </c:pt>
                <c:pt idx="2">
                  <c:v>600 N</c:v>
                </c:pt>
                <c:pt idx="3">
                  <c:v>800 N</c:v>
                </c:pt>
                <c:pt idx="4">
                  <c:v>1000 N</c:v>
                </c:pt>
              </c:strCache>
            </c:strRef>
          </c:cat>
          <c:val>
            <c:numRef>
              <c:f>Sheet2!$D$14:$D$18</c:f>
              <c:numCache>
                <c:formatCode>0.000</c:formatCode>
                <c:ptCount val="5"/>
                <c:pt idx="0">
                  <c:v>-0.58931666041041064</c:v>
                </c:pt>
                <c:pt idx="1">
                  <c:v>-1.1786333208208213</c:v>
                </c:pt>
                <c:pt idx="2">
                  <c:v>-1.7679499812312314</c:v>
                </c:pt>
                <c:pt idx="3">
                  <c:v>-2.3572666416416426</c:v>
                </c:pt>
                <c:pt idx="4">
                  <c:v>-2.9465833020520527</c:v>
                </c:pt>
              </c:numCache>
            </c:numRef>
          </c:val>
          <c:smooth val="0"/>
        </c:ser>
        <c:ser>
          <c:idx val="1"/>
          <c:order val="1"/>
          <c:tx>
            <c:v>Experimental</c:v>
          </c:tx>
          <c:spPr>
            <a:ln w="28575" cap="rnd">
              <a:solidFill>
                <a:schemeClr val="accent2"/>
              </a:solidFill>
              <a:round/>
            </a:ln>
            <a:effectLst/>
          </c:spPr>
          <c:marker>
            <c:symbol val="none"/>
          </c:marker>
          <c:val>
            <c:numRef>
              <c:f>Sheet2!$D$4:$D$8</c:f>
              <c:numCache>
                <c:formatCode>General</c:formatCode>
                <c:ptCount val="5"/>
                <c:pt idx="0">
                  <c:v>-0.65</c:v>
                </c:pt>
                <c:pt idx="1">
                  <c:v>-1.28</c:v>
                </c:pt>
                <c:pt idx="2">
                  <c:v>-1.95</c:v>
                </c:pt>
                <c:pt idx="3">
                  <c:v>-2.66</c:v>
                </c:pt>
                <c:pt idx="4">
                  <c:v>-3.42</c:v>
                </c:pt>
              </c:numCache>
            </c:numRef>
          </c:val>
          <c:smooth val="0"/>
        </c:ser>
        <c:dLbls>
          <c:showLegendKey val="0"/>
          <c:showVal val="0"/>
          <c:showCatName val="0"/>
          <c:showSerName val="0"/>
          <c:showPercent val="0"/>
          <c:showBubbleSize val="0"/>
        </c:dLbls>
        <c:hiLowLines>
          <c:spPr>
            <a:ln w="9525" cap="flat" cmpd="sng" algn="ctr">
              <a:noFill/>
              <a:round/>
            </a:ln>
            <a:effectLst/>
          </c:spPr>
        </c:hiLowLines>
        <c:smooth val="0"/>
        <c:axId val="-1667469040"/>
        <c:axId val="-1667464688"/>
      </c:lineChart>
      <c:catAx>
        <c:axId val="-1667469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Load (N)</a:t>
                </a:r>
              </a:p>
              <a:p>
                <a:pPr>
                  <a:defRPr/>
                </a:pP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464688"/>
        <c:crosses val="autoZero"/>
        <c:auto val="1"/>
        <c:lblAlgn val="ctr"/>
        <c:lblOffset val="100"/>
        <c:noMultiLvlLbl val="0"/>
      </c:catAx>
      <c:valAx>
        <c:axId val="-1667464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50" b="0" i="0" baseline="0">
                    <a:effectLst/>
                  </a:rPr>
                  <a:t>Deflection (mm)</a:t>
                </a:r>
                <a:endParaRPr lang="en-CA" sz="5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4690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400" b="0" i="0" baseline="0">
                <a:effectLst/>
              </a:rPr>
              <a:t>Load Vs. Deflection of Aluminum at Mid-Span </a:t>
            </a:r>
            <a:endParaRPr lang="en-CA" sz="1100">
              <a:effectLst/>
            </a:endParaRP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Theoretical</c:v>
          </c:tx>
          <c:spPr>
            <a:ln w="28575" cap="rnd">
              <a:solidFill>
                <a:schemeClr val="accent1"/>
              </a:solidFill>
              <a:round/>
            </a:ln>
            <a:effectLst/>
          </c:spPr>
          <c:marker>
            <c:symbol val="none"/>
          </c:marker>
          <c:cat>
            <c:strRef>
              <c:f>Sheet2!$A$14:$A$18</c:f>
              <c:strCache>
                <c:ptCount val="5"/>
                <c:pt idx="0">
                  <c:v>200 N</c:v>
                </c:pt>
                <c:pt idx="1">
                  <c:v>400 N</c:v>
                </c:pt>
                <c:pt idx="2">
                  <c:v>600 N</c:v>
                </c:pt>
                <c:pt idx="3">
                  <c:v>800 N</c:v>
                </c:pt>
                <c:pt idx="4">
                  <c:v>1000 N</c:v>
                </c:pt>
              </c:strCache>
            </c:strRef>
          </c:cat>
          <c:val>
            <c:numRef>
              <c:f>Sheet2!$F$14:$F$18</c:f>
              <c:numCache>
                <c:formatCode>0.00</c:formatCode>
                <c:ptCount val="5"/>
                <c:pt idx="0">
                  <c:v>-1.6737095771144284</c:v>
                </c:pt>
                <c:pt idx="1">
                  <c:v>-3.3474191542288567</c:v>
                </c:pt>
                <c:pt idx="2">
                  <c:v>-5.0211287313432846</c:v>
                </c:pt>
                <c:pt idx="3">
                  <c:v>-6.6948383084577134</c:v>
                </c:pt>
                <c:pt idx="4">
                  <c:v>-8.3685478855721396</c:v>
                </c:pt>
              </c:numCache>
            </c:numRef>
          </c:val>
          <c:smooth val="0"/>
        </c:ser>
        <c:ser>
          <c:idx val="1"/>
          <c:order val="1"/>
          <c:tx>
            <c:v>Experimental</c:v>
          </c:tx>
          <c:spPr>
            <a:ln w="28575" cap="rnd">
              <a:solidFill>
                <a:schemeClr val="accent2"/>
              </a:solidFill>
              <a:round/>
            </a:ln>
            <a:effectLst/>
          </c:spPr>
          <c:marker>
            <c:symbol val="none"/>
          </c:marker>
          <c:val>
            <c:numRef>
              <c:f>Sheet2!$F$4:$F$8</c:f>
              <c:numCache>
                <c:formatCode>General</c:formatCode>
                <c:ptCount val="5"/>
                <c:pt idx="0">
                  <c:v>-1.74</c:v>
                </c:pt>
                <c:pt idx="1">
                  <c:v>-3.68</c:v>
                </c:pt>
                <c:pt idx="2">
                  <c:v>-5.6</c:v>
                </c:pt>
                <c:pt idx="3">
                  <c:v>-7.52</c:v>
                </c:pt>
                <c:pt idx="4">
                  <c:v>-9.4700000000000006</c:v>
                </c:pt>
              </c:numCache>
            </c:numRef>
          </c:val>
          <c:smooth val="0"/>
        </c:ser>
        <c:dLbls>
          <c:showLegendKey val="0"/>
          <c:showVal val="0"/>
          <c:showCatName val="0"/>
          <c:showSerName val="0"/>
          <c:showPercent val="0"/>
          <c:showBubbleSize val="0"/>
        </c:dLbls>
        <c:hiLowLines>
          <c:spPr>
            <a:ln w="9525" cap="flat" cmpd="sng" algn="ctr">
              <a:noFill/>
              <a:round/>
            </a:ln>
            <a:effectLst/>
          </c:spPr>
        </c:hiLowLines>
        <c:smooth val="0"/>
        <c:axId val="-1668241280"/>
        <c:axId val="-1668240736"/>
      </c:lineChart>
      <c:catAx>
        <c:axId val="-1668241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200" b="0" i="0" baseline="0">
                    <a:effectLst/>
                  </a:rPr>
                  <a:t>Load (N)</a:t>
                </a:r>
                <a:endParaRPr lang="en-CA" sz="7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240736"/>
        <c:crosses val="autoZero"/>
        <c:auto val="1"/>
        <c:lblAlgn val="ctr"/>
        <c:lblOffset val="100"/>
        <c:noMultiLvlLbl val="0"/>
      </c:catAx>
      <c:valAx>
        <c:axId val="-1668240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100" b="0" i="0" baseline="0">
                    <a:effectLst/>
                  </a:rPr>
                  <a:t>Deflection (mm)</a:t>
                </a:r>
                <a:endParaRPr lang="en-CA" sz="6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2412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a:effectLst/>
              </a:rPr>
              <a:t>Load Vs. Deflection </a:t>
            </a:r>
            <a:r>
              <a:rPr lang="en-US" sz="1400" baseline="0">
                <a:effectLst/>
              </a:rPr>
              <a:t>of Cantilever </a:t>
            </a:r>
            <a:r>
              <a:rPr lang="en-US" sz="1400">
                <a:effectLst/>
              </a:rPr>
              <a:t>at x = L of Brass</a:t>
            </a:r>
            <a:endParaRPr lang="en-CA"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Sheet1!$K$17:$K$21</c:f>
              <c:numCache>
                <c:formatCode>General</c:formatCode>
                <c:ptCount val="5"/>
                <c:pt idx="0">
                  <c:v>100</c:v>
                </c:pt>
                <c:pt idx="1">
                  <c:v>200</c:v>
                </c:pt>
                <c:pt idx="2">
                  <c:v>300</c:v>
                </c:pt>
                <c:pt idx="3">
                  <c:v>400</c:v>
                </c:pt>
                <c:pt idx="4">
                  <c:v>500</c:v>
                </c:pt>
              </c:numCache>
            </c:numRef>
          </c:cat>
          <c:val>
            <c:numRef>
              <c:f>Sheet1!$N$17:$N$21</c:f>
              <c:numCache>
                <c:formatCode>General</c:formatCode>
                <c:ptCount val="5"/>
                <c:pt idx="0">
                  <c:v>-1.26</c:v>
                </c:pt>
                <c:pt idx="1">
                  <c:v>-2.42</c:v>
                </c:pt>
                <c:pt idx="2">
                  <c:v>-3.59</c:v>
                </c:pt>
                <c:pt idx="3">
                  <c:v>-4.7699999999999996</c:v>
                </c:pt>
                <c:pt idx="4">
                  <c:v>-5.83</c:v>
                </c:pt>
              </c:numCache>
            </c:numRef>
          </c:val>
          <c:smooth val="0"/>
        </c:ser>
        <c:ser>
          <c:idx val="1"/>
          <c:order val="1"/>
          <c:tx>
            <c:v>Theoretical</c:v>
          </c:tx>
          <c:spPr>
            <a:ln w="28575" cap="rnd">
              <a:solidFill>
                <a:schemeClr val="accent2"/>
              </a:solidFill>
              <a:round/>
            </a:ln>
            <a:effectLst/>
          </c:spPr>
          <c:marker>
            <c:symbol val="none"/>
          </c:marker>
          <c:cat>
            <c:numRef>
              <c:f>Sheet1!$K$17:$K$21</c:f>
              <c:numCache>
                <c:formatCode>General</c:formatCode>
                <c:ptCount val="5"/>
                <c:pt idx="0">
                  <c:v>100</c:v>
                </c:pt>
                <c:pt idx="1">
                  <c:v>200</c:v>
                </c:pt>
                <c:pt idx="2">
                  <c:v>300</c:v>
                </c:pt>
                <c:pt idx="3">
                  <c:v>400</c:v>
                </c:pt>
                <c:pt idx="4">
                  <c:v>500</c:v>
                </c:pt>
              </c:numCache>
            </c:numRef>
          </c:cat>
          <c:val>
            <c:numRef>
              <c:f>Sheet1!$P$17:$P$21</c:f>
              <c:numCache>
                <c:formatCode>0.000</c:formatCode>
                <c:ptCount val="5"/>
                <c:pt idx="0">
                  <c:v>-0.88690222789839646</c:v>
                </c:pt>
                <c:pt idx="1">
                  <c:v>-1.7738044557967929</c:v>
                </c:pt>
                <c:pt idx="2">
                  <c:v>-2.6607066836951896</c:v>
                </c:pt>
                <c:pt idx="3">
                  <c:v>-3.5476089115935858</c:v>
                </c:pt>
                <c:pt idx="4">
                  <c:v>-4.4435611622256408</c:v>
                </c:pt>
              </c:numCache>
            </c:numRef>
          </c:val>
          <c:smooth val="0"/>
        </c:ser>
        <c:dLbls>
          <c:showLegendKey val="0"/>
          <c:showVal val="0"/>
          <c:showCatName val="0"/>
          <c:showSerName val="0"/>
          <c:showPercent val="0"/>
          <c:showBubbleSize val="0"/>
        </c:dLbls>
        <c:smooth val="0"/>
        <c:axId val="-1668243456"/>
        <c:axId val="-1668238560"/>
      </c:lineChart>
      <c:catAx>
        <c:axId val="-1668243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238560"/>
        <c:crosses val="autoZero"/>
        <c:auto val="1"/>
        <c:lblAlgn val="ctr"/>
        <c:lblOffset val="100"/>
        <c:noMultiLvlLbl val="0"/>
      </c:catAx>
      <c:valAx>
        <c:axId val="-1668238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2434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Load Vs. Deflection of Cantilever at x = L/2</a:t>
            </a:r>
          </a:p>
          <a:p>
            <a:pPr>
              <a:defRPr/>
            </a:pPr>
            <a:r>
              <a:rPr lang="en-US" sz="1400" b="0" i="0" baseline="0">
                <a:effectLst/>
              </a:rPr>
              <a:t> of Brass</a:t>
            </a:r>
            <a:endParaRPr lang="en-CA"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Sheet1!$K$17:$K$21</c:f>
              <c:numCache>
                <c:formatCode>General</c:formatCode>
                <c:ptCount val="5"/>
                <c:pt idx="0">
                  <c:v>100</c:v>
                </c:pt>
                <c:pt idx="1">
                  <c:v>200</c:v>
                </c:pt>
                <c:pt idx="2">
                  <c:v>300</c:v>
                </c:pt>
                <c:pt idx="3">
                  <c:v>400</c:v>
                </c:pt>
                <c:pt idx="4">
                  <c:v>500</c:v>
                </c:pt>
              </c:numCache>
            </c:numRef>
          </c:cat>
          <c:val>
            <c:numRef>
              <c:f>Sheet1!$O$17:$O$21</c:f>
              <c:numCache>
                <c:formatCode>General</c:formatCode>
                <c:ptCount val="5"/>
                <c:pt idx="0">
                  <c:v>-0.42</c:v>
                </c:pt>
                <c:pt idx="1">
                  <c:v>-0.8</c:v>
                </c:pt>
                <c:pt idx="2">
                  <c:v>-1.19</c:v>
                </c:pt>
                <c:pt idx="3">
                  <c:v>-1.58</c:v>
                </c:pt>
                <c:pt idx="4">
                  <c:v>-1.94</c:v>
                </c:pt>
              </c:numCache>
            </c:numRef>
          </c:val>
          <c:smooth val="0"/>
        </c:ser>
        <c:ser>
          <c:idx val="1"/>
          <c:order val="1"/>
          <c:tx>
            <c:v>Theoretical</c:v>
          </c:tx>
          <c:spPr>
            <a:ln w="28575" cap="rnd">
              <a:solidFill>
                <a:schemeClr val="accent2"/>
              </a:solidFill>
              <a:round/>
            </a:ln>
            <a:effectLst/>
          </c:spPr>
          <c:marker>
            <c:symbol val="none"/>
          </c:marker>
          <c:cat>
            <c:numRef>
              <c:f>Sheet1!$K$17:$K$21</c:f>
              <c:numCache>
                <c:formatCode>General</c:formatCode>
                <c:ptCount val="5"/>
                <c:pt idx="0">
                  <c:v>100</c:v>
                </c:pt>
                <c:pt idx="1">
                  <c:v>200</c:v>
                </c:pt>
                <c:pt idx="2">
                  <c:v>300</c:v>
                </c:pt>
                <c:pt idx="3">
                  <c:v>400</c:v>
                </c:pt>
                <c:pt idx="4">
                  <c:v>500</c:v>
                </c:pt>
              </c:numCache>
            </c:numRef>
          </c:cat>
          <c:val>
            <c:numRef>
              <c:f>Sheet1!$Q$17:$Q$21</c:f>
              <c:numCache>
                <c:formatCode>0.000</c:formatCode>
                <c:ptCount val="5"/>
                <c:pt idx="0">
                  <c:v>-0.27715694621824899</c:v>
                </c:pt>
                <c:pt idx="1">
                  <c:v>-0.55431389243649798</c:v>
                </c:pt>
                <c:pt idx="2">
                  <c:v>-0.83147083865474669</c:v>
                </c:pt>
                <c:pt idx="3">
                  <c:v>-1.108627784872996</c:v>
                </c:pt>
                <c:pt idx="4">
                  <c:v>-1.3886128631955126</c:v>
                </c:pt>
              </c:numCache>
            </c:numRef>
          </c:val>
          <c:smooth val="0"/>
        </c:ser>
        <c:dLbls>
          <c:showLegendKey val="0"/>
          <c:showVal val="0"/>
          <c:showCatName val="0"/>
          <c:showSerName val="0"/>
          <c:showPercent val="0"/>
          <c:showBubbleSize val="0"/>
        </c:dLbls>
        <c:smooth val="0"/>
        <c:axId val="-1616998272"/>
        <c:axId val="-1616997728"/>
      </c:lineChart>
      <c:catAx>
        <c:axId val="-1616998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200" b="0" i="0" baseline="0">
                    <a:effectLst/>
                  </a:rPr>
                  <a:t>Load (N)</a:t>
                </a:r>
                <a:endParaRPr lang="en-CA" sz="7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997728"/>
        <c:crosses val="autoZero"/>
        <c:auto val="1"/>
        <c:lblAlgn val="ctr"/>
        <c:lblOffset val="100"/>
        <c:noMultiLvlLbl val="0"/>
      </c:catAx>
      <c:valAx>
        <c:axId val="-1616997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9982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Load Vs. Deflection of Cantilever at x = L of Steel</a:t>
            </a:r>
          </a:p>
        </c:rich>
      </c:tx>
      <c:layout>
        <c:manualLayout>
          <c:xMode val="edge"/>
          <c:yMode val="edge"/>
          <c:x val="0.10825678040244968"/>
          <c:y val="2.7777777777777776E-2"/>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Sheet1!$K$26:$K$30</c:f>
              <c:numCache>
                <c:formatCode>General</c:formatCode>
                <c:ptCount val="5"/>
                <c:pt idx="0">
                  <c:v>100</c:v>
                </c:pt>
                <c:pt idx="1">
                  <c:v>200</c:v>
                </c:pt>
                <c:pt idx="2">
                  <c:v>300</c:v>
                </c:pt>
                <c:pt idx="3">
                  <c:v>400</c:v>
                </c:pt>
                <c:pt idx="4">
                  <c:v>500</c:v>
                </c:pt>
              </c:numCache>
            </c:numRef>
          </c:cat>
          <c:val>
            <c:numRef>
              <c:f>Sheet1!$N$26:$N$30</c:f>
              <c:numCache>
                <c:formatCode>General</c:formatCode>
                <c:ptCount val="5"/>
                <c:pt idx="0">
                  <c:v>-0.61</c:v>
                </c:pt>
                <c:pt idx="1">
                  <c:v>-1.1599999999999999</c:v>
                </c:pt>
                <c:pt idx="2">
                  <c:v>-1.68</c:v>
                </c:pt>
                <c:pt idx="3">
                  <c:v>-2.2400000000000002</c:v>
                </c:pt>
                <c:pt idx="4">
                  <c:v>-2.74</c:v>
                </c:pt>
              </c:numCache>
            </c:numRef>
          </c:val>
          <c:smooth val="0"/>
        </c:ser>
        <c:ser>
          <c:idx val="1"/>
          <c:order val="1"/>
          <c:tx>
            <c:v>Theoretical</c:v>
          </c:tx>
          <c:spPr>
            <a:ln w="28575" cap="rnd">
              <a:solidFill>
                <a:schemeClr val="accent2"/>
              </a:solidFill>
              <a:round/>
            </a:ln>
            <a:effectLst/>
          </c:spPr>
          <c:marker>
            <c:symbol val="none"/>
          </c:marker>
          <c:cat>
            <c:numRef>
              <c:f>Sheet1!$K$26:$K$30</c:f>
              <c:numCache>
                <c:formatCode>General</c:formatCode>
                <c:ptCount val="5"/>
                <c:pt idx="0">
                  <c:v>100</c:v>
                </c:pt>
                <c:pt idx="1">
                  <c:v>200</c:v>
                </c:pt>
                <c:pt idx="2">
                  <c:v>300</c:v>
                </c:pt>
                <c:pt idx="3">
                  <c:v>400</c:v>
                </c:pt>
                <c:pt idx="4">
                  <c:v>500</c:v>
                </c:pt>
              </c:numCache>
            </c:numRef>
          </c:cat>
          <c:val>
            <c:numRef>
              <c:f>Sheet1!$P$26:$P$30</c:f>
              <c:numCache>
                <c:formatCode>0.000</c:formatCode>
                <c:ptCount val="5"/>
                <c:pt idx="0">
                  <c:v>-0.35092725005958603</c:v>
                </c:pt>
                <c:pt idx="1">
                  <c:v>-0.70185450011917205</c:v>
                </c:pt>
                <c:pt idx="2">
                  <c:v>-1.0527817501787582</c:v>
                </c:pt>
                <c:pt idx="3">
                  <c:v>-1.4037090002383441</c:v>
                </c:pt>
                <c:pt idx="4">
                  <c:v>-1.7582171406046605</c:v>
                </c:pt>
              </c:numCache>
            </c:numRef>
          </c:val>
          <c:smooth val="0"/>
        </c:ser>
        <c:dLbls>
          <c:showLegendKey val="0"/>
          <c:showVal val="0"/>
          <c:showCatName val="0"/>
          <c:showSerName val="0"/>
          <c:showPercent val="0"/>
          <c:showBubbleSize val="0"/>
        </c:dLbls>
        <c:smooth val="0"/>
        <c:axId val="-1617000448"/>
        <c:axId val="-1616999904"/>
      </c:lineChart>
      <c:catAx>
        <c:axId val="-1617000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999904"/>
        <c:crosses val="autoZero"/>
        <c:auto val="1"/>
        <c:lblAlgn val="ctr"/>
        <c:lblOffset val="100"/>
        <c:noMultiLvlLbl val="0"/>
      </c:catAx>
      <c:valAx>
        <c:axId val="-1616999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70004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Load Vs. Deflection of Cantilever at x = L/2</a:t>
            </a:r>
            <a:endParaRPr lang="en-CA" sz="1200">
              <a:effectLst/>
            </a:endParaRPr>
          </a:p>
          <a:p>
            <a:pPr>
              <a:defRPr/>
            </a:pPr>
            <a:r>
              <a:rPr lang="en-US" sz="1600" b="0" i="0" baseline="0">
                <a:effectLst/>
              </a:rPr>
              <a:t> of Steel</a:t>
            </a:r>
            <a:endParaRPr lang="en-CA"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Sheet1!$K$26:$K$30</c:f>
              <c:numCache>
                <c:formatCode>General</c:formatCode>
                <c:ptCount val="5"/>
                <c:pt idx="0">
                  <c:v>100</c:v>
                </c:pt>
                <c:pt idx="1">
                  <c:v>200</c:v>
                </c:pt>
                <c:pt idx="2">
                  <c:v>300</c:v>
                </c:pt>
                <c:pt idx="3">
                  <c:v>400</c:v>
                </c:pt>
                <c:pt idx="4">
                  <c:v>500</c:v>
                </c:pt>
              </c:numCache>
            </c:numRef>
          </c:cat>
          <c:val>
            <c:numRef>
              <c:f>Sheet1!$O$26:$O$30</c:f>
              <c:numCache>
                <c:formatCode>General</c:formatCode>
                <c:ptCount val="5"/>
                <c:pt idx="0">
                  <c:v>-0.19</c:v>
                </c:pt>
                <c:pt idx="1">
                  <c:v>-0.37</c:v>
                </c:pt>
                <c:pt idx="2">
                  <c:v>-0.54</c:v>
                </c:pt>
                <c:pt idx="3">
                  <c:v>-0.74</c:v>
                </c:pt>
                <c:pt idx="4">
                  <c:v>-0.92</c:v>
                </c:pt>
              </c:numCache>
            </c:numRef>
          </c:val>
          <c:smooth val="0"/>
        </c:ser>
        <c:ser>
          <c:idx val="1"/>
          <c:order val="1"/>
          <c:tx>
            <c:v>Theoretical</c:v>
          </c:tx>
          <c:spPr>
            <a:ln w="28575" cap="rnd">
              <a:solidFill>
                <a:schemeClr val="accent2"/>
              </a:solidFill>
              <a:round/>
            </a:ln>
            <a:effectLst/>
          </c:spPr>
          <c:marker>
            <c:symbol val="none"/>
          </c:marker>
          <c:cat>
            <c:numRef>
              <c:f>Sheet1!$K$26:$K$30</c:f>
              <c:numCache>
                <c:formatCode>General</c:formatCode>
                <c:ptCount val="5"/>
                <c:pt idx="0">
                  <c:v>100</c:v>
                </c:pt>
                <c:pt idx="1">
                  <c:v>200</c:v>
                </c:pt>
                <c:pt idx="2">
                  <c:v>300</c:v>
                </c:pt>
                <c:pt idx="3">
                  <c:v>400</c:v>
                </c:pt>
                <c:pt idx="4">
                  <c:v>500</c:v>
                </c:pt>
              </c:numCache>
            </c:numRef>
          </c:cat>
          <c:val>
            <c:numRef>
              <c:f>Sheet1!$Q$26:$Q$30</c:f>
              <c:numCache>
                <c:formatCode>0.000</c:formatCode>
                <c:ptCount val="5"/>
                <c:pt idx="0">
                  <c:v>-0.10966476564362063</c:v>
                </c:pt>
                <c:pt idx="1">
                  <c:v>-0.21932953128724125</c:v>
                </c:pt>
                <c:pt idx="2">
                  <c:v>-0.32899429693086191</c:v>
                </c:pt>
                <c:pt idx="3">
                  <c:v>-0.43865906257448251</c:v>
                </c:pt>
                <c:pt idx="4">
                  <c:v>-0.54944285643895641</c:v>
                </c:pt>
              </c:numCache>
            </c:numRef>
          </c:val>
          <c:smooth val="0"/>
        </c:ser>
        <c:dLbls>
          <c:showLegendKey val="0"/>
          <c:showVal val="0"/>
          <c:showCatName val="0"/>
          <c:showSerName val="0"/>
          <c:showPercent val="0"/>
          <c:showBubbleSize val="0"/>
        </c:dLbls>
        <c:smooth val="0"/>
        <c:axId val="-1837240592"/>
        <c:axId val="-1837240048"/>
      </c:lineChart>
      <c:catAx>
        <c:axId val="-1837240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40048"/>
        <c:crosses val="autoZero"/>
        <c:auto val="1"/>
        <c:lblAlgn val="ctr"/>
        <c:lblOffset val="100"/>
        <c:noMultiLvlLbl val="0"/>
      </c:catAx>
      <c:valAx>
        <c:axId val="-1837240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a:t>
                </a:r>
                <a:r>
                  <a:rPr lang="en-CA" baseline="0"/>
                  <a:t> (mm)</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405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Load Vs. Deflection of Cantilever at x = L</a:t>
            </a:r>
            <a:endParaRPr lang="en-CA" sz="1200">
              <a:effectLst/>
            </a:endParaRPr>
          </a:p>
          <a:p>
            <a:pPr>
              <a:defRPr/>
            </a:pPr>
            <a:r>
              <a:rPr lang="en-US" sz="1600" b="0" i="0" baseline="0">
                <a:effectLst/>
              </a:rPr>
              <a:t> of Aluminum</a:t>
            </a:r>
            <a:endParaRPr lang="en-CA"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Sheet1!$K$36:$K$40</c:f>
              <c:numCache>
                <c:formatCode>General</c:formatCode>
                <c:ptCount val="5"/>
                <c:pt idx="0">
                  <c:v>100</c:v>
                </c:pt>
                <c:pt idx="1">
                  <c:v>200</c:v>
                </c:pt>
                <c:pt idx="2">
                  <c:v>300</c:v>
                </c:pt>
                <c:pt idx="3">
                  <c:v>400</c:v>
                </c:pt>
                <c:pt idx="4">
                  <c:v>500</c:v>
                </c:pt>
              </c:numCache>
            </c:numRef>
          </c:cat>
          <c:val>
            <c:numRef>
              <c:f>Sheet1!$N$36:$N$40</c:f>
              <c:numCache>
                <c:formatCode>General</c:formatCode>
                <c:ptCount val="5"/>
                <c:pt idx="0">
                  <c:v>-1.57</c:v>
                </c:pt>
                <c:pt idx="1">
                  <c:v>-2.99</c:v>
                </c:pt>
                <c:pt idx="2">
                  <c:v>-4.42</c:v>
                </c:pt>
                <c:pt idx="3">
                  <c:v>-5.88</c:v>
                </c:pt>
                <c:pt idx="4">
                  <c:v>-7.36</c:v>
                </c:pt>
              </c:numCache>
            </c:numRef>
          </c:val>
          <c:smooth val="0"/>
        </c:ser>
        <c:ser>
          <c:idx val="1"/>
          <c:order val="1"/>
          <c:tx>
            <c:v>Theoretical</c:v>
          </c:tx>
          <c:spPr>
            <a:ln w="28575" cap="rnd">
              <a:solidFill>
                <a:schemeClr val="accent2"/>
              </a:solidFill>
              <a:round/>
            </a:ln>
            <a:effectLst/>
          </c:spPr>
          <c:marker>
            <c:symbol val="none"/>
          </c:marker>
          <c:cat>
            <c:numRef>
              <c:f>Sheet1!$K$36:$K$40</c:f>
              <c:numCache>
                <c:formatCode>General</c:formatCode>
                <c:ptCount val="5"/>
                <c:pt idx="0">
                  <c:v>100</c:v>
                </c:pt>
                <c:pt idx="1">
                  <c:v>200</c:v>
                </c:pt>
                <c:pt idx="2">
                  <c:v>300</c:v>
                </c:pt>
                <c:pt idx="3">
                  <c:v>400</c:v>
                </c:pt>
                <c:pt idx="4">
                  <c:v>500</c:v>
                </c:pt>
              </c:numCache>
            </c:numRef>
          </c:cat>
          <c:val>
            <c:numRef>
              <c:f>Sheet1!$P$36:$P$40</c:f>
              <c:numCache>
                <c:formatCode>0.000</c:formatCode>
                <c:ptCount val="5"/>
                <c:pt idx="0">
                  <c:v>-1.3807359717225272</c:v>
                </c:pt>
                <c:pt idx="1">
                  <c:v>-2.7614719434450543</c:v>
                </c:pt>
                <c:pt idx="2">
                  <c:v>-4.1422079151675817</c:v>
                </c:pt>
                <c:pt idx="3">
                  <c:v>-5.5229438868901086</c:v>
                </c:pt>
                <c:pt idx="4">
                  <c:v>-6.9177690011812336</c:v>
                </c:pt>
              </c:numCache>
            </c:numRef>
          </c:val>
          <c:smooth val="0"/>
        </c:ser>
        <c:dLbls>
          <c:showLegendKey val="0"/>
          <c:showVal val="0"/>
          <c:showCatName val="0"/>
          <c:showSerName val="0"/>
          <c:showPercent val="0"/>
          <c:showBubbleSize val="0"/>
        </c:dLbls>
        <c:smooth val="0"/>
        <c:axId val="-1837242224"/>
        <c:axId val="-1837239504"/>
      </c:lineChart>
      <c:catAx>
        <c:axId val="-183724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39504"/>
        <c:crosses val="autoZero"/>
        <c:auto val="1"/>
        <c:lblAlgn val="ctr"/>
        <c:lblOffset val="100"/>
        <c:noMultiLvlLbl val="0"/>
      </c:catAx>
      <c:valAx>
        <c:axId val="-1837239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42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Load Vs. Deflection of Cantilever at x = L/2</a:t>
            </a:r>
            <a:endParaRPr lang="en-CA" sz="1200">
              <a:effectLst/>
            </a:endParaRPr>
          </a:p>
          <a:p>
            <a:pPr>
              <a:defRPr/>
            </a:pPr>
            <a:r>
              <a:rPr lang="en-US" sz="1600" b="0" i="0" baseline="0">
                <a:effectLst/>
              </a:rPr>
              <a:t> of Aluminum</a:t>
            </a:r>
            <a:endParaRPr lang="en-CA"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Experimental</c:v>
          </c:tx>
          <c:spPr>
            <a:ln w="28575" cap="rnd">
              <a:solidFill>
                <a:schemeClr val="accent1"/>
              </a:solidFill>
              <a:round/>
            </a:ln>
            <a:effectLst/>
          </c:spPr>
          <c:marker>
            <c:symbol val="none"/>
          </c:marker>
          <c:cat>
            <c:numRef>
              <c:f>Sheet1!$K$36:$K$40</c:f>
              <c:numCache>
                <c:formatCode>General</c:formatCode>
                <c:ptCount val="5"/>
                <c:pt idx="0">
                  <c:v>100</c:v>
                </c:pt>
                <c:pt idx="1">
                  <c:v>200</c:v>
                </c:pt>
                <c:pt idx="2">
                  <c:v>300</c:v>
                </c:pt>
                <c:pt idx="3">
                  <c:v>400</c:v>
                </c:pt>
                <c:pt idx="4">
                  <c:v>500</c:v>
                </c:pt>
              </c:numCache>
            </c:numRef>
          </c:cat>
          <c:val>
            <c:numRef>
              <c:f>Sheet1!$O$36:$O$40</c:f>
              <c:numCache>
                <c:formatCode>General</c:formatCode>
                <c:ptCount val="5"/>
                <c:pt idx="0">
                  <c:v>-0.52</c:v>
                </c:pt>
                <c:pt idx="1">
                  <c:v>-0.99</c:v>
                </c:pt>
                <c:pt idx="2">
                  <c:v>-1.46</c:v>
                </c:pt>
                <c:pt idx="3">
                  <c:v>-1.94</c:v>
                </c:pt>
                <c:pt idx="4">
                  <c:v>-2.42</c:v>
                </c:pt>
              </c:numCache>
            </c:numRef>
          </c:val>
          <c:smooth val="0"/>
        </c:ser>
        <c:ser>
          <c:idx val="1"/>
          <c:order val="1"/>
          <c:tx>
            <c:v>Theoretical</c:v>
          </c:tx>
          <c:spPr>
            <a:ln w="28575" cap="rnd">
              <a:solidFill>
                <a:schemeClr val="accent2"/>
              </a:solidFill>
              <a:round/>
            </a:ln>
            <a:effectLst/>
          </c:spPr>
          <c:marker>
            <c:symbol val="none"/>
          </c:marker>
          <c:cat>
            <c:numRef>
              <c:f>Sheet1!$K$36:$K$40</c:f>
              <c:numCache>
                <c:formatCode>General</c:formatCode>
                <c:ptCount val="5"/>
                <c:pt idx="0">
                  <c:v>100</c:v>
                </c:pt>
                <c:pt idx="1">
                  <c:v>200</c:v>
                </c:pt>
                <c:pt idx="2">
                  <c:v>300</c:v>
                </c:pt>
                <c:pt idx="3">
                  <c:v>400</c:v>
                </c:pt>
                <c:pt idx="4">
                  <c:v>500</c:v>
                </c:pt>
              </c:numCache>
            </c:numRef>
          </c:cat>
          <c:val>
            <c:numRef>
              <c:f>Sheet1!$Q$36:$Q$40</c:f>
              <c:numCache>
                <c:formatCode>0.000</c:formatCode>
                <c:ptCount val="5"/>
                <c:pt idx="0">
                  <c:v>-0.43147999116328983</c:v>
                </c:pt>
                <c:pt idx="1">
                  <c:v>-0.86295998232657967</c:v>
                </c:pt>
                <c:pt idx="2">
                  <c:v>-1.2944399734898693</c:v>
                </c:pt>
                <c:pt idx="3">
                  <c:v>-1.7259199646531593</c:v>
                </c:pt>
                <c:pt idx="4">
                  <c:v>-2.1618028128691358</c:v>
                </c:pt>
              </c:numCache>
            </c:numRef>
          </c:val>
          <c:smooth val="0"/>
        </c:ser>
        <c:dLbls>
          <c:showLegendKey val="0"/>
          <c:showVal val="0"/>
          <c:showCatName val="0"/>
          <c:showSerName val="0"/>
          <c:showPercent val="0"/>
          <c:showBubbleSize val="0"/>
        </c:dLbls>
        <c:smooth val="0"/>
        <c:axId val="-1837244400"/>
        <c:axId val="-1837242768"/>
      </c:lineChart>
      <c:catAx>
        <c:axId val="-1837244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42768"/>
        <c:crosses val="autoZero"/>
        <c:auto val="1"/>
        <c:lblAlgn val="ctr"/>
        <c:lblOffset val="100"/>
        <c:noMultiLvlLbl val="0"/>
      </c:catAx>
      <c:valAx>
        <c:axId val="-1837242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2444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2015-03-25T00:00:00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B2AE68-C8EB-40F1-B095-A35DF48D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13</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deflection of beams Lab #5</vt:lpstr>
    </vt:vector>
  </TitlesOfParts>
  <Company>ENGR 244</Company>
  <LinksUpToDate>false</LinksUpToDate>
  <CharactersWithSpaces>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deflection of beams Lab #5</dc:title>
  <dc:subject>Teodor Matusoiu - 27509669</dc:subject>
  <dc:creator/>
  <cp:keywords/>
  <dc:description/>
  <cp:lastModifiedBy>Teodor George</cp:lastModifiedBy>
  <cp:revision>5</cp:revision>
  <dcterms:created xsi:type="dcterms:W3CDTF">2015-03-11T09:42:00Z</dcterms:created>
  <dcterms:modified xsi:type="dcterms:W3CDTF">2015-03-25T10:44:00Z</dcterms:modified>
  <cp:category>Date submitted:  4th February 2015</cp:category>
</cp:coreProperties>
</file>