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138" w:rsidRPr="009366BA" w:rsidRDefault="00480ED0">
      <w:pPr>
        <w:rPr>
          <w:b/>
          <w:sz w:val="32"/>
        </w:rPr>
      </w:pPr>
      <w:r w:rsidRPr="009366BA">
        <w:rPr>
          <w:b/>
          <w:sz w:val="32"/>
        </w:rPr>
        <w:t>Lesson 3 – Informed Consent, Substitute Decision-Making, and the Family Centered Approach</w:t>
      </w:r>
    </w:p>
    <w:p w:rsidR="00480ED0" w:rsidRDefault="00480ED0">
      <w:r>
        <w:rPr>
          <w:noProof/>
          <w:lang w:eastAsia="en-CA"/>
        </w:rPr>
        <w:drawing>
          <wp:inline distT="0" distB="0" distL="0" distR="0" wp14:anchorId="37987FF2" wp14:editId="44385900">
            <wp:extent cx="5943600" cy="2515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515870"/>
                    </a:xfrm>
                    <a:prstGeom prst="rect">
                      <a:avLst/>
                    </a:prstGeom>
                  </pic:spPr>
                </pic:pic>
              </a:graphicData>
            </a:graphic>
          </wp:inline>
        </w:drawing>
      </w:r>
    </w:p>
    <w:p w:rsidR="00480ED0" w:rsidRDefault="00480ED0" w:rsidP="00480ED0">
      <w:pPr>
        <w:pStyle w:val="ListParagraph"/>
        <w:numPr>
          <w:ilvl w:val="0"/>
          <w:numId w:val="1"/>
        </w:numPr>
      </w:pPr>
      <w:r>
        <w:t>It should be noted that a choice might properly require only low/ minimal competence, even though its expected risks exceed its expected benefits or it is more generally a high-risk treatment, because all other available alternatives have substantially worse risk/benefit ratios.</w:t>
      </w:r>
    </w:p>
    <w:p w:rsidR="00480ED0" w:rsidRDefault="00480ED0" w:rsidP="00480ED0">
      <w:pPr>
        <w:pStyle w:val="ListParagraph"/>
      </w:pPr>
    </w:p>
    <w:p w:rsidR="00480ED0" w:rsidRDefault="00480ED0" w:rsidP="00480ED0">
      <w:pPr>
        <w:pStyle w:val="ListParagraph"/>
        <w:numPr>
          <w:ilvl w:val="0"/>
          <w:numId w:val="1"/>
        </w:numPr>
      </w:pPr>
      <w:r>
        <w:t>Thus, according to the concept of competence endorsed here, a particular individual’s decision-making capacity at a given time may be sufficient for making a decision to refuse a diagnostic procedure when forgoing the procedure does not carry a significant risk, although it would not necessarily be sufficient for refusing a surgical procedure that would correct a life-threatening condition</w:t>
      </w:r>
    </w:p>
    <w:p w:rsidR="00480ED0" w:rsidRDefault="00480ED0" w:rsidP="00480ED0">
      <w:pPr>
        <w:pStyle w:val="ListParagraph"/>
      </w:pPr>
    </w:p>
    <w:p w:rsidR="00480ED0" w:rsidRDefault="00480ED0" w:rsidP="00480ED0">
      <w:pPr>
        <w:pStyle w:val="ListParagraph"/>
        <w:numPr>
          <w:ilvl w:val="0"/>
          <w:numId w:val="1"/>
        </w:numPr>
      </w:pPr>
      <w:r>
        <w:t>The greater the risk relative to other alternatives—where risk is a function of the severity of the expected harm and the probability of its occurrence—the greater the level of communication, understanding, and reasoning skills required for competence to make that decision.</w:t>
      </w:r>
    </w:p>
    <w:p w:rsidR="00480ED0" w:rsidRDefault="00480ED0" w:rsidP="00480ED0">
      <w:pPr>
        <w:pStyle w:val="ListParagraph"/>
      </w:pPr>
    </w:p>
    <w:p w:rsidR="00480ED0" w:rsidRDefault="00480ED0" w:rsidP="00480ED0">
      <w:pPr>
        <w:pStyle w:val="ListParagraph"/>
        <w:numPr>
          <w:ilvl w:val="0"/>
          <w:numId w:val="1"/>
        </w:numPr>
      </w:pPr>
      <w:r>
        <w:t>It is not always true, however, that if a person is competent to make one decision, then he or she is competent to make another decision so long as it involves equal risk.</w:t>
      </w:r>
    </w:p>
    <w:p w:rsidR="00480ED0" w:rsidRDefault="00480ED0" w:rsidP="00480ED0">
      <w:pPr>
        <w:pStyle w:val="ListParagraph"/>
      </w:pPr>
    </w:p>
    <w:p w:rsidR="00480ED0" w:rsidRDefault="00480ED0" w:rsidP="00480ED0">
      <w:pPr>
        <w:pStyle w:val="ListParagraph"/>
        <w:numPr>
          <w:ilvl w:val="0"/>
          <w:numId w:val="1"/>
        </w:numPr>
      </w:pPr>
      <w:r>
        <w:t>Even if the risk is the same, one decision may be more complex, and hence require a higher level of capacity for understanding options and reasoning about consequences.</w:t>
      </w:r>
    </w:p>
    <w:p w:rsidR="00480ED0" w:rsidRDefault="00480ED0" w:rsidP="00480ED0">
      <w:pPr>
        <w:pStyle w:val="ListParagraph"/>
      </w:pPr>
    </w:p>
    <w:p w:rsidR="00480ED0" w:rsidRDefault="00480ED0" w:rsidP="00480ED0">
      <w:pPr>
        <w:pStyle w:val="ListParagraph"/>
        <w:numPr>
          <w:ilvl w:val="0"/>
          <w:numId w:val="1"/>
        </w:numPr>
      </w:pPr>
      <w:r>
        <w:t xml:space="preserve">The evaluation of the patient’s decision-making will seek to assess how well the patient has understood the nature of the proposed treatment and any significant alternatives, the expected benefits and risks and the likelihood of each, the reason for the recommendation, and then </w:t>
      </w:r>
      <w:r>
        <w:lastRenderedPageBreak/>
        <w:t>whether the patient has made a choice that reasonably conforms to his or her underlying and enduring aims and values</w:t>
      </w:r>
    </w:p>
    <w:p w:rsidR="00480ED0" w:rsidRDefault="00480ED0" w:rsidP="00480ED0">
      <w:pPr>
        <w:pStyle w:val="ListParagraph"/>
      </w:pPr>
    </w:p>
    <w:p w:rsidR="00480ED0" w:rsidRDefault="00480ED0" w:rsidP="00480ED0">
      <w:pPr>
        <w:pStyle w:val="ListParagraph"/>
        <w:numPr>
          <w:ilvl w:val="0"/>
          <w:numId w:val="1"/>
        </w:numPr>
      </w:pPr>
      <w:r>
        <w:t>Two broad kinds of defect are then possible: first, “factual” misunderstanding about the nature and likelihood of an outcome, for example from limitations in cognitive understanding resulting from stroke or from impairment of short-term memory resulting from dementia;</w:t>
      </w:r>
    </w:p>
    <w:p w:rsidR="00480ED0" w:rsidRDefault="00480ED0" w:rsidP="00480ED0">
      <w:pPr>
        <w:pStyle w:val="ListParagraph"/>
      </w:pPr>
    </w:p>
    <w:p w:rsidR="00480ED0" w:rsidRDefault="00480ED0" w:rsidP="00480ED0">
      <w:pPr>
        <w:pStyle w:val="ListParagraph"/>
        <w:numPr>
          <w:ilvl w:val="0"/>
          <w:numId w:val="1"/>
        </w:numPr>
      </w:pPr>
      <w:r>
        <w:t>second, failure of the patient’s choice to be based on his or her underlying and enduring aims and values, for example because depression has temporarily distorted them so that the patient “no longer cares” about restoration of the function he or she had valued before becoming depressed.</w:t>
      </w:r>
    </w:p>
    <w:p w:rsidR="00480ED0" w:rsidRDefault="00480ED0" w:rsidP="00480ED0">
      <w:pPr>
        <w:pStyle w:val="ListParagraph"/>
      </w:pPr>
    </w:p>
    <w:p w:rsidR="00480ED0" w:rsidRDefault="00480ED0" w:rsidP="00480ED0">
      <w:pPr>
        <w:pStyle w:val="ListParagraph"/>
        <w:numPr>
          <w:ilvl w:val="0"/>
          <w:numId w:val="1"/>
        </w:numPr>
      </w:pPr>
      <w:r>
        <w:t>A crude but perhaps helpful way of characterizing the proper aim of the evaluator of the competence of a seemingly harmful or “bad” patient choice is to think of him or her addressing the patient in this fashion: “Help me try to understand and make sense of your choice. Help me to see whether your choice is reasonable, not in the sense that it is what I or most people would choose, but that it is reasonable for you in light of your underlying and enduring aims and values.” This is the proper focus of a process standard of competence.</w:t>
      </w:r>
    </w:p>
    <w:p w:rsidR="00480ED0" w:rsidRDefault="00480ED0" w:rsidP="00480ED0">
      <w:pPr>
        <w:pStyle w:val="ListParagraph"/>
      </w:pPr>
    </w:p>
    <w:p w:rsidR="00480ED0" w:rsidRDefault="009366BA" w:rsidP="009366BA">
      <w:pPr>
        <w:pStyle w:val="ListParagraph"/>
        <w:rPr>
          <w:b/>
          <w:sz w:val="32"/>
        </w:rPr>
      </w:pPr>
      <w:r w:rsidRPr="009366BA">
        <w:rPr>
          <w:b/>
          <w:sz w:val="32"/>
        </w:rPr>
        <w:t xml:space="preserve">Involving Children in Medical Decisions </w:t>
      </w:r>
    </w:p>
    <w:p w:rsidR="009366BA" w:rsidRDefault="009366BA" w:rsidP="009366BA">
      <w:pPr>
        <w:pStyle w:val="ListParagraph"/>
      </w:pPr>
    </w:p>
    <w:p w:rsidR="009366BA" w:rsidRDefault="009366BA" w:rsidP="009366BA">
      <w:pPr>
        <w:ind w:firstLine="720"/>
        <w:rPr>
          <w:b/>
          <w:sz w:val="24"/>
        </w:rPr>
      </w:pPr>
      <w:r w:rsidRPr="009366BA">
        <w:rPr>
          <w:b/>
          <w:sz w:val="24"/>
        </w:rPr>
        <w:t xml:space="preserve">Why Is It Important to Include Children in Medical Decision-Making? </w:t>
      </w:r>
    </w:p>
    <w:p w:rsidR="009366BA" w:rsidRDefault="009366BA" w:rsidP="009366BA">
      <w:pPr>
        <w:ind w:firstLine="720"/>
        <w:rPr>
          <w:b/>
          <w:sz w:val="24"/>
        </w:rPr>
      </w:pPr>
      <w:r w:rsidRPr="009366BA">
        <w:rPr>
          <w:b/>
          <w:sz w:val="24"/>
        </w:rPr>
        <w:t>Ethics</w:t>
      </w:r>
      <w:r>
        <w:rPr>
          <w:b/>
          <w:sz w:val="24"/>
        </w:rPr>
        <w:t>:</w:t>
      </w:r>
    </w:p>
    <w:p w:rsidR="009366BA" w:rsidRDefault="009366BA" w:rsidP="009366BA">
      <w:pPr>
        <w:pStyle w:val="ListParagraph"/>
        <w:numPr>
          <w:ilvl w:val="0"/>
          <w:numId w:val="1"/>
        </w:numPr>
      </w:pPr>
      <w:r>
        <w:t>Adult models presume that the patient is autonomous and has a stable sense of self, established values, and mature cognitive skills; these characteristics are undeveloped or underdeveloped in children</w:t>
      </w:r>
    </w:p>
    <w:p w:rsidR="009366BA" w:rsidRDefault="009366BA" w:rsidP="009366BA">
      <w:pPr>
        <w:pStyle w:val="ListParagraph"/>
      </w:pPr>
    </w:p>
    <w:p w:rsidR="009366BA" w:rsidRDefault="009366BA" w:rsidP="009366BA">
      <w:pPr>
        <w:pStyle w:val="ListParagraph"/>
        <w:numPr>
          <w:ilvl w:val="0"/>
          <w:numId w:val="1"/>
        </w:numPr>
      </w:pPr>
      <w:r>
        <w:t>Although it is important to understand and respect the developing autonomy of a child, and although the duty of beneficence provides a starting point for determining what is in the child’s best interest, a family-centred ethic is the best model for understanding the interdependent relationships that bear upon the child’s situation</w:t>
      </w:r>
    </w:p>
    <w:p w:rsidR="009366BA" w:rsidRDefault="009366BA" w:rsidP="009366BA">
      <w:pPr>
        <w:pStyle w:val="ListParagraph"/>
      </w:pPr>
    </w:p>
    <w:p w:rsidR="009366BA" w:rsidRDefault="009366BA" w:rsidP="009366BA">
      <w:pPr>
        <w:pStyle w:val="ListParagraph"/>
        <w:numPr>
          <w:ilvl w:val="0"/>
          <w:numId w:val="1"/>
        </w:numPr>
      </w:pPr>
      <w:r>
        <w:t>A family-centred approach considers the effects of a decision on all family members, their responsibilities toward one another, and the burdens and benefits of a decision for each member, while acknowledging the special vulnerability of the child patient</w:t>
      </w:r>
    </w:p>
    <w:p w:rsidR="009366BA" w:rsidRDefault="009366BA" w:rsidP="009366BA">
      <w:pPr>
        <w:pStyle w:val="ListParagraph"/>
      </w:pPr>
    </w:p>
    <w:p w:rsidR="009366BA" w:rsidRDefault="009366BA" w:rsidP="009366BA">
      <w:pPr>
        <w:pStyle w:val="ListParagraph"/>
        <w:numPr>
          <w:ilvl w:val="0"/>
          <w:numId w:val="1"/>
        </w:numPr>
      </w:pPr>
      <w:r>
        <w:t>A family-centred approach presents special challenges for the health care team, particularly when there is disagreement between parent and child.</w:t>
      </w:r>
    </w:p>
    <w:p w:rsidR="009366BA" w:rsidRDefault="009366BA" w:rsidP="009366BA">
      <w:pPr>
        <w:pStyle w:val="ListParagraph"/>
      </w:pPr>
    </w:p>
    <w:p w:rsidR="009366BA" w:rsidRDefault="009366BA" w:rsidP="009366BA">
      <w:pPr>
        <w:pStyle w:val="ListParagraph"/>
        <w:numPr>
          <w:ilvl w:val="0"/>
          <w:numId w:val="1"/>
        </w:numPr>
      </w:pPr>
      <w:r>
        <w:lastRenderedPageBreak/>
        <w:t>Integrity in this relationship is fundamental to the achievement of the goal of medicine</w:t>
      </w:r>
      <w:proofErr w:type="gramStart"/>
      <w:r>
        <w:t>,6</w:t>
      </w:r>
      <w:proofErr w:type="gramEnd"/>
      <w:r>
        <w:t xml:space="preserve"> which has been defined as “right and good healing action taken in the interest of a particular patient.”</w:t>
      </w:r>
    </w:p>
    <w:p w:rsidR="009366BA" w:rsidRDefault="009366BA" w:rsidP="009366BA">
      <w:pPr>
        <w:pStyle w:val="ListParagraph"/>
      </w:pPr>
    </w:p>
    <w:p w:rsidR="009366BA" w:rsidRDefault="009366BA" w:rsidP="009366BA">
      <w:pPr>
        <w:pStyle w:val="ListParagraph"/>
        <w:numPr>
          <w:ilvl w:val="0"/>
          <w:numId w:val="1"/>
        </w:numPr>
      </w:pPr>
      <w:r>
        <w:t>The care of children has been described in terms of a “triadic” relationship in which the child, his or her parents, and the physician all have a necessary involvement (</w:t>
      </w:r>
      <w:proofErr w:type="spellStart"/>
      <w:r>
        <w:t>Dr</w:t>
      </w:r>
      <w:proofErr w:type="spellEnd"/>
      <w:r>
        <w:t xml:space="preserve"> </w:t>
      </w:r>
      <w:proofErr w:type="spellStart"/>
      <w:r>
        <w:t>Abbyann</w:t>
      </w:r>
      <w:proofErr w:type="spellEnd"/>
      <w:r>
        <w:t xml:space="preserve"> Lynch, Director, Ethics in Health Care Associates, Toronto: personal communication, 1992).</w:t>
      </w:r>
    </w:p>
    <w:p w:rsidR="009366BA" w:rsidRDefault="009366BA" w:rsidP="009366BA">
      <w:pPr>
        <w:pStyle w:val="ListParagraph"/>
      </w:pPr>
    </w:p>
    <w:p w:rsidR="009366BA" w:rsidRDefault="009366BA" w:rsidP="009366BA">
      <w:pPr>
        <w:pStyle w:val="ListParagraph"/>
        <w:numPr>
          <w:ilvl w:val="0"/>
          <w:numId w:val="1"/>
        </w:numPr>
      </w:pPr>
      <w:r>
        <w:t>When there is disagreement between parent and child, the physician may experience some moral discomfort in having to deal separately with the child and parent</w:t>
      </w:r>
    </w:p>
    <w:p w:rsidR="009366BA" w:rsidRDefault="009366BA" w:rsidP="009366BA">
      <w:pPr>
        <w:pStyle w:val="ListParagraph"/>
      </w:pPr>
    </w:p>
    <w:p w:rsidR="009366BA" w:rsidRDefault="009366BA" w:rsidP="009366BA">
      <w:pPr>
        <w:pStyle w:val="ListParagraph"/>
        <w:numPr>
          <w:ilvl w:val="0"/>
          <w:numId w:val="1"/>
        </w:numPr>
      </w:pPr>
      <w:r>
        <w:t xml:space="preserve">The assumption that </w:t>
      </w:r>
      <w:proofErr w:type="gramStart"/>
      <w:r>
        <w:t>parents</w:t>
      </w:r>
      <w:proofErr w:type="gramEnd"/>
      <w:r>
        <w:t xml:space="preserve"> best understand what is in the interest of their child is usually sound. However, situations can arise in which the parents’ distress prevents them from attending carefully to the child’s concerns and wishes.</w:t>
      </w:r>
    </w:p>
    <w:p w:rsidR="009366BA" w:rsidRDefault="009366BA" w:rsidP="009366BA">
      <w:pPr>
        <w:pStyle w:val="ListParagraph"/>
      </w:pPr>
    </w:p>
    <w:p w:rsidR="009366BA" w:rsidRDefault="009366BA" w:rsidP="009366BA">
      <w:pPr>
        <w:pStyle w:val="ListParagraph"/>
        <w:numPr>
          <w:ilvl w:val="0"/>
          <w:numId w:val="1"/>
        </w:numPr>
      </w:pPr>
      <w:r>
        <w:t>Simply complying with the parents’ wishes in such cases is inadequate. It is more helpful to and respectful of the child to affirm the parents’ responsibility for the care of their child while allowing the child to exercise choice in a measure appropriate to his or her level of development and experience of illness and treatment.</w:t>
      </w:r>
    </w:p>
    <w:p w:rsidR="009366BA" w:rsidRDefault="009366BA" w:rsidP="009366BA">
      <w:pPr>
        <w:pStyle w:val="ListParagraph"/>
      </w:pPr>
    </w:p>
    <w:p w:rsidR="009366BA" w:rsidRDefault="009366BA" w:rsidP="009366BA">
      <w:pPr>
        <w:pStyle w:val="ListParagraph"/>
        <w:numPr>
          <w:ilvl w:val="0"/>
          <w:numId w:val="1"/>
        </w:numPr>
      </w:pPr>
      <w:r>
        <w:t>This approach does not discount the parents’ concerns and wishes, but recognizes the child as the particular patient to whom the physician has a primary duty of care. This approach seeks to harmonize the values of everyone involved in making the decision.</w:t>
      </w:r>
    </w:p>
    <w:p w:rsidR="009366BA" w:rsidRDefault="009366BA" w:rsidP="009366BA">
      <w:pPr>
        <w:pStyle w:val="ListParagraph"/>
      </w:pPr>
    </w:p>
    <w:p w:rsidR="009366BA" w:rsidRDefault="009366BA" w:rsidP="009366BA">
      <w:pPr>
        <w:pStyle w:val="ListParagraph"/>
        <w:rPr>
          <w:b/>
          <w:sz w:val="24"/>
        </w:rPr>
      </w:pPr>
      <w:r w:rsidRPr="009366BA">
        <w:rPr>
          <w:b/>
          <w:sz w:val="24"/>
        </w:rPr>
        <w:t>Law</w:t>
      </w:r>
      <w:r>
        <w:rPr>
          <w:b/>
          <w:sz w:val="24"/>
        </w:rPr>
        <w:t>:</w:t>
      </w:r>
    </w:p>
    <w:p w:rsidR="009366BA" w:rsidRDefault="009366BA" w:rsidP="009366BA">
      <w:pPr>
        <w:pStyle w:val="ListParagraph"/>
      </w:pPr>
    </w:p>
    <w:p w:rsidR="009366BA" w:rsidRDefault="009366BA" w:rsidP="009366BA">
      <w:pPr>
        <w:pStyle w:val="ListParagraph"/>
        <w:numPr>
          <w:ilvl w:val="0"/>
          <w:numId w:val="1"/>
        </w:numPr>
      </w:pPr>
      <w:r>
        <w:t>The patient’s right to refuse even life-saving medical treatment is recognized in Canadian law, and is premised on the patient’s right to exercise control over his or her own body. Providing treatment despite a patient’s valid refusal can constitute battery and, in some circumstances, negligence.</w:t>
      </w:r>
    </w:p>
    <w:p w:rsidR="009366BA" w:rsidRDefault="009366BA" w:rsidP="009366BA">
      <w:pPr>
        <w:pStyle w:val="ListParagraph"/>
      </w:pPr>
    </w:p>
    <w:p w:rsidR="009366BA" w:rsidRDefault="009366BA" w:rsidP="009366BA">
      <w:pPr>
        <w:pStyle w:val="ListParagraph"/>
        <w:numPr>
          <w:ilvl w:val="0"/>
          <w:numId w:val="1"/>
        </w:numPr>
      </w:pPr>
      <w:r>
        <w:t>To be legally valid, the refusal of medical treatment must be given by a person deemed capable of making health care choices, that is, capable of understanding the nature and consequences of the recommended treatment, alternative treatments, and non-treatment.</w:t>
      </w:r>
    </w:p>
    <w:p w:rsidR="009366BA" w:rsidRDefault="009366BA" w:rsidP="009366BA">
      <w:pPr>
        <w:pStyle w:val="ListParagraph"/>
      </w:pPr>
    </w:p>
    <w:p w:rsidR="009366BA" w:rsidRDefault="00BC3C6D" w:rsidP="009366BA">
      <w:pPr>
        <w:pStyle w:val="ListParagraph"/>
        <w:numPr>
          <w:ilvl w:val="0"/>
          <w:numId w:val="1"/>
        </w:numPr>
      </w:pPr>
      <w:r>
        <w:t>In common law the notion of the “mature minor” recognizes that some children are capable of making their own health care choices despite their age</w:t>
      </w:r>
    </w:p>
    <w:p w:rsidR="00BC3C6D" w:rsidRDefault="00BC3C6D" w:rsidP="00BC3C6D">
      <w:pPr>
        <w:pStyle w:val="ListParagraph"/>
      </w:pPr>
    </w:p>
    <w:p w:rsidR="00BC3C6D" w:rsidRDefault="00BC3C6D" w:rsidP="009366BA">
      <w:pPr>
        <w:pStyle w:val="ListParagraph"/>
        <w:numPr>
          <w:ilvl w:val="0"/>
          <w:numId w:val="1"/>
        </w:numPr>
      </w:pPr>
      <w:r>
        <w:t>In common law and under the statutory law of some provinces patients are presumed capable regardless of age unless shown otherwise; in other provinces an age at which patients are presumed capable is specified</w:t>
      </w:r>
    </w:p>
    <w:p w:rsidR="00BC3C6D" w:rsidRDefault="00BC3C6D" w:rsidP="00BC3C6D">
      <w:pPr>
        <w:pStyle w:val="ListParagraph"/>
      </w:pPr>
    </w:p>
    <w:p w:rsidR="00BC3C6D" w:rsidRDefault="00BC3C6D" w:rsidP="009366BA">
      <w:pPr>
        <w:pStyle w:val="ListParagraph"/>
        <w:numPr>
          <w:ilvl w:val="0"/>
          <w:numId w:val="1"/>
        </w:numPr>
      </w:pPr>
      <w:r>
        <w:t>When a child’s capacity is in doubt an assessment is required</w:t>
      </w:r>
    </w:p>
    <w:p w:rsidR="00BC3C6D" w:rsidRDefault="00BC3C6D" w:rsidP="00BC3C6D">
      <w:pPr>
        <w:pStyle w:val="ListParagraph"/>
      </w:pPr>
    </w:p>
    <w:p w:rsidR="00BC3C6D" w:rsidRDefault="00BC3C6D" w:rsidP="009366BA">
      <w:pPr>
        <w:pStyle w:val="ListParagraph"/>
        <w:numPr>
          <w:ilvl w:val="0"/>
          <w:numId w:val="1"/>
        </w:numPr>
      </w:pPr>
      <w:r>
        <w:t xml:space="preserve">Health care providers who believe that a surrogate’s decisions are not in the child’s best interest can appeal to provincial child welfare authorities. The courts have the authority to assume </w:t>
      </w:r>
      <w:proofErr w:type="gramStart"/>
      <w:r>
        <w:t xml:space="preserve">a </w:t>
      </w:r>
      <w:proofErr w:type="spellStart"/>
      <w:r>
        <w:t>parens</w:t>
      </w:r>
      <w:proofErr w:type="spellEnd"/>
      <w:proofErr w:type="gramEnd"/>
      <w:r>
        <w:t xml:space="preserve"> </w:t>
      </w:r>
      <w:proofErr w:type="spellStart"/>
      <w:r>
        <w:t>patriae</w:t>
      </w:r>
      <w:proofErr w:type="spellEnd"/>
      <w:r>
        <w:t xml:space="preserve"> role in treatment decisions if the child is deemed to be in need of protection. This issue has arisen most commonly with respect to Jehovah’s Witnesses who refuse blood transfusions for their children on religious grounds, and courts have authorized treatment in recognition of the state’s interest in protecting the health and well-being of children.</w:t>
      </w:r>
    </w:p>
    <w:p w:rsidR="00BC3C6D" w:rsidRDefault="00BC3C6D" w:rsidP="00BC3C6D">
      <w:pPr>
        <w:pStyle w:val="ListParagraph"/>
      </w:pPr>
    </w:p>
    <w:p w:rsidR="00BC3C6D" w:rsidRPr="00BC3C6D" w:rsidRDefault="00BC3C6D" w:rsidP="00BC3C6D">
      <w:pPr>
        <w:pStyle w:val="ListParagraph"/>
        <w:rPr>
          <w:b/>
          <w:sz w:val="24"/>
        </w:rPr>
      </w:pPr>
      <w:r w:rsidRPr="00BC3C6D">
        <w:rPr>
          <w:b/>
        </w:rPr>
        <w:t>P</w:t>
      </w:r>
      <w:r>
        <w:rPr>
          <w:b/>
          <w:sz w:val="24"/>
        </w:rPr>
        <w:t>olicy:</w:t>
      </w:r>
    </w:p>
    <w:p w:rsidR="00BC3C6D" w:rsidRDefault="00BC3C6D" w:rsidP="00BC3C6D">
      <w:pPr>
        <w:pStyle w:val="ListParagraph"/>
      </w:pPr>
    </w:p>
    <w:p w:rsidR="00BC3C6D" w:rsidRDefault="00BC3C6D" w:rsidP="00BC3C6D">
      <w:pPr>
        <w:pStyle w:val="ListParagraph"/>
        <w:numPr>
          <w:ilvl w:val="0"/>
          <w:numId w:val="1"/>
        </w:numPr>
      </w:pPr>
      <w:r>
        <w:t>The Canadian Paediatric Society has no policy regarding the role of the child patient in medical decision-making. The American Academy of Pediatrics statement on this question articulates the joint responsibility of physicians and parents to make decisions for very young patients in their best interest and states that “[p]</w:t>
      </w:r>
      <w:proofErr w:type="spellStart"/>
      <w:r>
        <w:t>arents</w:t>
      </w:r>
      <w:proofErr w:type="spellEnd"/>
      <w:r>
        <w:t xml:space="preserve"> and physicians should not exclude children and adolescents from decision-making without persuasive reasons.”13</w:t>
      </w:r>
    </w:p>
    <w:p w:rsidR="00BC3C6D" w:rsidRDefault="00BC3C6D" w:rsidP="00BC3C6D">
      <w:pPr>
        <w:pStyle w:val="ListParagraph"/>
      </w:pPr>
    </w:p>
    <w:p w:rsidR="00BC3C6D" w:rsidRDefault="00BC3C6D" w:rsidP="00BC3C6D">
      <w:pPr>
        <w:pStyle w:val="ListParagraph"/>
        <w:rPr>
          <w:b/>
          <w:sz w:val="24"/>
        </w:rPr>
      </w:pPr>
      <w:r w:rsidRPr="00BC3C6D">
        <w:rPr>
          <w:b/>
          <w:sz w:val="24"/>
        </w:rPr>
        <w:t>Empirical Studies:</w:t>
      </w:r>
    </w:p>
    <w:p w:rsidR="00BC3C6D" w:rsidRDefault="00BC3C6D" w:rsidP="00BC3C6D">
      <w:pPr>
        <w:pStyle w:val="ListParagraph"/>
        <w:rPr>
          <w:b/>
          <w:sz w:val="24"/>
        </w:rPr>
      </w:pPr>
    </w:p>
    <w:p w:rsidR="00BC3C6D" w:rsidRPr="00BC3C6D" w:rsidRDefault="00BC3C6D" w:rsidP="00BC3C6D">
      <w:pPr>
        <w:pStyle w:val="ListParagraph"/>
        <w:numPr>
          <w:ilvl w:val="0"/>
          <w:numId w:val="1"/>
        </w:numPr>
        <w:rPr>
          <w:b/>
          <w:sz w:val="24"/>
        </w:rPr>
      </w:pPr>
      <w:r>
        <w:t>Children with a chronic or terminal illness may have experiences that endow them with insight and maturity beyond their years</w:t>
      </w:r>
    </w:p>
    <w:p w:rsidR="00BC3C6D" w:rsidRDefault="00BC3C6D" w:rsidP="00BC3C6D">
      <w:pPr>
        <w:pStyle w:val="ListParagraph"/>
      </w:pPr>
    </w:p>
    <w:p w:rsidR="00BC3C6D" w:rsidRPr="00BC3C6D" w:rsidRDefault="00BC3C6D" w:rsidP="00BC3C6D">
      <w:pPr>
        <w:pStyle w:val="ListParagraph"/>
        <w:numPr>
          <w:ilvl w:val="0"/>
          <w:numId w:val="1"/>
        </w:numPr>
        <w:rPr>
          <w:b/>
          <w:sz w:val="24"/>
        </w:rPr>
      </w:pPr>
      <w:r>
        <w:t>Because tools developed to assess the capacity of adults have not been tested with children, health care professionals working with children should be sensitive to the particular capacity of each child.</w:t>
      </w:r>
    </w:p>
    <w:p w:rsidR="00BC3C6D" w:rsidRPr="00BC3C6D" w:rsidRDefault="00BC3C6D" w:rsidP="00BC3C6D">
      <w:pPr>
        <w:pStyle w:val="ListParagraph"/>
        <w:rPr>
          <w:b/>
          <w:sz w:val="24"/>
        </w:rPr>
      </w:pPr>
    </w:p>
    <w:p w:rsidR="00BC3C6D" w:rsidRPr="00BC3C6D" w:rsidRDefault="00BC3C6D" w:rsidP="00BC3C6D">
      <w:pPr>
        <w:pStyle w:val="ListParagraph"/>
        <w:numPr>
          <w:ilvl w:val="0"/>
          <w:numId w:val="1"/>
        </w:numPr>
        <w:rPr>
          <w:b/>
          <w:sz w:val="24"/>
        </w:rPr>
      </w:pPr>
      <w:r>
        <w:t>Although developmental milestones give us a general sense of capacities, two children of the same age will not necessarily have the same ability to make choices</w:t>
      </w:r>
    </w:p>
    <w:p w:rsidR="00BC3C6D" w:rsidRPr="00BC3C6D" w:rsidRDefault="00BC3C6D" w:rsidP="00BC3C6D">
      <w:pPr>
        <w:pStyle w:val="ListParagraph"/>
        <w:rPr>
          <w:b/>
          <w:sz w:val="24"/>
        </w:rPr>
      </w:pPr>
    </w:p>
    <w:p w:rsidR="00BC3C6D" w:rsidRPr="00BC3C6D" w:rsidRDefault="00BC3C6D" w:rsidP="00BC3C6D">
      <w:pPr>
        <w:pStyle w:val="ListParagraph"/>
        <w:numPr>
          <w:ilvl w:val="0"/>
          <w:numId w:val="1"/>
        </w:numPr>
        <w:rPr>
          <w:b/>
          <w:sz w:val="24"/>
        </w:rPr>
      </w:pPr>
      <w:r>
        <w:t>Even when they are deemed capable of making health care choices, children need support for their decisions from family members and the health care team</w:t>
      </w:r>
    </w:p>
    <w:p w:rsidR="00BC3C6D" w:rsidRPr="00BC3C6D" w:rsidRDefault="00BC3C6D" w:rsidP="00BC3C6D">
      <w:pPr>
        <w:pStyle w:val="ListParagraph"/>
        <w:rPr>
          <w:b/>
          <w:sz w:val="24"/>
        </w:rPr>
      </w:pPr>
    </w:p>
    <w:p w:rsidR="00BC3C6D" w:rsidRPr="00B3523D" w:rsidRDefault="00BC3C6D" w:rsidP="00BC3C6D">
      <w:pPr>
        <w:pStyle w:val="ListParagraph"/>
        <w:rPr>
          <w:b/>
          <w:sz w:val="32"/>
        </w:rPr>
      </w:pPr>
      <w:r w:rsidRPr="00B3523D">
        <w:rPr>
          <w:b/>
          <w:sz w:val="32"/>
        </w:rPr>
        <w:t>How Should I Determine the Appropriate Role of a Child in Medical Decision-Making?</w:t>
      </w:r>
    </w:p>
    <w:p w:rsidR="00BC3C6D" w:rsidRPr="00BC3C6D" w:rsidRDefault="00BC3C6D" w:rsidP="00BC3C6D">
      <w:pPr>
        <w:pStyle w:val="ListParagraph"/>
        <w:rPr>
          <w:b/>
          <w:sz w:val="28"/>
        </w:rPr>
      </w:pPr>
    </w:p>
    <w:p w:rsidR="00BC3C6D" w:rsidRDefault="00BC3C6D" w:rsidP="00BC3C6D">
      <w:pPr>
        <w:pStyle w:val="ListParagraph"/>
        <w:rPr>
          <w:b/>
          <w:sz w:val="24"/>
        </w:rPr>
      </w:pPr>
      <w:r w:rsidRPr="00BC3C6D">
        <w:rPr>
          <w:b/>
          <w:sz w:val="24"/>
        </w:rPr>
        <w:t>Infants and Young Children</w:t>
      </w:r>
      <w:r>
        <w:rPr>
          <w:b/>
          <w:sz w:val="24"/>
        </w:rPr>
        <w:t>:</w:t>
      </w:r>
    </w:p>
    <w:p w:rsidR="00BC3C6D" w:rsidRDefault="00BC3C6D" w:rsidP="00BC3C6D">
      <w:pPr>
        <w:pStyle w:val="ListParagraph"/>
        <w:rPr>
          <w:b/>
          <w:sz w:val="24"/>
        </w:rPr>
      </w:pPr>
    </w:p>
    <w:p w:rsidR="00BC3C6D" w:rsidRPr="00847EFC" w:rsidRDefault="00BC3C6D" w:rsidP="00BC3C6D">
      <w:pPr>
        <w:pStyle w:val="ListParagraph"/>
        <w:numPr>
          <w:ilvl w:val="0"/>
          <w:numId w:val="1"/>
        </w:numPr>
        <w:rPr>
          <w:b/>
          <w:sz w:val="24"/>
        </w:rPr>
      </w:pPr>
      <w:r>
        <w:t>Preschool children have no significant decision-making capacity and cannot provide their own consent. As surrogate decision-makers, parents should authorize (or refuse authorization) on their child’s behalf, basing their decisions on what they believe to be in the child’s best interest</w:t>
      </w:r>
    </w:p>
    <w:p w:rsidR="00847EFC" w:rsidRDefault="00847EFC" w:rsidP="00847EFC">
      <w:pPr>
        <w:pStyle w:val="ListParagraph"/>
      </w:pPr>
    </w:p>
    <w:p w:rsidR="00847EFC" w:rsidRPr="00BC3C6D" w:rsidRDefault="00847EFC" w:rsidP="00847EFC">
      <w:pPr>
        <w:pStyle w:val="ListParagraph"/>
        <w:rPr>
          <w:b/>
          <w:sz w:val="24"/>
        </w:rPr>
      </w:pPr>
    </w:p>
    <w:p w:rsidR="00BC3C6D" w:rsidRDefault="00BC3C6D" w:rsidP="00BC3C6D">
      <w:pPr>
        <w:pStyle w:val="ListParagraph"/>
        <w:rPr>
          <w:b/>
          <w:sz w:val="24"/>
        </w:rPr>
      </w:pPr>
      <w:r w:rsidRPr="00BC3C6D">
        <w:rPr>
          <w:b/>
          <w:sz w:val="24"/>
        </w:rPr>
        <w:t>Primary-School Children</w:t>
      </w:r>
      <w:r>
        <w:rPr>
          <w:b/>
          <w:sz w:val="24"/>
        </w:rPr>
        <w:t>:</w:t>
      </w:r>
    </w:p>
    <w:p w:rsidR="00847EFC" w:rsidRDefault="00847EFC" w:rsidP="00BC3C6D">
      <w:pPr>
        <w:pStyle w:val="ListParagraph"/>
        <w:rPr>
          <w:b/>
          <w:sz w:val="24"/>
        </w:rPr>
      </w:pPr>
    </w:p>
    <w:p w:rsidR="00847EFC" w:rsidRPr="00847EFC" w:rsidRDefault="00847EFC" w:rsidP="00847EFC">
      <w:pPr>
        <w:pStyle w:val="ListParagraph"/>
        <w:numPr>
          <w:ilvl w:val="0"/>
          <w:numId w:val="1"/>
        </w:numPr>
        <w:rPr>
          <w:b/>
          <w:sz w:val="24"/>
        </w:rPr>
      </w:pPr>
      <w:r>
        <w:t>Children of primary-school age may participate in medical decisions but do not have full decision-making capacity. They may indicate their assent or dissent without fully understanding its implications. Nonetheless they should be provided with information appropriate to their level of comprehension. Although the child’s parents should authorize or refuse to authorize treatment, the child’s assent should be sought and any strong and sustained dissent should be taken seriously</w:t>
      </w:r>
    </w:p>
    <w:p w:rsidR="00847EFC" w:rsidRPr="00BC3C6D" w:rsidRDefault="00847EFC" w:rsidP="00847EFC">
      <w:pPr>
        <w:pStyle w:val="ListParagraph"/>
        <w:rPr>
          <w:b/>
          <w:sz w:val="24"/>
        </w:rPr>
      </w:pPr>
    </w:p>
    <w:p w:rsidR="00BC3C6D" w:rsidRDefault="00BC3C6D" w:rsidP="00BC3C6D">
      <w:pPr>
        <w:pStyle w:val="ListParagraph"/>
        <w:rPr>
          <w:b/>
          <w:sz w:val="24"/>
        </w:rPr>
      </w:pPr>
      <w:r w:rsidRPr="00BC3C6D">
        <w:rPr>
          <w:b/>
          <w:sz w:val="24"/>
        </w:rPr>
        <w:t>Adolescents</w:t>
      </w:r>
      <w:r>
        <w:rPr>
          <w:b/>
          <w:sz w:val="24"/>
        </w:rPr>
        <w:t>:</w:t>
      </w:r>
    </w:p>
    <w:p w:rsidR="00847EFC" w:rsidRDefault="00847EFC" w:rsidP="00BC3C6D">
      <w:pPr>
        <w:pStyle w:val="ListParagraph"/>
      </w:pPr>
    </w:p>
    <w:p w:rsidR="00847EFC" w:rsidRDefault="00847EFC" w:rsidP="00847EFC">
      <w:pPr>
        <w:pStyle w:val="ListParagraph"/>
        <w:numPr>
          <w:ilvl w:val="0"/>
          <w:numId w:val="1"/>
        </w:numPr>
      </w:pPr>
      <w:r>
        <w:t xml:space="preserve"> Many adolescents have the decision-making capacity of an adult. This capacity will need to be determined for each patient in light of his or her</w:t>
      </w:r>
    </w:p>
    <w:p w:rsidR="00847EFC" w:rsidRDefault="00847EFC" w:rsidP="00847EFC">
      <w:pPr>
        <w:pStyle w:val="ListParagraph"/>
      </w:pPr>
      <w:r>
        <w:t xml:space="preserve"> • </w:t>
      </w:r>
      <w:proofErr w:type="gramStart"/>
      <w:r>
        <w:t>ability</w:t>
      </w:r>
      <w:proofErr w:type="gramEnd"/>
      <w:r>
        <w:t xml:space="preserve"> to understand and communicate relevant information;</w:t>
      </w:r>
    </w:p>
    <w:p w:rsidR="00847EFC" w:rsidRDefault="00847EFC" w:rsidP="00847EFC">
      <w:pPr>
        <w:pStyle w:val="ListParagraph"/>
      </w:pPr>
      <w:r>
        <w:t xml:space="preserve"> • </w:t>
      </w:r>
      <w:proofErr w:type="gramStart"/>
      <w:r>
        <w:t>ability</w:t>
      </w:r>
      <w:proofErr w:type="gramEnd"/>
      <w:r>
        <w:t xml:space="preserve"> to think and choose with some degree of independence; </w:t>
      </w:r>
    </w:p>
    <w:p w:rsidR="00847EFC" w:rsidRDefault="00847EFC" w:rsidP="00847EFC">
      <w:pPr>
        <w:pStyle w:val="ListParagraph"/>
      </w:pPr>
      <w:r>
        <w:t xml:space="preserve">• </w:t>
      </w:r>
      <w:proofErr w:type="gramStart"/>
      <w:r>
        <w:t>ability</w:t>
      </w:r>
      <w:proofErr w:type="gramEnd"/>
      <w:r>
        <w:t xml:space="preserve"> to assess the potential for benefits, risks, or harms as well as to consider consequences and multiple options; and </w:t>
      </w:r>
    </w:p>
    <w:p w:rsidR="00847EFC" w:rsidRDefault="00847EFC" w:rsidP="00847EFC">
      <w:pPr>
        <w:pStyle w:val="ListParagraph"/>
      </w:pPr>
      <w:r>
        <w:t xml:space="preserve">• </w:t>
      </w:r>
      <w:proofErr w:type="gramStart"/>
      <w:r>
        <w:t>achievement</w:t>
      </w:r>
      <w:proofErr w:type="gramEnd"/>
      <w:r>
        <w:t xml:space="preserve"> of a fairly stable set of values</w:t>
      </w:r>
    </w:p>
    <w:p w:rsidR="00847EFC" w:rsidRDefault="00847EFC" w:rsidP="00847EFC">
      <w:pPr>
        <w:pStyle w:val="ListParagraph"/>
      </w:pPr>
    </w:p>
    <w:p w:rsidR="00847EFC" w:rsidRPr="00847EFC" w:rsidRDefault="00847EFC" w:rsidP="00847EFC">
      <w:pPr>
        <w:pStyle w:val="ListParagraph"/>
        <w:rPr>
          <w:b/>
          <w:sz w:val="32"/>
        </w:rPr>
      </w:pPr>
      <w:r w:rsidRPr="00847EFC">
        <w:rPr>
          <w:b/>
          <w:sz w:val="32"/>
        </w:rPr>
        <w:t>The Concept of Informed Consent</w:t>
      </w:r>
    </w:p>
    <w:p w:rsidR="00847EFC" w:rsidRDefault="00847EFC" w:rsidP="00847EFC">
      <w:pPr>
        <w:pStyle w:val="ListParagraph"/>
        <w:rPr>
          <w:b/>
          <w:sz w:val="24"/>
        </w:rPr>
      </w:pPr>
    </w:p>
    <w:p w:rsidR="00847EFC" w:rsidRDefault="00847EFC" w:rsidP="00847EFC">
      <w:pPr>
        <w:pStyle w:val="ListParagraph"/>
        <w:numPr>
          <w:ilvl w:val="0"/>
          <w:numId w:val="1"/>
        </w:numPr>
      </w:pPr>
      <w:r>
        <w:t xml:space="preserve">In one sense, which we label </w:t>
      </w:r>
      <w:proofErr w:type="gramStart"/>
      <w:r>
        <w:t>sense1 ,</w:t>
      </w:r>
      <w:proofErr w:type="gramEnd"/>
      <w:r>
        <w:t xml:space="preserve"> “informed consent” is analyzable as a particular kind of action by individual patients and subjects: an autonomous authorization.</w:t>
      </w:r>
    </w:p>
    <w:p w:rsidR="00847EFC" w:rsidRDefault="00847EFC" w:rsidP="00847EFC">
      <w:pPr>
        <w:pStyle w:val="ListParagraph"/>
      </w:pPr>
    </w:p>
    <w:p w:rsidR="00847EFC" w:rsidRPr="00847EFC" w:rsidRDefault="00847EFC" w:rsidP="00847EFC">
      <w:pPr>
        <w:pStyle w:val="ListParagraph"/>
        <w:numPr>
          <w:ilvl w:val="0"/>
          <w:numId w:val="1"/>
        </w:numPr>
      </w:pPr>
      <w:r>
        <w:t xml:space="preserve">In the second sense, </w:t>
      </w:r>
      <w:proofErr w:type="gramStart"/>
      <w:r>
        <w:t>sense2 ,</w:t>
      </w:r>
      <w:proofErr w:type="gramEnd"/>
      <w:r>
        <w:t xml:space="preserve"> informed consent is analyzable in terms of the web of cultural and policy rules and requirements of consent that collectively form the social practice of informed consent in institutional contexts where groups of patients and subjects must be treated in accordance with rules, policies, and standard practices.</w:t>
      </w:r>
    </w:p>
    <w:p w:rsidR="00BC3C6D" w:rsidRDefault="00BC3C6D">
      <w:pPr>
        <w:pStyle w:val="ListParagraph"/>
        <w:rPr>
          <w:sz w:val="24"/>
        </w:rPr>
      </w:pPr>
    </w:p>
    <w:p w:rsidR="00847EFC" w:rsidRPr="00847EFC" w:rsidRDefault="00847EFC" w:rsidP="00847EFC">
      <w:pPr>
        <w:pStyle w:val="ListParagraph"/>
        <w:numPr>
          <w:ilvl w:val="0"/>
          <w:numId w:val="1"/>
        </w:numPr>
        <w:rPr>
          <w:b/>
          <w:sz w:val="28"/>
        </w:rPr>
      </w:pPr>
      <w:r>
        <w:t xml:space="preserve">Here, informed consents are </w:t>
      </w:r>
      <w:proofErr w:type="gramStart"/>
      <w:r>
        <w:t>not always</w:t>
      </w:r>
      <w:proofErr w:type="gramEnd"/>
      <w:r>
        <w:t xml:space="preserve"> autonomous acts, nor are they always in any meaningful respect authorizations.</w:t>
      </w:r>
    </w:p>
    <w:p w:rsidR="00847EFC" w:rsidRPr="00847EFC" w:rsidRDefault="00847EFC" w:rsidP="00847EFC">
      <w:pPr>
        <w:pStyle w:val="ListParagraph"/>
        <w:rPr>
          <w:b/>
          <w:sz w:val="28"/>
        </w:rPr>
      </w:pPr>
    </w:p>
    <w:p w:rsidR="00847EFC" w:rsidRDefault="00491901" w:rsidP="00491901">
      <w:pPr>
        <w:pStyle w:val="ListParagraph"/>
        <w:rPr>
          <w:b/>
          <w:sz w:val="24"/>
        </w:rPr>
      </w:pPr>
      <w:proofErr w:type="gramStart"/>
      <w:r w:rsidRPr="00491901">
        <w:rPr>
          <w:b/>
          <w:sz w:val="24"/>
        </w:rPr>
        <w:t>Sense1 :</w:t>
      </w:r>
      <w:proofErr w:type="gramEnd"/>
      <w:r w:rsidRPr="00491901">
        <w:rPr>
          <w:b/>
          <w:sz w:val="24"/>
        </w:rPr>
        <w:t xml:space="preserve"> Informed Consent as Autonomous Authorization</w:t>
      </w:r>
    </w:p>
    <w:p w:rsidR="00491901" w:rsidRDefault="00491901" w:rsidP="00491901">
      <w:pPr>
        <w:pStyle w:val="ListParagraph"/>
        <w:rPr>
          <w:b/>
          <w:sz w:val="24"/>
        </w:rPr>
      </w:pPr>
    </w:p>
    <w:p w:rsidR="00491901" w:rsidRDefault="00491901" w:rsidP="00491901">
      <w:pPr>
        <w:pStyle w:val="ListParagraph"/>
        <w:numPr>
          <w:ilvl w:val="0"/>
          <w:numId w:val="1"/>
        </w:numPr>
      </w:pPr>
      <w:r>
        <w:t>The idea of an informed consent suggests that a patient or subject does more than express agreement with, acquiesce in, yield to, or comply with an arrangement or a proposal. He or she actively authorizes the proposal in the act of consent.</w:t>
      </w:r>
    </w:p>
    <w:p w:rsidR="00491901" w:rsidRDefault="00491901" w:rsidP="00491901">
      <w:pPr>
        <w:pStyle w:val="ListParagraph"/>
      </w:pPr>
    </w:p>
    <w:p w:rsidR="00491901" w:rsidRDefault="00491901" w:rsidP="00491901">
      <w:pPr>
        <w:pStyle w:val="ListParagraph"/>
        <w:numPr>
          <w:ilvl w:val="0"/>
          <w:numId w:val="1"/>
        </w:numPr>
      </w:pPr>
      <w:r>
        <w:lastRenderedPageBreak/>
        <w:t>John may assent to a treatment plan without authorizing it. The assent may be a mere submission to the doctor’s authoritative order, in which case John does not call on his own authority in order to give permission, and thus does not authorize the plan. Instead, he acts like a child who submits, yields, or assents to the school principal’s spanking and in no way gives permission for or authorizes the spanking. Just as the child merely submits to an authority in a system where the lines of authority are quite clear, so often do patients.</w:t>
      </w:r>
    </w:p>
    <w:p w:rsidR="00491901" w:rsidRDefault="00491901" w:rsidP="00491901">
      <w:pPr>
        <w:pStyle w:val="ListParagraph"/>
      </w:pPr>
    </w:p>
    <w:p w:rsidR="00491901" w:rsidRDefault="00491901" w:rsidP="00491901">
      <w:pPr>
        <w:pStyle w:val="ListParagraph"/>
        <w:numPr>
          <w:ilvl w:val="0"/>
          <w:numId w:val="1"/>
        </w:numPr>
      </w:pPr>
      <w:r>
        <w:t>Accordingly, an informed consent in sense1 should be defined as follows: an informed consent is an autonomous action by a subject or a patient that authorizes a professional either to involve the subject in research or to initiate a medical plan for the patient (or both).</w:t>
      </w:r>
    </w:p>
    <w:p w:rsidR="00491901" w:rsidRDefault="00491901" w:rsidP="00491901">
      <w:pPr>
        <w:pStyle w:val="ListParagraph"/>
      </w:pPr>
    </w:p>
    <w:p w:rsidR="00491901" w:rsidRDefault="00491901" w:rsidP="00491901">
      <w:pPr>
        <w:pStyle w:val="ListParagraph"/>
        <w:numPr>
          <w:ilvl w:val="0"/>
          <w:numId w:val="1"/>
        </w:numPr>
        <w:rPr>
          <w:highlight w:val="yellow"/>
        </w:rPr>
      </w:pPr>
      <w:r w:rsidRPr="00491901">
        <w:rPr>
          <w:highlight w:val="yellow"/>
        </w:rPr>
        <w:t>We can whittle down this definition by saying that an informed consent in sense1 is given if a patient or subject with (1) substantial understanding and (2) in substantial absence of control by others (3) intentionally (4) authorizes a professional (to do intervention I)</w:t>
      </w:r>
    </w:p>
    <w:p w:rsidR="00491901" w:rsidRPr="00491901" w:rsidRDefault="00491901" w:rsidP="00491901">
      <w:pPr>
        <w:pStyle w:val="ListParagraph"/>
        <w:rPr>
          <w:highlight w:val="yellow"/>
        </w:rPr>
      </w:pPr>
    </w:p>
    <w:p w:rsidR="00491901" w:rsidRDefault="00491901" w:rsidP="00491901">
      <w:pPr>
        <w:pStyle w:val="ListParagraph"/>
        <w:numPr>
          <w:ilvl w:val="0"/>
          <w:numId w:val="1"/>
        </w:numPr>
      </w:pPr>
      <w:r>
        <w:t>All substantially autonomous acts satisfy conditions 1–3; but it does not follow from that analysis alone that all such acts satisfy 4. The fourth condition is what distinguishes informed consent as one kind of autonomous action. (Note also that the definition restricts the kinds of authorization to medical and research contexts.) A person whose act satisfies conditions 1–3 but who refuses an intervention gives an informed refusal.</w:t>
      </w:r>
    </w:p>
    <w:p w:rsidR="00491901" w:rsidRDefault="00491901" w:rsidP="00491901">
      <w:pPr>
        <w:pStyle w:val="ListParagraph"/>
      </w:pPr>
    </w:p>
    <w:p w:rsidR="00491901" w:rsidRDefault="00491901" w:rsidP="00491901">
      <w:pPr>
        <w:pStyle w:val="ListParagraph"/>
        <w:rPr>
          <w:b/>
          <w:sz w:val="24"/>
        </w:rPr>
      </w:pPr>
      <w:proofErr w:type="gramStart"/>
      <w:r w:rsidRPr="00491901">
        <w:rPr>
          <w:b/>
          <w:sz w:val="24"/>
        </w:rPr>
        <w:t>Sense2 :</w:t>
      </w:r>
      <w:proofErr w:type="gramEnd"/>
      <w:r w:rsidRPr="00491901">
        <w:rPr>
          <w:b/>
          <w:sz w:val="24"/>
        </w:rPr>
        <w:t xml:space="preserve"> Informed Consent as Effective Consent</w:t>
      </w:r>
    </w:p>
    <w:p w:rsidR="00491901" w:rsidRDefault="00491901" w:rsidP="00491901">
      <w:pPr>
        <w:pStyle w:val="ListParagraph"/>
        <w:rPr>
          <w:b/>
          <w:sz w:val="24"/>
        </w:rPr>
      </w:pPr>
    </w:p>
    <w:p w:rsidR="00491901" w:rsidRDefault="00491901" w:rsidP="00491901">
      <w:pPr>
        <w:pStyle w:val="ListParagraph"/>
        <w:numPr>
          <w:ilvl w:val="0"/>
          <w:numId w:val="1"/>
        </w:numPr>
      </w:pPr>
      <w:r>
        <w:t>“Informed consent” in this second sense does not refer to autonomous authorization, but to a legally or institutionally effective (sometimes misleadingly called valid) authorization from a patient or a subject.</w:t>
      </w:r>
    </w:p>
    <w:p w:rsidR="00491901" w:rsidRDefault="00491901" w:rsidP="00491901">
      <w:pPr>
        <w:pStyle w:val="ListParagraph"/>
      </w:pPr>
    </w:p>
    <w:p w:rsidR="00491901" w:rsidRDefault="004B38E3" w:rsidP="00491901">
      <w:pPr>
        <w:pStyle w:val="ListParagraph"/>
        <w:numPr>
          <w:ilvl w:val="0"/>
          <w:numId w:val="1"/>
        </w:numPr>
      </w:pPr>
      <w:r>
        <w:t>Such an authorization is “effective” because it has been obtained through procedures that satisfy the rules and requirements defining a specific institutional practice in health care or in research.</w:t>
      </w:r>
    </w:p>
    <w:p w:rsidR="004B38E3" w:rsidRDefault="004B38E3" w:rsidP="004B38E3">
      <w:pPr>
        <w:pStyle w:val="ListParagraph"/>
      </w:pPr>
    </w:p>
    <w:p w:rsidR="004B38E3" w:rsidRDefault="004B38E3" w:rsidP="00491901">
      <w:pPr>
        <w:pStyle w:val="ListParagraph"/>
        <w:numPr>
          <w:ilvl w:val="0"/>
          <w:numId w:val="1"/>
        </w:numPr>
      </w:pPr>
      <w:r>
        <w:t>Sense2 requirements for informed consent typically do not focus on the autonomy of the act of giving consent (as sense1 does), but rather on regulating the behaviour of the consent seeker and on establishing procedures and rules for the context of consent. Such requirements of professional behaviour and procedure are obviously</w:t>
      </w:r>
    </w:p>
    <w:p w:rsidR="004B38E3" w:rsidRDefault="004B38E3" w:rsidP="004B38E3">
      <w:pPr>
        <w:pStyle w:val="ListParagraph"/>
      </w:pPr>
    </w:p>
    <w:p w:rsidR="004B38E3" w:rsidRDefault="004B38E3" w:rsidP="00491901">
      <w:pPr>
        <w:pStyle w:val="ListParagraph"/>
        <w:numPr>
          <w:ilvl w:val="0"/>
          <w:numId w:val="1"/>
        </w:numPr>
      </w:pPr>
      <w:r>
        <w:t>However, because formal institutional rules such as federal regulations and hospital policies govern whether an act of authorizing is effective, a patient or subject can autonomously authorize an intervention, and so give an informed consent in sense1 , and yet not effectively authorize that intervention in sense2 .</w:t>
      </w:r>
    </w:p>
    <w:p w:rsidR="004B38E3" w:rsidRDefault="004B38E3" w:rsidP="004B38E3">
      <w:pPr>
        <w:pStyle w:val="ListParagraph"/>
      </w:pPr>
    </w:p>
    <w:p w:rsidR="00F848F9" w:rsidRDefault="00F848F9" w:rsidP="004B38E3">
      <w:pPr>
        <w:pStyle w:val="ListParagraph"/>
      </w:pPr>
    </w:p>
    <w:p w:rsidR="00F848F9" w:rsidRDefault="00F848F9" w:rsidP="004B38E3">
      <w:pPr>
        <w:pStyle w:val="ListParagraph"/>
      </w:pPr>
    </w:p>
    <w:p w:rsidR="004B38E3" w:rsidRPr="00F848F9" w:rsidRDefault="00F848F9" w:rsidP="00F848F9">
      <w:pPr>
        <w:pStyle w:val="ListParagraph"/>
        <w:rPr>
          <w:b/>
          <w:sz w:val="24"/>
        </w:rPr>
      </w:pPr>
      <w:r w:rsidRPr="00F848F9">
        <w:rPr>
          <w:b/>
          <w:sz w:val="24"/>
        </w:rPr>
        <w:t>Sense1 vs Sense2</w:t>
      </w:r>
    </w:p>
    <w:p w:rsidR="00F848F9" w:rsidRDefault="00F848F9" w:rsidP="00F848F9">
      <w:pPr>
        <w:pStyle w:val="ListParagraph"/>
      </w:pPr>
    </w:p>
    <w:p w:rsidR="00F848F9" w:rsidRDefault="00F848F9" w:rsidP="00F848F9">
      <w:pPr>
        <w:pStyle w:val="ListParagraph"/>
        <w:numPr>
          <w:ilvl w:val="0"/>
          <w:numId w:val="1"/>
        </w:numPr>
      </w:pPr>
      <w:r>
        <w:t xml:space="preserve">Note that these two senses are not “co-extensive.” A patient may indeed have a full understanding and make an explicit verbal authorization for a procedure, and thus complete an informed consent in Sense-1. But, if the institution or law requires a patient to sign a particular waiver, or to talk with a particular counselor before the consent is considered “valid” or “effective,” then the Sense-1 consent does not result in </w:t>
      </w:r>
      <w:proofErr w:type="gramStart"/>
      <w:r>
        <w:t>a Sense</w:t>
      </w:r>
      <w:proofErr w:type="gramEnd"/>
      <w:r>
        <w:t>-2 consent until these steps are taken. Also, vice versa, someone may be taken through the institutional steps and successfully give Sense-2 consent (signing the waiver, for instance), but their understanding and the institutional pressures themselves may suggests that in fact they only “assented” rather than consented to the procedure, and so here we have a Sense-2 consent (a signed waiver) without a Sense-1 consent (a full understanding)</w:t>
      </w:r>
    </w:p>
    <w:p w:rsidR="00203162" w:rsidRDefault="00203162" w:rsidP="00203162">
      <w:pPr>
        <w:pStyle w:val="ListParagraph"/>
      </w:pPr>
    </w:p>
    <w:p w:rsidR="00B3523D" w:rsidRPr="00203162" w:rsidRDefault="00203162" w:rsidP="00203162">
      <w:pPr>
        <w:spacing w:after="300" w:line="240" w:lineRule="auto"/>
        <w:ind w:firstLine="720"/>
        <w:outlineLvl w:val="2"/>
        <w:rPr>
          <w:rFonts w:eastAsia="Times New Roman" w:cs="Arial"/>
          <w:b/>
          <w:color w:val="000000"/>
          <w:sz w:val="32"/>
          <w:szCs w:val="30"/>
          <w:lang w:eastAsia="en-CA"/>
        </w:rPr>
      </w:pPr>
      <w:r w:rsidRPr="00203162">
        <w:rPr>
          <w:rFonts w:eastAsia="Times New Roman" w:cs="Arial"/>
          <w:b/>
          <w:color w:val="000000"/>
          <w:sz w:val="32"/>
          <w:szCs w:val="30"/>
          <w:lang w:eastAsia="en-CA"/>
        </w:rPr>
        <w:t>Cultural Diversity and the Role of the Family</w:t>
      </w:r>
    </w:p>
    <w:p w:rsidR="00B3523D" w:rsidRPr="00203162" w:rsidRDefault="00B3523D" w:rsidP="00B3523D">
      <w:pPr>
        <w:pStyle w:val="ListParagraph"/>
        <w:rPr>
          <w:b/>
          <w:sz w:val="28"/>
        </w:rPr>
      </w:pPr>
      <w:r w:rsidRPr="00203162">
        <w:rPr>
          <w:b/>
          <w:sz w:val="28"/>
        </w:rPr>
        <w:t>Differing Opinions of Patient Best Interest</w:t>
      </w:r>
    </w:p>
    <w:p w:rsidR="00B3523D" w:rsidRDefault="00B3523D" w:rsidP="00B3523D">
      <w:pPr>
        <w:pStyle w:val="ListParagraph"/>
        <w:rPr>
          <w:b/>
          <w:sz w:val="24"/>
        </w:rPr>
      </w:pPr>
      <w:r w:rsidRPr="00B3523D">
        <w:rPr>
          <w:b/>
          <w:sz w:val="24"/>
        </w:rPr>
        <w:t xml:space="preserve">Quality Care and the Wounds of </w:t>
      </w:r>
      <w:r w:rsidRPr="00B3523D">
        <w:rPr>
          <w:b/>
          <w:sz w:val="24"/>
        </w:rPr>
        <w:t xml:space="preserve">Diversity by </w:t>
      </w:r>
      <w:r w:rsidRPr="00B3523D">
        <w:rPr>
          <w:b/>
          <w:sz w:val="24"/>
        </w:rPr>
        <w:t xml:space="preserve">Kenneth </w:t>
      </w:r>
      <w:proofErr w:type="spellStart"/>
      <w:r w:rsidRPr="00B3523D">
        <w:rPr>
          <w:b/>
          <w:sz w:val="24"/>
        </w:rPr>
        <w:t>Kipnis</w:t>
      </w:r>
      <w:proofErr w:type="spellEnd"/>
    </w:p>
    <w:p w:rsidR="00B3523D" w:rsidRDefault="00B3523D" w:rsidP="00B3523D">
      <w:pPr>
        <w:pStyle w:val="ListParagraph"/>
        <w:rPr>
          <w:b/>
          <w:sz w:val="24"/>
        </w:rPr>
      </w:pPr>
    </w:p>
    <w:p w:rsidR="00B3523D" w:rsidRDefault="00B3523D" w:rsidP="00B3523D">
      <w:pPr>
        <w:pStyle w:val="ListParagraph"/>
        <w:numPr>
          <w:ilvl w:val="0"/>
          <w:numId w:val="1"/>
        </w:numPr>
      </w:pPr>
      <w:r>
        <w:t>ethics consultation can be crit</w:t>
      </w:r>
      <w:r>
        <w:t>ically important in patient care</w:t>
      </w:r>
    </w:p>
    <w:p w:rsidR="00B3523D" w:rsidRDefault="00B3523D" w:rsidP="00B3523D">
      <w:pPr>
        <w:pStyle w:val="ListParagraph"/>
      </w:pPr>
    </w:p>
    <w:p w:rsidR="00B3523D" w:rsidRDefault="00B3523D" w:rsidP="00B3523D">
      <w:pPr>
        <w:pStyle w:val="ListParagraph"/>
        <w:numPr>
          <w:ilvl w:val="0"/>
          <w:numId w:val="1"/>
        </w:numPr>
      </w:pPr>
      <w:r>
        <w:t>Prejudice and stereotypical thinking patterns may be dominating a patient’s preferences when, for example, a Southern white male in an emergency room refuses to be treated by a black resident, or a Vietnam veteran objects to being attended by a Southeast Asian doctor</w:t>
      </w:r>
    </w:p>
    <w:p w:rsidR="00B3523D" w:rsidRDefault="00B3523D" w:rsidP="00B3523D">
      <w:pPr>
        <w:pStyle w:val="ListParagraph"/>
      </w:pPr>
    </w:p>
    <w:p w:rsidR="00B3523D" w:rsidRDefault="00B3523D" w:rsidP="00B3523D">
      <w:pPr>
        <w:pStyle w:val="ListParagraph"/>
        <w:numPr>
          <w:ilvl w:val="0"/>
          <w:numId w:val="1"/>
        </w:numPr>
      </w:pPr>
      <w:r>
        <w:t>While, on the one hand, clinicians have a professional concern to help make the patient comfortable, that value can be in conflict with both the civic obligation to refrain from becoming an instrument of invidious discrimination and the collegial obligation to stand up for the professional dignity of one’s colleagues.</w:t>
      </w:r>
    </w:p>
    <w:p w:rsidR="00B3523D" w:rsidRDefault="00B3523D" w:rsidP="00B3523D">
      <w:pPr>
        <w:pStyle w:val="ListParagraph"/>
      </w:pPr>
    </w:p>
    <w:p w:rsidR="00B3523D" w:rsidRDefault="001357E5" w:rsidP="00B3523D">
      <w:pPr>
        <w:pStyle w:val="ListParagraph"/>
        <w:numPr>
          <w:ilvl w:val="0"/>
          <w:numId w:val="1"/>
        </w:numPr>
      </w:pPr>
      <w:r>
        <w:t>When</w:t>
      </w:r>
      <w:r>
        <w:t xml:space="preserve"> is it appropriate to accommodate patient prejudice and when is it not?</w:t>
      </w:r>
    </w:p>
    <w:p w:rsidR="001357E5" w:rsidRDefault="001357E5" w:rsidP="001357E5">
      <w:pPr>
        <w:pStyle w:val="ListParagraph"/>
      </w:pPr>
    </w:p>
    <w:p w:rsidR="001357E5" w:rsidRDefault="001357E5" w:rsidP="00B3523D">
      <w:pPr>
        <w:pStyle w:val="ListParagraph"/>
        <w:numPr>
          <w:ilvl w:val="0"/>
          <w:numId w:val="1"/>
        </w:numPr>
      </w:pPr>
      <w:r>
        <w:t>One route might be to distinguish between prejudicial beliefs that are the consequence of past victimization and those that emerge purely as an integral aspect of the processes of oppression</w:t>
      </w:r>
    </w:p>
    <w:p w:rsidR="001357E5" w:rsidRDefault="001357E5" w:rsidP="001357E5">
      <w:pPr>
        <w:pStyle w:val="ListParagraph"/>
      </w:pPr>
    </w:p>
    <w:p w:rsidR="001357E5" w:rsidRDefault="001357E5" w:rsidP="00B3523D">
      <w:pPr>
        <w:pStyle w:val="ListParagraph"/>
        <w:numPr>
          <w:ilvl w:val="0"/>
          <w:numId w:val="1"/>
        </w:numPr>
      </w:pPr>
      <w:r>
        <w:t>It seems easy to sympathize with a Jewish survivor of the Nazi concentration camps who is severely distressed at the prospect of being treated by a German physician. It seems difficult to sympathize with an anti-Semitic skinhead who does not want to be seen or touched by a Jewish physician.</w:t>
      </w:r>
    </w:p>
    <w:p w:rsidR="001357E5" w:rsidRDefault="001357E5" w:rsidP="001357E5">
      <w:pPr>
        <w:pStyle w:val="ListParagraph"/>
      </w:pPr>
    </w:p>
    <w:p w:rsidR="001357E5" w:rsidRDefault="001357E5" w:rsidP="00B3523D">
      <w:pPr>
        <w:pStyle w:val="ListParagraph"/>
        <w:numPr>
          <w:ilvl w:val="0"/>
          <w:numId w:val="1"/>
        </w:numPr>
      </w:pPr>
      <w:r>
        <w:t>Th</w:t>
      </w:r>
      <w:r>
        <w:t>e world does not divide neatly into victims and oppressors; and, accordingly, a refusal to accommodate a prejudice-based preference may merely reflect the limits of our moral imagination</w:t>
      </w:r>
    </w:p>
    <w:p w:rsidR="001357E5" w:rsidRDefault="001357E5" w:rsidP="001357E5">
      <w:pPr>
        <w:pStyle w:val="ListParagraph"/>
      </w:pPr>
    </w:p>
    <w:p w:rsidR="001357E5" w:rsidRDefault="001357E5" w:rsidP="00B3523D">
      <w:pPr>
        <w:pStyle w:val="ListParagraph"/>
        <w:numPr>
          <w:ilvl w:val="0"/>
          <w:numId w:val="1"/>
        </w:numPr>
      </w:pPr>
      <w:r>
        <w:t>On the other hand, these preferences are very like those that have historically created institutionalized practices of sexism and racism.</w:t>
      </w:r>
    </w:p>
    <w:p w:rsidR="001357E5" w:rsidRDefault="001357E5" w:rsidP="001357E5">
      <w:pPr>
        <w:pStyle w:val="ListParagraph"/>
      </w:pPr>
    </w:p>
    <w:p w:rsidR="001357E5" w:rsidRDefault="001357E5" w:rsidP="00B3523D">
      <w:pPr>
        <w:pStyle w:val="ListParagraph"/>
        <w:numPr>
          <w:ilvl w:val="0"/>
          <w:numId w:val="1"/>
        </w:numPr>
      </w:pPr>
      <w:r>
        <w:t>In the face of all of these shortcomings, there is something to be said for mindfully striving to treat vulnerable patients with dignity and respect, even when their values are hateful.</w:t>
      </w:r>
    </w:p>
    <w:p w:rsidR="001357E5" w:rsidRDefault="001357E5" w:rsidP="001357E5">
      <w:pPr>
        <w:pStyle w:val="ListParagraph"/>
      </w:pPr>
    </w:p>
    <w:p w:rsidR="001357E5" w:rsidRDefault="00203162" w:rsidP="00B3523D">
      <w:pPr>
        <w:pStyle w:val="ListParagraph"/>
        <w:numPr>
          <w:ilvl w:val="0"/>
          <w:numId w:val="1"/>
        </w:numPr>
      </w:pPr>
      <w:proofErr w:type="spellStart"/>
      <w:r>
        <w:t>Kipnis</w:t>
      </w:r>
      <w:proofErr w:type="spellEnd"/>
      <w:r>
        <w:t xml:space="preserve"> also considers the “effect” accommodation might have on the continued “institutionalization” of the prejudice. For instance, in an isolated incident where occasionally a patient needs to be accommodated, perhaps this does nothing to reinforce the structures of racism and exclusion. But think about staffing decisions in a hospital in an area where racism remains a prevalent force. The fact that a large number of patients might refuse treatment from physicians of the victimized group might result in meaning that positions in the hospital cannot be opened up to those physicians.</w:t>
      </w:r>
    </w:p>
    <w:p w:rsidR="00203162" w:rsidRDefault="00203162" w:rsidP="00203162">
      <w:pPr>
        <w:pStyle w:val="ListParagraph"/>
      </w:pPr>
    </w:p>
    <w:p w:rsidR="00203162" w:rsidRDefault="00203162" w:rsidP="00203162">
      <w:pPr>
        <w:pStyle w:val="ListParagraph"/>
        <w:rPr>
          <w:b/>
          <w:sz w:val="24"/>
        </w:rPr>
      </w:pPr>
      <w:r w:rsidRPr="00203162">
        <w:rPr>
          <w:b/>
          <w:sz w:val="24"/>
        </w:rPr>
        <w:t>Ethical Relativism in a Multicultural Society</w:t>
      </w:r>
      <w:r w:rsidRPr="00203162">
        <w:rPr>
          <w:b/>
          <w:sz w:val="24"/>
        </w:rPr>
        <w:t xml:space="preserve"> by</w:t>
      </w:r>
      <w:r w:rsidRPr="00203162">
        <w:rPr>
          <w:b/>
          <w:sz w:val="24"/>
        </w:rPr>
        <w:t xml:space="preserve"> Ruth Macklin</w:t>
      </w:r>
    </w:p>
    <w:p w:rsidR="00203162" w:rsidRDefault="00203162" w:rsidP="00203162">
      <w:pPr>
        <w:pStyle w:val="ListParagraph"/>
        <w:rPr>
          <w:b/>
          <w:sz w:val="24"/>
        </w:rPr>
      </w:pPr>
    </w:p>
    <w:p w:rsidR="00203162" w:rsidRDefault="00203162" w:rsidP="00203162">
      <w:pPr>
        <w:pStyle w:val="ListParagraph"/>
        <w:numPr>
          <w:ilvl w:val="0"/>
          <w:numId w:val="1"/>
        </w:numPr>
      </w:pPr>
      <w:r>
        <w:t>Multiculturalism is defined as “a social-intellectual movement that promotes the value of diversity as a core principle and insists that all cultural groups be treated with respect and as equals” (</w:t>
      </w:r>
      <w:proofErr w:type="spellStart"/>
      <w:r>
        <w:t>Fowers</w:t>
      </w:r>
      <w:proofErr w:type="spellEnd"/>
      <w:r>
        <w:t xml:space="preserve"> and Richardson 1996: 609). This sounds like a value that few enlightened people could fault, but it produces dilemmas and leads to results that are, at the least, problematic if not counterintuitive.</w:t>
      </w:r>
    </w:p>
    <w:p w:rsidR="00203162" w:rsidRDefault="00203162" w:rsidP="00203162">
      <w:pPr>
        <w:pStyle w:val="ListParagraph"/>
      </w:pPr>
    </w:p>
    <w:p w:rsidR="00203162" w:rsidRDefault="004024B8" w:rsidP="00203162">
      <w:pPr>
        <w:pStyle w:val="ListParagraph"/>
        <w:numPr>
          <w:ilvl w:val="0"/>
          <w:numId w:val="1"/>
        </w:numPr>
      </w:pPr>
      <w:r>
        <w:t>Respect for autonomy is perfectly consistent with recognition of the important role that families play when a loved one is ill.</w:t>
      </w:r>
    </w:p>
    <w:p w:rsidR="004024B8" w:rsidRDefault="004024B8" w:rsidP="004024B8">
      <w:pPr>
        <w:pStyle w:val="ListParagraph"/>
      </w:pPr>
    </w:p>
    <w:p w:rsidR="004024B8" w:rsidRDefault="004024B8" w:rsidP="00203162">
      <w:pPr>
        <w:pStyle w:val="ListParagraph"/>
        <w:numPr>
          <w:ilvl w:val="0"/>
          <w:numId w:val="1"/>
        </w:numPr>
      </w:pPr>
      <w:r>
        <w:t>Autonomy has fallen into such disfavour among some bioethicists that the pendulum has begun to swing in the direction of families, with urgings to “take families seriously” (Nelson 1992) and even to consider the interests of family members equal to those of the competent patient (</w:t>
      </w:r>
      <w:proofErr w:type="spellStart"/>
      <w:r>
        <w:t>Hardwig</w:t>
      </w:r>
      <w:proofErr w:type="spellEnd"/>
      <w:r>
        <w:t xml:space="preserve"> 1990).</w:t>
      </w:r>
    </w:p>
    <w:p w:rsidR="004024B8" w:rsidRDefault="004024B8" w:rsidP="004024B8">
      <w:pPr>
        <w:pStyle w:val="ListParagraph"/>
      </w:pPr>
    </w:p>
    <w:p w:rsidR="004024B8" w:rsidRDefault="004024B8" w:rsidP="00203162">
      <w:pPr>
        <w:pStyle w:val="ListParagraph"/>
        <w:numPr>
          <w:ilvl w:val="0"/>
          <w:numId w:val="1"/>
        </w:numPr>
      </w:pPr>
      <w:r>
        <w:t>The discussion centred on the question of whether the physician’s obligation is to act in accordance with what contemporary medical ethics dictates in the United States or to respect the cultural difference of their patients and act according to the family’s wishes.</w:t>
      </w:r>
    </w:p>
    <w:p w:rsidR="004024B8" w:rsidRDefault="004024B8" w:rsidP="004024B8">
      <w:pPr>
        <w:pStyle w:val="ListParagraph"/>
      </w:pPr>
    </w:p>
    <w:p w:rsidR="004024B8" w:rsidRDefault="004024B8" w:rsidP="00203162">
      <w:pPr>
        <w:pStyle w:val="ListParagraph"/>
        <w:numPr>
          <w:ilvl w:val="0"/>
          <w:numId w:val="1"/>
        </w:numPr>
      </w:pPr>
      <w:r>
        <w:lastRenderedPageBreak/>
        <w:t>It is not, therefore, the cultural tradition that should determine whether disclosure to a patient is ethically appropriate, but rather the patient’s wish to communicate directly with the physician, to leave communications to the fa</w:t>
      </w:r>
      <w:r w:rsidR="0090283B">
        <w:t xml:space="preserve">mily, or something in between. </w:t>
      </w:r>
    </w:p>
    <w:p w:rsidR="004024B8" w:rsidRDefault="004024B8" w:rsidP="004024B8">
      <w:pPr>
        <w:pStyle w:val="ListParagraph"/>
      </w:pPr>
    </w:p>
    <w:p w:rsidR="004024B8" w:rsidRDefault="0090283B" w:rsidP="00203162">
      <w:pPr>
        <w:pStyle w:val="ListParagraph"/>
        <w:numPr>
          <w:ilvl w:val="0"/>
          <w:numId w:val="1"/>
        </w:numPr>
      </w:pPr>
      <w:r>
        <w:t>Macklin focuses on the fact that cultural norms for the disclosing to a patient of a serious diagnosis are very different. In the West, broadly construed, patients themselves expect to be given full disclosure, whereas in other cultures physicians typically disclose serious diagnosis to the family rather than the patient.</w:t>
      </w:r>
    </w:p>
    <w:p w:rsidR="0090283B" w:rsidRDefault="0090283B" w:rsidP="0090283B">
      <w:pPr>
        <w:pStyle w:val="ListParagraph"/>
      </w:pPr>
    </w:p>
    <w:p w:rsidR="0090283B" w:rsidRDefault="0090283B" w:rsidP="00203162">
      <w:pPr>
        <w:pStyle w:val="ListParagraph"/>
        <w:numPr>
          <w:ilvl w:val="0"/>
          <w:numId w:val="1"/>
        </w:numPr>
      </w:pPr>
      <w:r>
        <w:t>For a patient who is accustomed to individualism and expects full disclosure, failure to disclose a cancer diagnosis will be a harm; to a patient raised in a culture where the family receives the news and then makes medical decisions on behalf of the patient, an HCP that directly discloses the diagnosis to the patient may indeed also be causing a harm</w:t>
      </w:r>
    </w:p>
    <w:p w:rsidR="0090283B" w:rsidRDefault="0090283B" w:rsidP="0090283B">
      <w:pPr>
        <w:pStyle w:val="ListParagraph"/>
      </w:pPr>
    </w:p>
    <w:p w:rsidR="0090283B" w:rsidRDefault="0090283B" w:rsidP="0090283B">
      <w:pPr>
        <w:pStyle w:val="ListParagraph"/>
        <w:numPr>
          <w:ilvl w:val="0"/>
          <w:numId w:val="1"/>
        </w:numPr>
      </w:pPr>
      <w:r>
        <w:t>But what happens when a patient from one culture is being cared for in the other context? Is there a duty to uphold the local norms, or is there a duty to treat the patient according to their particular culturally shaped expectations?</w:t>
      </w:r>
    </w:p>
    <w:p w:rsidR="0090283B" w:rsidRDefault="0090283B" w:rsidP="0090283B">
      <w:pPr>
        <w:pStyle w:val="ListParagraph"/>
      </w:pPr>
    </w:p>
    <w:p w:rsidR="0090283B" w:rsidRDefault="0090283B" w:rsidP="0090283B">
      <w:pPr>
        <w:pStyle w:val="ListParagraph"/>
        <w:numPr>
          <w:ilvl w:val="0"/>
          <w:numId w:val="1"/>
        </w:numPr>
      </w:pPr>
      <w:r>
        <w:t>An attitude of always accommodating every cultural difference is not feasible, and an attitude of “well, here our custom is X so the visitor or immigrant Phil235 Lecture 2.2 15 will have to adapt to our culture” is perhaps not sufficiently caring.</w:t>
      </w:r>
    </w:p>
    <w:p w:rsidR="0090283B" w:rsidRDefault="0090283B" w:rsidP="0090283B">
      <w:pPr>
        <w:pStyle w:val="ListParagraph"/>
      </w:pPr>
    </w:p>
    <w:p w:rsidR="0090283B" w:rsidRDefault="0090283B" w:rsidP="0090283B">
      <w:pPr>
        <w:pStyle w:val="ListParagraph"/>
        <w:numPr>
          <w:ilvl w:val="0"/>
          <w:numId w:val="1"/>
        </w:numPr>
      </w:pPr>
      <w:r>
        <w:t>One of the studies Macklin cites concludes that HCPs should explicitly ask patients about how they would like information to be distributed. This would provide patients with the chance to decide if they or their families should be told, and far from rejecting the value of autonomy in favor of families, this would in fact be to respect the patient’s right to autonomously decide on the decision</w:t>
      </w:r>
      <w:r>
        <w:t>-</w:t>
      </w:r>
      <w:r>
        <w:t>making procedure of their choice (66). I</w:t>
      </w:r>
    </w:p>
    <w:p w:rsidR="0090283B" w:rsidRDefault="0090283B" w:rsidP="0090283B">
      <w:pPr>
        <w:pStyle w:val="ListParagraph"/>
      </w:pPr>
    </w:p>
    <w:p w:rsidR="0090283B" w:rsidRDefault="0090283B" w:rsidP="0090283B">
      <w:pPr>
        <w:pStyle w:val="ListParagraph"/>
        <w:numPr>
          <w:ilvl w:val="0"/>
          <w:numId w:val="1"/>
        </w:numPr>
      </w:pPr>
      <w:r>
        <w:t>Intolerance and Over-tolerance. Macklin also provides an important distinction of two extremes that should be avoided: intolerance (where practices that pose no threat are refused due to a lack of respect) and over</w:t>
      </w:r>
      <w:r>
        <w:t>-</w:t>
      </w:r>
      <w:r>
        <w:t>tolerance (such as when an HCP allows a family’s culturally based request to override the autonomy of the patient).</w:t>
      </w:r>
    </w:p>
    <w:p w:rsidR="0090283B" w:rsidRDefault="0090283B" w:rsidP="0090283B">
      <w:pPr>
        <w:pStyle w:val="ListParagraph"/>
      </w:pPr>
    </w:p>
    <w:p w:rsidR="0090283B" w:rsidRDefault="0090283B" w:rsidP="0090283B">
      <w:pPr>
        <w:pStyle w:val="ListParagraph"/>
        <w:numPr>
          <w:ilvl w:val="0"/>
          <w:numId w:val="1"/>
        </w:numPr>
      </w:pPr>
      <w:r>
        <w:t>For instance, a cultural practice of scattering a compound around a household to ward off bad spirits associated with illness may in fact put other members of the family at risk (especially children) if that compound happens to be toxic. Regulating against such a practice may appear to be “imposing our values” on another culture or subculture, but the reasoning here of protecting others from harm may justify this intervention.</w:t>
      </w:r>
    </w:p>
    <w:p w:rsidR="0090283B" w:rsidRDefault="0090283B" w:rsidP="0090283B">
      <w:pPr>
        <w:pStyle w:val="ListParagraph"/>
      </w:pPr>
    </w:p>
    <w:p w:rsidR="0090283B" w:rsidRDefault="0090283B" w:rsidP="0090283B">
      <w:pPr>
        <w:pStyle w:val="ListParagraph"/>
        <w:numPr>
          <w:ilvl w:val="0"/>
          <w:numId w:val="1"/>
        </w:numPr>
      </w:pPr>
      <w:r>
        <w:t>Cultural diversity, it seems, does not mean that anything goes. Rather, it means that ethical principles need to be flexible in their application in order to respond appropriately to genuine differences.</w:t>
      </w:r>
    </w:p>
    <w:p w:rsidR="0090283B" w:rsidRDefault="0090283B" w:rsidP="0090283B">
      <w:pPr>
        <w:pStyle w:val="ListParagraph"/>
      </w:pPr>
    </w:p>
    <w:p w:rsidR="0090283B" w:rsidRDefault="0090283B" w:rsidP="0090283B">
      <w:pPr>
        <w:pStyle w:val="ListParagraph"/>
        <w:numPr>
          <w:ilvl w:val="0"/>
          <w:numId w:val="1"/>
        </w:numPr>
      </w:pPr>
      <w:r>
        <w:t>She suggests that where no good reasons can be given, such as for procedures that “are manifestly harmful and have no compensating benefits except for the cultural belief that they are beneficial” can be rejected while still remaining open to being sensitive to cultural diversity.</w:t>
      </w:r>
    </w:p>
    <w:p w:rsidR="0090283B" w:rsidRDefault="0090283B" w:rsidP="0090283B">
      <w:pPr>
        <w:pStyle w:val="ListParagraph"/>
      </w:pPr>
    </w:p>
    <w:p w:rsidR="0090283B" w:rsidRDefault="0090283B" w:rsidP="0090283B">
      <w:pPr>
        <w:pStyle w:val="ListParagraph"/>
        <w:numPr>
          <w:ilvl w:val="0"/>
          <w:numId w:val="1"/>
        </w:numPr>
      </w:pPr>
      <w:r>
        <w:t>Moreover, to treat other cultures as having a final say would be to fail to treat individuals within that culture who may be oppressed by the culture, or who may be able to see certain harmful cultural beliefs as manifestly false, given some time and careful conversations about the facts as understood by Western medicine</w:t>
      </w:r>
    </w:p>
    <w:p w:rsidR="0090283B" w:rsidRDefault="0090283B" w:rsidP="0090283B">
      <w:pPr>
        <w:pStyle w:val="ListParagraph"/>
      </w:pPr>
    </w:p>
    <w:p w:rsidR="0090283B" w:rsidRPr="00203162" w:rsidRDefault="0090283B" w:rsidP="0090283B">
      <w:pPr>
        <w:pStyle w:val="ListParagraph"/>
        <w:numPr>
          <w:ilvl w:val="0"/>
          <w:numId w:val="1"/>
        </w:numPr>
      </w:pPr>
      <w:bookmarkStart w:id="0" w:name="_GoBack"/>
      <w:bookmarkEnd w:id="0"/>
    </w:p>
    <w:sectPr w:rsidR="0090283B" w:rsidRPr="0020316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8AD" w:rsidRDefault="00B518AD" w:rsidP="00BC3C6D">
      <w:pPr>
        <w:spacing w:after="0" w:line="240" w:lineRule="auto"/>
      </w:pPr>
      <w:r>
        <w:separator/>
      </w:r>
    </w:p>
  </w:endnote>
  <w:endnote w:type="continuationSeparator" w:id="0">
    <w:p w:rsidR="00B518AD" w:rsidRDefault="00B518AD" w:rsidP="00BC3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8AD" w:rsidRDefault="00B518AD" w:rsidP="00BC3C6D">
      <w:pPr>
        <w:spacing w:after="0" w:line="240" w:lineRule="auto"/>
      </w:pPr>
      <w:r>
        <w:separator/>
      </w:r>
    </w:p>
  </w:footnote>
  <w:footnote w:type="continuationSeparator" w:id="0">
    <w:p w:rsidR="00B518AD" w:rsidRDefault="00B518AD" w:rsidP="00BC3C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AF45EC"/>
    <w:multiLevelType w:val="hybridMultilevel"/>
    <w:tmpl w:val="647AF890"/>
    <w:lvl w:ilvl="0" w:tplc="8AA6A57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ED0"/>
    <w:rsid w:val="001357E5"/>
    <w:rsid w:val="00203162"/>
    <w:rsid w:val="004024B8"/>
    <w:rsid w:val="00480ED0"/>
    <w:rsid w:val="00491901"/>
    <w:rsid w:val="004B38E3"/>
    <w:rsid w:val="007909FC"/>
    <w:rsid w:val="00847EFC"/>
    <w:rsid w:val="0090283B"/>
    <w:rsid w:val="009366BA"/>
    <w:rsid w:val="00B3523D"/>
    <w:rsid w:val="00B518AD"/>
    <w:rsid w:val="00BC3C6D"/>
    <w:rsid w:val="00BD7280"/>
    <w:rsid w:val="00DF4138"/>
    <w:rsid w:val="00F848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0316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0E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ED0"/>
    <w:rPr>
      <w:rFonts w:ascii="Tahoma" w:hAnsi="Tahoma" w:cs="Tahoma"/>
      <w:sz w:val="16"/>
      <w:szCs w:val="16"/>
    </w:rPr>
  </w:style>
  <w:style w:type="paragraph" w:styleId="ListParagraph">
    <w:name w:val="List Paragraph"/>
    <w:basedOn w:val="Normal"/>
    <w:uiPriority w:val="34"/>
    <w:qFormat/>
    <w:rsid w:val="00480ED0"/>
    <w:pPr>
      <w:ind w:left="720"/>
      <w:contextualSpacing/>
    </w:pPr>
  </w:style>
  <w:style w:type="paragraph" w:styleId="Header">
    <w:name w:val="header"/>
    <w:basedOn w:val="Normal"/>
    <w:link w:val="HeaderChar"/>
    <w:uiPriority w:val="99"/>
    <w:unhideWhenUsed/>
    <w:rsid w:val="00BC3C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3C6D"/>
  </w:style>
  <w:style w:type="paragraph" w:styleId="Footer">
    <w:name w:val="footer"/>
    <w:basedOn w:val="Normal"/>
    <w:link w:val="FooterChar"/>
    <w:uiPriority w:val="99"/>
    <w:unhideWhenUsed/>
    <w:rsid w:val="00BC3C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3C6D"/>
  </w:style>
  <w:style w:type="character" w:customStyle="1" w:styleId="Heading3Char">
    <w:name w:val="Heading 3 Char"/>
    <w:basedOn w:val="DefaultParagraphFont"/>
    <w:link w:val="Heading3"/>
    <w:uiPriority w:val="9"/>
    <w:rsid w:val="00203162"/>
    <w:rPr>
      <w:rFonts w:ascii="Times New Roman" w:eastAsia="Times New Roman" w:hAnsi="Times New Roman" w:cs="Times New Roman"/>
      <w:b/>
      <w:bCs/>
      <w:sz w:val="27"/>
      <w:szCs w:val="27"/>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0316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0E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ED0"/>
    <w:rPr>
      <w:rFonts w:ascii="Tahoma" w:hAnsi="Tahoma" w:cs="Tahoma"/>
      <w:sz w:val="16"/>
      <w:szCs w:val="16"/>
    </w:rPr>
  </w:style>
  <w:style w:type="paragraph" w:styleId="ListParagraph">
    <w:name w:val="List Paragraph"/>
    <w:basedOn w:val="Normal"/>
    <w:uiPriority w:val="34"/>
    <w:qFormat/>
    <w:rsid w:val="00480ED0"/>
    <w:pPr>
      <w:ind w:left="720"/>
      <w:contextualSpacing/>
    </w:pPr>
  </w:style>
  <w:style w:type="paragraph" w:styleId="Header">
    <w:name w:val="header"/>
    <w:basedOn w:val="Normal"/>
    <w:link w:val="HeaderChar"/>
    <w:uiPriority w:val="99"/>
    <w:unhideWhenUsed/>
    <w:rsid w:val="00BC3C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3C6D"/>
  </w:style>
  <w:style w:type="paragraph" w:styleId="Footer">
    <w:name w:val="footer"/>
    <w:basedOn w:val="Normal"/>
    <w:link w:val="FooterChar"/>
    <w:uiPriority w:val="99"/>
    <w:unhideWhenUsed/>
    <w:rsid w:val="00BC3C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3C6D"/>
  </w:style>
  <w:style w:type="character" w:customStyle="1" w:styleId="Heading3Char">
    <w:name w:val="Heading 3 Char"/>
    <w:basedOn w:val="DefaultParagraphFont"/>
    <w:link w:val="Heading3"/>
    <w:uiPriority w:val="9"/>
    <w:rsid w:val="00203162"/>
    <w:rPr>
      <w:rFonts w:ascii="Times New Roman" w:eastAsia="Times New Roman" w:hAnsi="Times New Roman" w:cs="Times New Roman"/>
      <w:b/>
      <w:bCs/>
      <w:sz w:val="27"/>
      <w:szCs w:val="27"/>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93281">
      <w:bodyDiv w:val="1"/>
      <w:marLeft w:val="0"/>
      <w:marRight w:val="0"/>
      <w:marTop w:val="0"/>
      <w:marBottom w:val="0"/>
      <w:divBdr>
        <w:top w:val="none" w:sz="0" w:space="0" w:color="auto"/>
        <w:left w:val="none" w:sz="0" w:space="0" w:color="auto"/>
        <w:bottom w:val="none" w:sz="0" w:space="0" w:color="auto"/>
        <w:right w:val="none" w:sz="0" w:space="0" w:color="auto"/>
      </w:divBdr>
    </w:div>
    <w:div w:id="95185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3435</TotalTime>
  <Pages>10</Pages>
  <Words>3136</Words>
  <Characters>17881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Nunes</dc:creator>
  <cp:lastModifiedBy>Patricia Nunes</cp:lastModifiedBy>
  <cp:revision>2</cp:revision>
  <dcterms:created xsi:type="dcterms:W3CDTF">2015-10-09T23:12:00Z</dcterms:created>
  <dcterms:modified xsi:type="dcterms:W3CDTF">2015-10-13T17:24:00Z</dcterms:modified>
</cp:coreProperties>
</file>