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33FC95" w14:textId="77777777" w:rsidR="00EE359B" w:rsidRPr="00DB043D" w:rsidRDefault="009801E2" w:rsidP="00EE359B">
      <w:pPr>
        <w:pStyle w:val="NormalWeb"/>
        <w:spacing w:line="288" w:lineRule="auto"/>
        <w:rPr>
          <w:rFonts w:ascii="Calibri" w:hAnsi="Calibri"/>
          <w:b/>
          <w:sz w:val="20"/>
          <w:szCs w:val="20"/>
        </w:rPr>
      </w:pPr>
      <w:r w:rsidRPr="007F1B04">
        <w:rPr>
          <w:rFonts w:ascii="Calibri" w:hAnsi="Calibri"/>
          <w:b/>
          <w:sz w:val="20"/>
          <w:szCs w:val="20"/>
          <w:highlight w:val="yellow"/>
        </w:rPr>
        <w:t>1) </w:t>
      </w:r>
      <w:r w:rsidR="00EE359B" w:rsidRPr="007F1B04">
        <w:rPr>
          <w:rFonts w:ascii="Calibri" w:hAnsi="Calibri"/>
          <w:b/>
          <w:sz w:val="20"/>
          <w:szCs w:val="20"/>
          <w:highlight w:val="yellow"/>
        </w:rPr>
        <w:t>Explain the Gnosticism contained in the Gospel of Judas placing it in the context of when it was produced.</w:t>
      </w:r>
    </w:p>
    <w:p w14:paraId="1A6DB03B" w14:textId="77777777" w:rsidR="00EE359B" w:rsidRPr="00DB043D" w:rsidRDefault="00EE359B" w:rsidP="00EE359B">
      <w:pPr>
        <w:pStyle w:val="NormalWeb"/>
        <w:spacing w:line="288" w:lineRule="auto"/>
        <w:rPr>
          <w:rFonts w:ascii="Calibri" w:hAnsi="Calibri"/>
          <w:color w:val="000000"/>
          <w:sz w:val="20"/>
          <w:szCs w:val="20"/>
        </w:rPr>
      </w:pPr>
      <w:r w:rsidRPr="00DB043D">
        <w:rPr>
          <w:rStyle w:val="ececapple-style-span"/>
          <w:rFonts w:ascii="Calibri" w:hAnsi="Calibri"/>
          <w:color w:val="000000"/>
          <w:sz w:val="20"/>
          <w:szCs w:val="20"/>
        </w:rPr>
        <w:tab/>
        <w:t>Gnosticism was a religious movement that presented major challenges to Christianity in the 2</w:t>
      </w:r>
      <w:r w:rsidRPr="00DB043D">
        <w:rPr>
          <w:rStyle w:val="ececapple-style-span"/>
          <w:rFonts w:ascii="Calibri" w:hAnsi="Calibri"/>
          <w:color w:val="000000"/>
          <w:sz w:val="20"/>
          <w:szCs w:val="20"/>
          <w:vertAlign w:val="superscript"/>
        </w:rPr>
        <w:t>nd</w:t>
      </w:r>
      <w:r w:rsidRPr="00DB043D">
        <w:rPr>
          <w:rStyle w:val="ececapple-style-span"/>
          <w:rFonts w:ascii="Calibri" w:hAnsi="Calibri"/>
          <w:color w:val="000000"/>
          <w:sz w:val="20"/>
          <w:szCs w:val="20"/>
        </w:rPr>
        <w:t xml:space="preserve"> and 3</w:t>
      </w:r>
      <w:r w:rsidRPr="00DB043D">
        <w:rPr>
          <w:rStyle w:val="ececapple-style-span"/>
          <w:rFonts w:ascii="Calibri" w:hAnsi="Calibri"/>
          <w:color w:val="000000"/>
          <w:sz w:val="20"/>
          <w:szCs w:val="20"/>
          <w:vertAlign w:val="superscript"/>
        </w:rPr>
        <w:t>rd</w:t>
      </w:r>
      <w:r w:rsidRPr="00DB043D">
        <w:rPr>
          <w:rStyle w:val="ececapple-style-span"/>
          <w:rFonts w:ascii="Calibri" w:hAnsi="Calibri"/>
          <w:color w:val="000000"/>
          <w:sz w:val="20"/>
          <w:szCs w:val="20"/>
        </w:rPr>
        <w:t xml:space="preserve"> centuries. The Gnostics believed that they had a secret knowledge about God, the universe, and the kingdom. This secret knowledge was only accessible to the Gnostics and was an intuition and spiritual knowledge, not a scientific knowledge. The Gnostics believed they inherited a divine spark from God that enabled them to obtain and deeper comprehend this knowledge and have access to a better interpretation of scripture. They also had the full knowledge of the secrets of salvation. This knowledge about God, the universe, and the kingdom is brought from the outside world from a redeemer. For Christian Gnostics, Christ was that redeemer.</w:t>
      </w:r>
      <w:r w:rsidRPr="00DB043D">
        <w:rPr>
          <w:rFonts w:ascii="Calibri" w:hAnsi="Calibri"/>
          <w:color w:val="000000"/>
          <w:sz w:val="20"/>
          <w:szCs w:val="20"/>
        </w:rPr>
        <w:t xml:space="preserve"> </w:t>
      </w:r>
    </w:p>
    <w:p w14:paraId="7D0E8193" w14:textId="77777777" w:rsidR="00EE359B" w:rsidRPr="00DB043D" w:rsidRDefault="00EE359B" w:rsidP="00EE359B">
      <w:pPr>
        <w:pStyle w:val="NormalWeb"/>
        <w:spacing w:line="288" w:lineRule="auto"/>
        <w:rPr>
          <w:rFonts w:ascii="Calibri" w:hAnsi="Calibri"/>
          <w:color w:val="000000"/>
          <w:sz w:val="20"/>
          <w:szCs w:val="20"/>
        </w:rPr>
      </w:pPr>
      <w:r w:rsidRPr="00DB043D">
        <w:rPr>
          <w:rFonts w:ascii="Calibri" w:hAnsi="Calibri"/>
          <w:color w:val="000000"/>
          <w:sz w:val="20"/>
          <w:szCs w:val="20"/>
        </w:rPr>
        <w:tab/>
      </w:r>
      <w:r w:rsidRPr="00DB043D">
        <w:rPr>
          <w:rStyle w:val="ececapple-style-span"/>
          <w:rFonts w:ascii="Calibri" w:hAnsi="Calibri"/>
          <w:color w:val="000000"/>
          <w:sz w:val="20"/>
          <w:szCs w:val="20"/>
        </w:rPr>
        <w:t xml:space="preserve">The Gnosticism contained in the Gospel of Judas is </w:t>
      </w:r>
      <w:proofErr w:type="spellStart"/>
      <w:r w:rsidRPr="00DB043D">
        <w:rPr>
          <w:rStyle w:val="ececapple-style-span"/>
          <w:rFonts w:ascii="Calibri" w:hAnsi="Calibri"/>
          <w:color w:val="000000"/>
          <w:sz w:val="20"/>
          <w:szCs w:val="20"/>
        </w:rPr>
        <w:t>Sethian</w:t>
      </w:r>
      <w:proofErr w:type="spellEnd"/>
      <w:r w:rsidRPr="00DB043D">
        <w:rPr>
          <w:rStyle w:val="ececapple-style-span"/>
          <w:rFonts w:ascii="Calibri" w:hAnsi="Calibri"/>
          <w:color w:val="000000"/>
          <w:sz w:val="20"/>
          <w:szCs w:val="20"/>
        </w:rPr>
        <w:t xml:space="preserve"> Gnosticism. The explanations and reflections about this type of Gnosticism contained in the Gospel of Judas is what </w:t>
      </w:r>
      <w:proofErr w:type="gramStart"/>
      <w:r w:rsidRPr="00DB043D">
        <w:rPr>
          <w:rStyle w:val="ececapple-style-span"/>
          <w:rFonts w:ascii="Calibri" w:hAnsi="Calibri"/>
          <w:color w:val="000000"/>
          <w:sz w:val="20"/>
          <w:szCs w:val="20"/>
        </w:rPr>
        <w:t>makes</w:t>
      </w:r>
      <w:proofErr w:type="gramEnd"/>
      <w:r w:rsidRPr="00DB043D">
        <w:rPr>
          <w:rStyle w:val="ececapple-style-span"/>
          <w:rFonts w:ascii="Calibri" w:hAnsi="Calibri"/>
          <w:color w:val="000000"/>
          <w:sz w:val="20"/>
          <w:szCs w:val="20"/>
        </w:rPr>
        <w:t xml:space="preserve"> the Gospel so interesting and important. The Gospel of Judas is the most important discovery of Gnosticism. The </w:t>
      </w:r>
      <w:proofErr w:type="spellStart"/>
      <w:r w:rsidRPr="00DB043D">
        <w:rPr>
          <w:rStyle w:val="ececapple-style-span"/>
          <w:rFonts w:ascii="Calibri" w:hAnsi="Calibri"/>
          <w:color w:val="000000"/>
          <w:sz w:val="20"/>
          <w:szCs w:val="20"/>
        </w:rPr>
        <w:t>Sethian</w:t>
      </w:r>
      <w:proofErr w:type="spellEnd"/>
      <w:r w:rsidRPr="00DB043D">
        <w:rPr>
          <w:rStyle w:val="ececapple-style-span"/>
          <w:rFonts w:ascii="Calibri" w:hAnsi="Calibri"/>
          <w:color w:val="000000"/>
          <w:sz w:val="20"/>
          <w:szCs w:val="20"/>
        </w:rPr>
        <w:t xml:space="preserve"> Gnostics were believed to be descendants of Seth, who was the third son of Adam. Seth was believed to be a revealer and savior who inherited a secret revelation of the world, God, and the kingdom of heaven. </w:t>
      </w:r>
    </w:p>
    <w:p w14:paraId="308DE2CF" w14:textId="77777777" w:rsidR="00EE359B" w:rsidRPr="00DB043D" w:rsidRDefault="00EE359B" w:rsidP="00EE359B">
      <w:pPr>
        <w:pStyle w:val="NormalWeb"/>
        <w:spacing w:line="288" w:lineRule="auto"/>
        <w:rPr>
          <w:rStyle w:val="ececapple-style-span"/>
          <w:rFonts w:ascii="Calibri" w:hAnsi="Calibri"/>
          <w:color w:val="000000"/>
          <w:sz w:val="20"/>
          <w:szCs w:val="20"/>
        </w:rPr>
      </w:pPr>
      <w:r w:rsidRPr="00DB043D">
        <w:rPr>
          <w:rFonts w:ascii="Calibri" w:hAnsi="Calibri"/>
          <w:color w:val="000000"/>
          <w:sz w:val="20"/>
          <w:szCs w:val="20"/>
        </w:rPr>
        <w:tab/>
      </w:r>
      <w:r w:rsidRPr="00DB043D">
        <w:rPr>
          <w:rStyle w:val="ececapple-style-span"/>
          <w:rFonts w:ascii="Calibri" w:hAnsi="Calibri"/>
          <w:color w:val="000000"/>
          <w:sz w:val="20"/>
          <w:szCs w:val="20"/>
        </w:rPr>
        <w:t>Throughout the Gospel of Judas, there are many cues that show the reader that it is a Gnostic text.  First, it is important to understand that the Gospel was not written by Judas, but rather in Gnostic circles in the mid to late 2</w:t>
      </w:r>
      <w:r w:rsidRPr="00DB043D">
        <w:rPr>
          <w:rStyle w:val="ececapple-style-span"/>
          <w:rFonts w:ascii="Calibri" w:hAnsi="Calibri"/>
          <w:color w:val="000000"/>
          <w:sz w:val="20"/>
          <w:szCs w:val="20"/>
          <w:vertAlign w:val="superscript"/>
        </w:rPr>
        <w:t>nd</w:t>
      </w:r>
      <w:r w:rsidRPr="00DB043D">
        <w:rPr>
          <w:rStyle w:val="ececapple-style-span"/>
          <w:rFonts w:ascii="Calibri" w:hAnsi="Calibri"/>
          <w:color w:val="000000"/>
          <w:sz w:val="20"/>
          <w:szCs w:val="20"/>
        </w:rPr>
        <w:t xml:space="preserve"> century.  Christianity was still being developed at the time, and the movement of Gnosticism developed because they wanted to challenge the teachings about Jesus of proto-orthodox Christianity.  Gnosticism appeared in many forms; different teachers did not agree with each other, causing a lack of cohesion – all the same, it presented a major challenge to Christianity.  </w:t>
      </w:r>
    </w:p>
    <w:p w14:paraId="4E42E329" w14:textId="77777777" w:rsidR="00EE359B" w:rsidRPr="00DB043D" w:rsidRDefault="00EE359B" w:rsidP="00EE359B">
      <w:pPr>
        <w:pStyle w:val="NormalWeb"/>
        <w:spacing w:line="288" w:lineRule="auto"/>
        <w:rPr>
          <w:rStyle w:val="ececapple-style-span"/>
          <w:rFonts w:ascii="Calibri" w:hAnsi="Calibri"/>
          <w:color w:val="000000"/>
          <w:sz w:val="20"/>
          <w:szCs w:val="20"/>
        </w:rPr>
      </w:pPr>
      <w:r w:rsidRPr="00DB043D">
        <w:rPr>
          <w:rStyle w:val="ececapple-style-span"/>
          <w:rFonts w:ascii="Calibri" w:hAnsi="Calibri"/>
          <w:color w:val="000000"/>
          <w:sz w:val="20"/>
          <w:szCs w:val="20"/>
        </w:rPr>
        <w:tab/>
        <w:t>Through the discovery and translation of the Gospel of Judas in the early 21</w:t>
      </w:r>
      <w:r w:rsidRPr="00DB043D">
        <w:rPr>
          <w:rStyle w:val="ececapple-style-span"/>
          <w:rFonts w:ascii="Calibri" w:hAnsi="Calibri"/>
          <w:color w:val="000000"/>
          <w:sz w:val="20"/>
          <w:szCs w:val="20"/>
          <w:vertAlign w:val="superscript"/>
        </w:rPr>
        <w:t>st</w:t>
      </w:r>
      <w:r w:rsidRPr="00DB043D">
        <w:rPr>
          <w:rStyle w:val="ececapple-style-span"/>
          <w:rFonts w:ascii="Calibri" w:hAnsi="Calibri"/>
          <w:color w:val="000000"/>
          <w:sz w:val="20"/>
          <w:szCs w:val="20"/>
        </w:rPr>
        <w:t xml:space="preserve"> century, the character of Judas was first presented as a good person, in opposition to the original views of Judas in the Bible.  Later, with a more detailed translation, it was seen that Judas was not as good as perceived through the original translation of the text.</w:t>
      </w:r>
    </w:p>
    <w:p w14:paraId="77116C11" w14:textId="77777777" w:rsidR="00EE359B" w:rsidRPr="00DB043D" w:rsidRDefault="00EE359B" w:rsidP="00EE359B">
      <w:pPr>
        <w:pStyle w:val="NormalWeb"/>
        <w:spacing w:line="288" w:lineRule="auto"/>
        <w:rPr>
          <w:rStyle w:val="ececapple-style-span"/>
          <w:rFonts w:ascii="Calibri" w:hAnsi="Calibri"/>
          <w:color w:val="000000"/>
          <w:sz w:val="20"/>
          <w:szCs w:val="20"/>
        </w:rPr>
      </w:pPr>
      <w:r w:rsidRPr="00DB043D">
        <w:rPr>
          <w:rStyle w:val="ececapple-style-span"/>
          <w:rFonts w:ascii="Calibri" w:hAnsi="Calibri"/>
          <w:color w:val="000000"/>
          <w:sz w:val="20"/>
          <w:szCs w:val="20"/>
        </w:rPr>
        <w:tab/>
        <w:t xml:space="preserve">In the Gospel of Judas, there are many Gnostic characteristics that lead us to believe that it is a Gnostic text.  First, Jesus is presented as a Gnostic figure </w:t>
      </w:r>
      <w:proofErr w:type="gramStart"/>
      <w:r w:rsidRPr="00DB043D">
        <w:rPr>
          <w:rStyle w:val="ececapple-style-span"/>
          <w:rFonts w:ascii="Calibri" w:hAnsi="Calibri"/>
          <w:color w:val="000000"/>
          <w:sz w:val="20"/>
          <w:szCs w:val="20"/>
        </w:rPr>
        <w:t>who</w:t>
      </w:r>
      <w:proofErr w:type="gramEnd"/>
      <w:r w:rsidRPr="00DB043D">
        <w:rPr>
          <w:rStyle w:val="ececapple-style-span"/>
          <w:rFonts w:ascii="Calibri" w:hAnsi="Calibri"/>
          <w:color w:val="000000"/>
          <w:sz w:val="20"/>
          <w:szCs w:val="20"/>
        </w:rPr>
        <w:t xml:space="preserve"> brings secret knowledge to the world.  This information that he shares is not completely understood by his 12 disciples, but Judas shows that he believes he understands more than the others of what he must do.  The idea of the Gnostic Jesus is not the same as the Catholic Jesus, as they believed that he was not a supreme God, but rather an individual who brings important knowledge to the people about their being; that is, they are from a different realm and therefore have a spark of divinity that needs to be released in order to be able to go back to the spiritual realm, where they came from.  Therefore, Jesus is not seen as supremacy, but rather as the Divine Redeemer – a non-human who entered the body of a man in order to share his salvific knowledge.  He left the body of Jesus prior to his death, therefore Judas did not actually sacrifice Jesus, as sacrifices are seen as unjust in Gnosticism, but he rather helped free the “spirit” who finished spreading his knowledge.  </w:t>
      </w:r>
    </w:p>
    <w:p w14:paraId="726BAFA6" w14:textId="77777777" w:rsidR="00EE359B" w:rsidRPr="00DB043D" w:rsidRDefault="00EE359B" w:rsidP="00EE359B">
      <w:pPr>
        <w:pStyle w:val="NormalWeb"/>
        <w:spacing w:line="288" w:lineRule="auto"/>
        <w:rPr>
          <w:rStyle w:val="ececapple-style-span"/>
          <w:rFonts w:ascii="Calibri" w:hAnsi="Calibri"/>
          <w:color w:val="000000"/>
          <w:sz w:val="20"/>
          <w:szCs w:val="20"/>
        </w:rPr>
      </w:pPr>
      <w:r w:rsidRPr="00DB043D">
        <w:rPr>
          <w:rStyle w:val="ececapple-style-span"/>
          <w:rFonts w:ascii="Calibri" w:hAnsi="Calibri"/>
          <w:color w:val="000000"/>
          <w:sz w:val="20"/>
          <w:szCs w:val="20"/>
        </w:rPr>
        <w:lastRenderedPageBreak/>
        <w:tab/>
        <w:t xml:space="preserve">Other Gnostic characteristics present in the writing include Gnostic cosmology and Gnostic gods.  </w:t>
      </w:r>
      <w:proofErr w:type="spellStart"/>
      <w:r w:rsidRPr="00DB043D">
        <w:rPr>
          <w:rStyle w:val="ececapple-style-span"/>
          <w:rFonts w:ascii="Calibri" w:hAnsi="Calibri"/>
          <w:color w:val="000000"/>
          <w:sz w:val="20"/>
          <w:szCs w:val="20"/>
        </w:rPr>
        <w:t>Barbello</w:t>
      </w:r>
      <w:proofErr w:type="spellEnd"/>
      <w:r w:rsidRPr="00DB043D">
        <w:rPr>
          <w:rStyle w:val="ececapple-style-span"/>
          <w:rFonts w:ascii="Calibri" w:hAnsi="Calibri"/>
          <w:color w:val="000000"/>
          <w:sz w:val="20"/>
          <w:szCs w:val="20"/>
        </w:rPr>
        <w:t xml:space="preserve">, </w:t>
      </w:r>
      <w:proofErr w:type="spellStart"/>
      <w:r w:rsidRPr="00DB043D">
        <w:rPr>
          <w:rStyle w:val="ececapple-style-span"/>
          <w:rFonts w:ascii="Calibri" w:hAnsi="Calibri"/>
          <w:color w:val="000000"/>
          <w:sz w:val="20"/>
          <w:szCs w:val="20"/>
        </w:rPr>
        <w:t>Sarclas</w:t>
      </w:r>
      <w:proofErr w:type="spellEnd"/>
      <w:r w:rsidRPr="00DB043D">
        <w:rPr>
          <w:rStyle w:val="ececapple-style-span"/>
          <w:rFonts w:ascii="Calibri" w:hAnsi="Calibri"/>
          <w:color w:val="000000"/>
          <w:sz w:val="20"/>
          <w:szCs w:val="20"/>
        </w:rPr>
        <w:t xml:space="preserve"> and Sophia are mentioned in the text; Sophia is of great importance in the Gnostic understanding of the creation of the world, as it is because of her mistake that a material world was created and trapped sparks of divinity within it, creating people on Earth.  Secret knowledge, sacrifices and laughter are also important Gnostic details repeatedly present throughout the Gospel.  Overall, the ideas and facts within the Gospel of Judas show proof that this Gospel is one of Gnostic basis.       </w:t>
      </w:r>
    </w:p>
    <w:p w14:paraId="283E6DAA" w14:textId="77777777" w:rsidR="00EE359B" w:rsidRPr="00DB043D" w:rsidRDefault="009801E2" w:rsidP="00EE359B">
      <w:pPr>
        <w:pStyle w:val="NormalWeb"/>
        <w:spacing w:line="288" w:lineRule="auto"/>
        <w:rPr>
          <w:rFonts w:ascii="Calibri" w:hAnsi="Calibri"/>
          <w:b/>
          <w:sz w:val="20"/>
          <w:szCs w:val="20"/>
        </w:rPr>
      </w:pPr>
      <w:r w:rsidRPr="007F1B04">
        <w:rPr>
          <w:rFonts w:ascii="Calibri" w:hAnsi="Calibri"/>
          <w:b/>
          <w:sz w:val="20"/>
          <w:szCs w:val="20"/>
          <w:highlight w:val="yellow"/>
        </w:rPr>
        <w:t>4) </w:t>
      </w:r>
      <w:r w:rsidR="00EE359B" w:rsidRPr="007F1B04">
        <w:rPr>
          <w:rFonts w:ascii="Calibri" w:hAnsi="Calibri"/>
          <w:b/>
          <w:sz w:val="20"/>
          <w:szCs w:val="20"/>
          <w:highlight w:val="yellow"/>
        </w:rPr>
        <w:t>Explain the new relationships between church and emperor in the East and West in t</w:t>
      </w:r>
      <w:r w:rsidRPr="007F1B04">
        <w:rPr>
          <w:rFonts w:ascii="Calibri" w:hAnsi="Calibri"/>
          <w:b/>
          <w:sz w:val="20"/>
          <w:szCs w:val="20"/>
          <w:highlight w:val="yellow"/>
        </w:rPr>
        <w:t>he fourth and fifth centuries.</w:t>
      </w:r>
      <w:r>
        <w:rPr>
          <w:rFonts w:ascii="Calibri" w:hAnsi="Calibri"/>
          <w:b/>
          <w:sz w:val="20"/>
          <w:szCs w:val="20"/>
        </w:rPr>
        <w:t xml:space="preserve"> </w:t>
      </w:r>
    </w:p>
    <w:p w14:paraId="7E01DE0F" w14:textId="77777777" w:rsidR="001752E9" w:rsidRDefault="00EE359B" w:rsidP="00EE359B">
      <w:pPr>
        <w:pStyle w:val="NormalWeb"/>
        <w:spacing w:line="288" w:lineRule="auto"/>
        <w:ind w:firstLine="720"/>
        <w:rPr>
          <w:rStyle w:val="ececapple-style-span"/>
          <w:rFonts w:ascii="Calibri" w:hAnsi="Calibri"/>
          <w:color w:val="000000"/>
          <w:sz w:val="20"/>
          <w:szCs w:val="20"/>
        </w:rPr>
      </w:pPr>
      <w:r w:rsidRPr="00DB043D">
        <w:rPr>
          <w:rStyle w:val="ececapple-style-span"/>
          <w:rFonts w:ascii="Calibri" w:hAnsi="Calibri"/>
          <w:color w:val="000000"/>
          <w:sz w:val="20"/>
          <w:szCs w:val="20"/>
        </w:rPr>
        <w:t xml:space="preserve">In the Roman Empire there was freedom of religion with the exception of Christianity. The Roman religion was very complex because of the traditions and elements it borrowed from other sources. In the Roman world Christianity was seen as a sect that sprung out of Judaism and was looked down upon. This religion was seen as being disloyal to the state and having turned away form the recognized God. As a result Christians were accused of being atheists, dangerous, performing acts of cannibalism, murder, incest, and magic. They were also part of an antisocial group because of neglecting certain gods and ceremonies. As a result there were many major </w:t>
      </w:r>
      <w:r w:rsidR="001752E9" w:rsidRPr="00DB043D">
        <w:rPr>
          <w:rStyle w:val="ececapple-style-span"/>
          <w:rFonts w:ascii="Calibri" w:hAnsi="Calibri"/>
          <w:color w:val="000000"/>
          <w:sz w:val="20"/>
          <w:szCs w:val="20"/>
        </w:rPr>
        <w:t>persecutions, which</w:t>
      </w:r>
      <w:r w:rsidRPr="00DB043D">
        <w:rPr>
          <w:rStyle w:val="ececapple-style-span"/>
          <w:rFonts w:ascii="Calibri" w:hAnsi="Calibri"/>
          <w:color w:val="000000"/>
          <w:sz w:val="20"/>
          <w:szCs w:val="20"/>
        </w:rPr>
        <w:t xml:space="preserve"> caused many issues even after the persecutions were finished. One issue was how Christians were supposed to collaborate with the persecutors. Some consequences of the persecutions were destruction of churches, confiscation of property, prohibition of worship, arrests, and cancellation of legal and civil rights. </w:t>
      </w:r>
    </w:p>
    <w:p w14:paraId="28B0D458" w14:textId="77777777" w:rsidR="001752E9" w:rsidRDefault="00EE359B" w:rsidP="00EE359B">
      <w:pPr>
        <w:pStyle w:val="NormalWeb"/>
        <w:spacing w:line="288" w:lineRule="auto"/>
        <w:ind w:firstLine="720"/>
        <w:rPr>
          <w:rStyle w:val="ececapple-style-span"/>
          <w:rFonts w:ascii="Calibri" w:hAnsi="Calibri"/>
          <w:color w:val="000000"/>
          <w:sz w:val="20"/>
          <w:szCs w:val="20"/>
        </w:rPr>
      </w:pPr>
      <w:r w:rsidRPr="00DB043D">
        <w:rPr>
          <w:rFonts w:ascii="Calibri" w:hAnsi="Calibri"/>
          <w:color w:val="000000"/>
          <w:sz w:val="20"/>
          <w:szCs w:val="20"/>
        </w:rPr>
        <w:br/>
      </w:r>
      <w:r w:rsidRPr="00DB043D">
        <w:rPr>
          <w:rStyle w:val="ececapple-style-span"/>
          <w:rFonts w:ascii="Calibri" w:hAnsi="Calibri"/>
          <w:color w:val="000000"/>
          <w:sz w:val="20"/>
          <w:szCs w:val="20"/>
        </w:rPr>
        <w:t>With the help of Constantine and his sympathy toward Christianity the religion started to become tolerated and eventually fully legalized. Christians began to have access to positions with the government, money and support was given to churches, and as a whole Christianity became an establishment. Constantine did so by granting universal religious freedom after he had a vision of a cross that made clear to him his personal mission to convert the Roman Empire to Christianity. </w:t>
      </w:r>
    </w:p>
    <w:p w14:paraId="22CF0737" w14:textId="77777777" w:rsidR="00EE359B" w:rsidRPr="00DB043D" w:rsidRDefault="00EE359B" w:rsidP="00EE359B">
      <w:pPr>
        <w:pStyle w:val="NormalWeb"/>
        <w:spacing w:line="288" w:lineRule="auto"/>
        <w:ind w:firstLine="720"/>
        <w:rPr>
          <w:rFonts w:ascii="Calibri" w:hAnsi="Calibri"/>
          <w:b/>
          <w:sz w:val="20"/>
          <w:szCs w:val="20"/>
        </w:rPr>
      </w:pPr>
      <w:r w:rsidRPr="00DB043D">
        <w:rPr>
          <w:rFonts w:ascii="Calibri" w:hAnsi="Calibri"/>
          <w:color w:val="000000"/>
          <w:sz w:val="20"/>
          <w:szCs w:val="20"/>
        </w:rPr>
        <w:br/>
      </w:r>
      <w:r w:rsidRPr="00DB043D">
        <w:rPr>
          <w:rStyle w:val="ececapple-style-span"/>
          <w:rFonts w:ascii="Calibri" w:hAnsi="Calibri"/>
          <w:color w:val="000000"/>
          <w:sz w:val="20"/>
          <w:szCs w:val="20"/>
        </w:rPr>
        <w:t xml:space="preserve">Once Christianity became legalized there was a continuing conflict between church and emperor both in the east and the west in terms of power. In the west there was the theory of the two powers: Throne and Alter. There was the worldly power that was guided by the emperor and the heavenly power that was guided by the bishops. It was required that the bishops and the emperor work together for the good of the society. However, in the case of the west this did not happen. The two powers were separated. The bishop and the pope went against the emperor and there were many quarrels such as the decision of who was suppose to appoint the new bishop. The emperor believed he was the one with the ultimate power while the pope believed he was the power of the church therefore it being his decision. In the fifth century </w:t>
      </w:r>
      <w:proofErr w:type="gramStart"/>
      <w:r w:rsidRPr="00DB043D">
        <w:rPr>
          <w:rStyle w:val="ececapple-style-span"/>
          <w:rFonts w:ascii="Calibri" w:hAnsi="Calibri"/>
          <w:color w:val="000000"/>
          <w:sz w:val="20"/>
          <w:szCs w:val="20"/>
        </w:rPr>
        <w:t>the western territory of Rome was attacked by barbarian groups that took over</w:t>
      </w:r>
      <w:proofErr w:type="gramEnd"/>
      <w:r w:rsidRPr="00DB043D">
        <w:rPr>
          <w:rStyle w:val="ececapple-style-span"/>
          <w:rFonts w:ascii="Calibri" w:hAnsi="Calibri"/>
          <w:color w:val="000000"/>
          <w:sz w:val="20"/>
          <w:szCs w:val="20"/>
        </w:rPr>
        <w:t>. In the east there was a better relationship between the two powers much stronger than that of the west. An example of this still exists today and is that of the Vatican. The pope to this day is still the political ruler in Vatican City. The model in the east is the model of harmony. The emperor and patriarch mixed and there was a submission of the church to the state. Therefore there was still a little bit of separation between the two. </w:t>
      </w:r>
    </w:p>
    <w:p w14:paraId="7773BC22" w14:textId="77777777" w:rsidR="00595DC9" w:rsidRDefault="00595DC9" w:rsidP="00595DC9">
      <w:pPr>
        <w:pStyle w:val="NormalWeb"/>
        <w:spacing w:line="288" w:lineRule="auto"/>
        <w:rPr>
          <w:highlight w:val="yellow"/>
        </w:rPr>
      </w:pPr>
    </w:p>
    <w:p w14:paraId="7B549B40" w14:textId="77777777" w:rsidR="00EE359B" w:rsidRPr="00595DC9" w:rsidRDefault="00EE359B" w:rsidP="00595DC9">
      <w:pPr>
        <w:pStyle w:val="NormalWeb"/>
        <w:spacing w:line="288" w:lineRule="auto"/>
        <w:rPr>
          <w:rStyle w:val="ececapple-style-span"/>
          <w:rFonts w:ascii="Calibri" w:hAnsi="Calibri"/>
          <w:color w:val="000000"/>
          <w:sz w:val="20"/>
          <w:szCs w:val="20"/>
        </w:rPr>
      </w:pPr>
      <w:proofErr w:type="gramStart"/>
      <w:r w:rsidRPr="007F1B04">
        <w:rPr>
          <w:highlight w:val="yellow"/>
        </w:rPr>
        <w:lastRenderedPageBreak/>
        <w:t xml:space="preserve">5) </w:t>
      </w:r>
      <w:r w:rsidRPr="007F1B04">
        <w:rPr>
          <w:sz w:val="14"/>
          <w:szCs w:val="14"/>
          <w:highlight w:val="yellow"/>
        </w:rPr>
        <w:t>  </w:t>
      </w:r>
      <w:r w:rsidRPr="007F1B04">
        <w:rPr>
          <w:highlight w:val="yellow"/>
        </w:rPr>
        <w:t>E</w:t>
      </w:r>
      <w:r w:rsidRPr="007F1B04">
        <w:rPr>
          <w:rStyle w:val="ececapple-style-span"/>
          <w:rFonts w:ascii="Calibri" w:hAnsi="Calibri"/>
          <w:color w:val="000000"/>
          <w:sz w:val="20"/>
          <w:szCs w:val="20"/>
          <w:highlight w:val="yellow"/>
        </w:rPr>
        <w:t>xplain</w:t>
      </w:r>
      <w:proofErr w:type="gramEnd"/>
      <w:r w:rsidRPr="007F1B04">
        <w:rPr>
          <w:rStyle w:val="ececapple-style-span"/>
          <w:rFonts w:ascii="Calibri" w:hAnsi="Calibri"/>
          <w:color w:val="000000"/>
          <w:sz w:val="20"/>
          <w:szCs w:val="20"/>
          <w:highlight w:val="yellow"/>
        </w:rPr>
        <w:t xml:space="preserve"> the notion of original sin in Augustine of Hippo and its relationship with the human free will.</w:t>
      </w:r>
    </w:p>
    <w:p w14:paraId="77D4D105"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sz w:val="20"/>
          <w:szCs w:val="20"/>
        </w:rPr>
        <w:t xml:space="preserve">Saint </w:t>
      </w:r>
      <w:proofErr w:type="gramStart"/>
      <w:r w:rsidRPr="00595DC9">
        <w:rPr>
          <w:rStyle w:val="ececapple-style-span"/>
          <w:rFonts w:ascii="Calibri" w:hAnsi="Calibri"/>
          <w:sz w:val="20"/>
          <w:szCs w:val="20"/>
        </w:rPr>
        <w:t>Augustine,</w:t>
      </w:r>
      <w:proofErr w:type="gramEnd"/>
      <w:r w:rsidRPr="00595DC9">
        <w:rPr>
          <w:rStyle w:val="ececapple-style-span"/>
          <w:rFonts w:ascii="Calibri" w:hAnsi="Calibri"/>
          <w:sz w:val="20"/>
          <w:szCs w:val="20"/>
        </w:rPr>
        <w:t xml:space="preserve"> was one of the foremost philosopher-theologians of early Christianity and, while serving (396-430) as bishop of Hippo </w:t>
      </w:r>
      <w:proofErr w:type="spellStart"/>
      <w:r w:rsidRPr="00595DC9">
        <w:rPr>
          <w:rStyle w:val="ececapple-style-span"/>
          <w:rFonts w:ascii="Calibri" w:hAnsi="Calibri"/>
          <w:sz w:val="20"/>
          <w:szCs w:val="20"/>
        </w:rPr>
        <w:t>Regius</w:t>
      </w:r>
      <w:proofErr w:type="spellEnd"/>
      <w:r w:rsidRPr="00595DC9">
        <w:rPr>
          <w:rStyle w:val="ececapple-style-span"/>
          <w:rFonts w:ascii="Calibri" w:hAnsi="Calibri"/>
          <w:sz w:val="20"/>
          <w:szCs w:val="20"/>
        </w:rPr>
        <w:t>, the leading figure in the church of North Africa. He had a profound influence on the subsequent development of Western thought and culture and, more than any other person, shaped the themes and defined the problems that have characterized the Western tradition of Christian Theology. Among his many writings considered classics, the two most celebrated are his semiautobiographical Confessions, which contains elements of Mysticism, and City of God, a Christian vision of history.</w:t>
      </w:r>
    </w:p>
    <w:p w14:paraId="3A63A6E0"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sz w:val="20"/>
          <w:szCs w:val="20"/>
        </w:rPr>
        <w:t>Augustine believed that original sin manifested itself in sexual desire. His attitude towards sex was not unusual for his time: “Augustine lived in an ascetic age, where the sensitive man already felt humiliated by his body and where his clerical readers would have been increasingly celibate”</w:t>
      </w:r>
    </w:p>
    <w:p w14:paraId="1C05B52C"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color w:val="000000"/>
          <w:sz w:val="20"/>
          <w:szCs w:val="20"/>
        </w:rPr>
        <w:t xml:space="preserve">Augustine believed sin originated with free will, which is a created good Free will implies the ability to do evil. It is a voluntary </w:t>
      </w:r>
      <w:proofErr w:type="spellStart"/>
      <w:r w:rsidRPr="00595DC9">
        <w:rPr>
          <w:rStyle w:val="ececapple-style-span"/>
          <w:rFonts w:ascii="Calibri" w:hAnsi="Calibri"/>
          <w:color w:val="000000"/>
          <w:sz w:val="20"/>
          <w:szCs w:val="20"/>
        </w:rPr>
        <w:t>noncompulsory</w:t>
      </w:r>
      <w:proofErr w:type="spellEnd"/>
      <w:r w:rsidRPr="00595DC9">
        <w:rPr>
          <w:rStyle w:val="ececapple-style-span"/>
          <w:rFonts w:ascii="Calibri" w:hAnsi="Calibri"/>
          <w:color w:val="000000"/>
          <w:sz w:val="20"/>
          <w:szCs w:val="20"/>
        </w:rPr>
        <w:t xml:space="preserve"> self-determined act. Augustine appears to have later contradicted this view when he concluded that </w:t>
      </w:r>
      <w:proofErr w:type="spellStart"/>
      <w:r w:rsidRPr="00595DC9">
        <w:rPr>
          <w:rStyle w:val="ececapple-style-span"/>
          <w:rFonts w:ascii="Calibri" w:hAnsi="Calibri"/>
          <w:color w:val="000000"/>
          <w:sz w:val="20"/>
          <w:szCs w:val="20"/>
        </w:rPr>
        <w:t>Donatists</w:t>
      </w:r>
      <w:proofErr w:type="spellEnd"/>
      <w:r w:rsidRPr="00595DC9">
        <w:rPr>
          <w:rStyle w:val="ececapple-style-span"/>
          <w:rFonts w:ascii="Calibri" w:hAnsi="Calibri"/>
          <w:color w:val="000000"/>
          <w:sz w:val="20"/>
          <w:szCs w:val="20"/>
        </w:rPr>
        <w:t xml:space="preserve"> could be forced to believe against their </w:t>
      </w:r>
      <w:proofErr w:type="gramStart"/>
      <w:r w:rsidRPr="00595DC9">
        <w:rPr>
          <w:rStyle w:val="ececapple-style-span"/>
          <w:rFonts w:ascii="Calibri" w:hAnsi="Calibri"/>
          <w:color w:val="000000"/>
          <w:sz w:val="20"/>
          <w:szCs w:val="20"/>
        </w:rPr>
        <w:t>will .</w:t>
      </w:r>
      <w:proofErr w:type="gramEnd"/>
      <w:r w:rsidRPr="00595DC9">
        <w:rPr>
          <w:rStyle w:val="ececapple-style-span"/>
          <w:rFonts w:ascii="Calibri" w:hAnsi="Calibri"/>
          <w:color w:val="000000"/>
          <w:sz w:val="20"/>
          <w:szCs w:val="20"/>
        </w:rPr>
        <w:t xml:space="preserve"> With the fall man lost the ability to do good without God's grace, yet he retains the ability of free choice to accept God's </w:t>
      </w:r>
      <w:proofErr w:type="gramStart"/>
      <w:r w:rsidRPr="00595DC9">
        <w:rPr>
          <w:rStyle w:val="ececapple-style-span"/>
          <w:rFonts w:ascii="Calibri" w:hAnsi="Calibri"/>
          <w:color w:val="000000"/>
          <w:sz w:val="20"/>
          <w:szCs w:val="20"/>
        </w:rPr>
        <w:t>grace .True</w:t>
      </w:r>
      <w:proofErr w:type="gramEnd"/>
      <w:r w:rsidRPr="00595DC9">
        <w:rPr>
          <w:rStyle w:val="ececapple-style-span"/>
          <w:rFonts w:ascii="Calibri" w:hAnsi="Calibri"/>
          <w:color w:val="000000"/>
          <w:sz w:val="20"/>
          <w:szCs w:val="20"/>
        </w:rPr>
        <w:t xml:space="preserve"> freedom, however, is not the ability to sin but the ability to do good which only the redeemed have.</w:t>
      </w:r>
    </w:p>
    <w:p w14:paraId="22040BA3"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sz w:val="20"/>
          <w:szCs w:val="20"/>
        </w:rPr>
        <w:t>Augustine lived in a society where many religious philosophies related the body to evil; his struggles with his own desires left him fascinated and perplexed with the concept of evil. He strove to reconcile his own shortcomings with the immaculate perfection of God and God’s creation</w:t>
      </w:r>
    </w:p>
    <w:p w14:paraId="103F3DF7"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sz w:val="20"/>
          <w:szCs w:val="20"/>
        </w:rPr>
        <w:t>Augustine eventually developed the theory that all humans are inherently evil because of Adam’s sin, which is transmitted through semen; no one is good, and we do not have free will because we are trapped in sin.</w:t>
      </w:r>
    </w:p>
    <w:p w14:paraId="6538E6B9"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sz w:val="20"/>
          <w:szCs w:val="20"/>
        </w:rPr>
        <w:t>Humans become evil, then, at the moment of conception; no one is innocent, not even infants, their sin evident in their ability to act selfishly or jealously. Original sin proved compatible with other theological ideas, such as the virgin birth; if sin is transmitted through semen during conception, then all humans are implicated except for Christ.</w:t>
      </w:r>
    </w:p>
    <w:p w14:paraId="52F837AC"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sz w:val="20"/>
          <w:szCs w:val="20"/>
        </w:rPr>
        <w:t>Initial Reactions to Original Sin</w:t>
      </w:r>
    </w:p>
    <w:p w14:paraId="177CB3FA"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sz w:val="20"/>
          <w:szCs w:val="20"/>
        </w:rPr>
        <w:t>Although it was initially contested, the notion of original sin soon became widely accepted. It may seem puzzling to outsiders why people would voluntarily accept such a negative, condemning idea. Some Christians of the time did disagree; they found the concept of original sin contrary to foundational beliefs such as the goodness of creation and the human freedom.</w:t>
      </w:r>
    </w:p>
    <w:p w14:paraId="26114647"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sz w:val="20"/>
          <w:szCs w:val="20"/>
        </w:rPr>
        <w:t xml:space="preserve">In Augustine’s time, however, many people lived in a “mentality of dependence,” so Augustine’s explanation fit perfectly with society's outlook. Original sin also provides an answer to theodicy. Original </w:t>
      </w:r>
      <w:r w:rsidRPr="00595DC9">
        <w:rPr>
          <w:rStyle w:val="ececapple-style-span"/>
          <w:rFonts w:ascii="Calibri" w:hAnsi="Calibri"/>
          <w:sz w:val="20"/>
          <w:szCs w:val="20"/>
        </w:rPr>
        <w:lastRenderedPageBreak/>
        <w:t xml:space="preserve">sin does not ease suffering, but for Christians, it proposes an answer as to why humans must suffer; as </w:t>
      </w:r>
      <w:proofErr w:type="spellStart"/>
      <w:r w:rsidRPr="00595DC9">
        <w:rPr>
          <w:rStyle w:val="ececapple-style-span"/>
          <w:rFonts w:ascii="Calibri" w:hAnsi="Calibri"/>
          <w:sz w:val="20"/>
          <w:szCs w:val="20"/>
        </w:rPr>
        <w:t>Pagels</w:t>
      </w:r>
      <w:proofErr w:type="spellEnd"/>
      <w:r w:rsidRPr="00595DC9">
        <w:rPr>
          <w:rStyle w:val="ececapple-style-span"/>
          <w:rFonts w:ascii="Calibri" w:hAnsi="Calibri"/>
          <w:sz w:val="20"/>
          <w:szCs w:val="20"/>
        </w:rPr>
        <w:t xml:space="preserve"> explains, perhaps “people would rather feel guilty than helpless” (146).</w:t>
      </w:r>
    </w:p>
    <w:p w14:paraId="7FC1DE11"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sz w:val="20"/>
          <w:szCs w:val="20"/>
        </w:rPr>
        <w:t>Emperors would also have supported the idea of original sin, since it reinforced their power; because man, a fallen creature, could not control himself, he needed “more than purely spiritual pressures to keep him from evil.</w:t>
      </w:r>
    </w:p>
    <w:p w14:paraId="4B712EEE" w14:textId="77777777" w:rsidR="00EE359B" w:rsidRPr="00595DC9" w:rsidRDefault="00EE359B" w:rsidP="00595DC9">
      <w:pPr>
        <w:pStyle w:val="NormalWeb"/>
        <w:spacing w:line="288" w:lineRule="auto"/>
        <w:rPr>
          <w:rStyle w:val="ececapple-style-span"/>
          <w:rFonts w:ascii="Calibri" w:hAnsi="Calibri"/>
          <w:sz w:val="20"/>
          <w:szCs w:val="20"/>
        </w:rPr>
      </w:pPr>
      <w:r w:rsidRPr="00595DC9">
        <w:rPr>
          <w:rStyle w:val="ececapple-style-span"/>
          <w:rFonts w:ascii="Calibri" w:hAnsi="Calibri"/>
          <w:sz w:val="20"/>
          <w:szCs w:val="20"/>
        </w:rPr>
        <w:t xml:space="preserve">According to </w:t>
      </w:r>
      <w:proofErr w:type="spellStart"/>
      <w:r w:rsidRPr="00595DC9">
        <w:rPr>
          <w:rStyle w:val="ececapple-style-span"/>
          <w:rFonts w:ascii="Calibri" w:hAnsi="Calibri"/>
          <w:sz w:val="20"/>
          <w:szCs w:val="20"/>
        </w:rPr>
        <w:t>Pagels</w:t>
      </w:r>
      <w:proofErr w:type="spellEnd"/>
      <w:r w:rsidRPr="00595DC9">
        <w:rPr>
          <w:rStyle w:val="ececapple-style-span"/>
          <w:rFonts w:ascii="Calibri" w:hAnsi="Calibri"/>
          <w:sz w:val="20"/>
          <w:szCs w:val="20"/>
        </w:rPr>
        <w:t>, “Augustine’s dark vision of a human nature ravaged by original sin and overrun by lust for power rules out uncritical adulation and qualifies his endorsement of imperial rule” (118). Interestingly, though, Christians believe that the power and authority to control human sinfulness is, under imperial rule, given to merely another fallen and sinful human.</w:t>
      </w:r>
    </w:p>
    <w:p w14:paraId="4EA190EF" w14:textId="149ACBCF" w:rsidR="009801E2" w:rsidRPr="007F1B04" w:rsidRDefault="009801E2" w:rsidP="007F1B04">
      <w:pPr>
        <w:pStyle w:val="NormalWeb"/>
        <w:spacing w:line="288" w:lineRule="auto"/>
        <w:rPr>
          <w:rStyle w:val="ececapple-style-span"/>
          <w:rFonts w:ascii="Calibri" w:hAnsi="Calibri"/>
          <w:sz w:val="20"/>
          <w:szCs w:val="20"/>
        </w:rPr>
      </w:pPr>
      <w:r w:rsidRPr="007F1B04">
        <w:rPr>
          <w:rStyle w:val="ececapple-style-span"/>
          <w:rFonts w:ascii="Calibri" w:hAnsi="Calibri"/>
          <w:sz w:val="20"/>
          <w:szCs w:val="20"/>
          <w:highlight w:val="yellow"/>
        </w:rPr>
        <w:t xml:space="preserve">1) In using the theories of Peter Brown of the saints and ascetics as revered patrons for their followers as discussed by Gerard </w:t>
      </w:r>
      <w:proofErr w:type="spellStart"/>
      <w:r w:rsidRPr="007F1B04">
        <w:rPr>
          <w:rStyle w:val="ececapple-style-span"/>
          <w:rFonts w:ascii="Calibri" w:hAnsi="Calibri"/>
          <w:sz w:val="20"/>
          <w:szCs w:val="20"/>
          <w:highlight w:val="yellow"/>
        </w:rPr>
        <w:t>Vallee</w:t>
      </w:r>
      <w:proofErr w:type="spellEnd"/>
      <w:r w:rsidRPr="007F1B04">
        <w:rPr>
          <w:rStyle w:val="ececapple-style-span"/>
          <w:rFonts w:ascii="Calibri" w:hAnsi="Calibri"/>
          <w:sz w:val="20"/>
          <w:szCs w:val="20"/>
          <w:highlight w:val="yellow"/>
        </w:rPr>
        <w:t>, please explain the life of Mary of Egypt as a powerful symbol of Christian asceticism.</w:t>
      </w:r>
    </w:p>
    <w:p w14:paraId="2A09141F" w14:textId="11896EB0" w:rsidR="009801E2" w:rsidRPr="007F1B04" w:rsidRDefault="009801E2" w:rsidP="007F1B04">
      <w:pPr>
        <w:pStyle w:val="NormalWeb"/>
        <w:spacing w:line="288" w:lineRule="auto"/>
        <w:rPr>
          <w:rStyle w:val="ececapple-style-span"/>
          <w:rFonts w:ascii="Calibri" w:hAnsi="Calibri"/>
          <w:sz w:val="20"/>
          <w:szCs w:val="20"/>
        </w:rPr>
      </w:pPr>
      <w:r w:rsidRPr="007F1B04">
        <w:rPr>
          <w:rStyle w:val="ececapple-style-span"/>
          <w:rFonts w:ascii="Calibri" w:hAnsi="Calibri"/>
          <w:sz w:val="20"/>
          <w:szCs w:val="20"/>
        </w:rPr>
        <w:t>In the first 3 centuries, Christian communities faced persecution at the hand s of the roman authorities. In a time of crisis, Christians turned to saints and ascetics for counsel and guidance, as they were exemplars of the faith. The biography of Mary of Egypt proves at which extent saints and ascetics influenced Christians of Alexandria and Jerusalem at the time. Further, Mary of Egypt’s transformation from a harlot to asceticism provides evidence of redemption and spiritual cultivation as symbol of Christian asceticism.</w:t>
      </w:r>
    </w:p>
    <w:p w14:paraId="25E07F86" w14:textId="60680909" w:rsidR="009801E2" w:rsidRPr="007F1B04" w:rsidRDefault="009801E2" w:rsidP="007F1B04">
      <w:pPr>
        <w:pStyle w:val="NormalWeb"/>
        <w:spacing w:line="288" w:lineRule="auto"/>
        <w:rPr>
          <w:rStyle w:val="ececapple-style-span"/>
          <w:rFonts w:ascii="Calibri" w:hAnsi="Calibri"/>
          <w:sz w:val="20"/>
          <w:szCs w:val="20"/>
        </w:rPr>
      </w:pPr>
      <w:r w:rsidRPr="007F1B04">
        <w:rPr>
          <w:rStyle w:val="ececapple-style-span"/>
          <w:rFonts w:ascii="Calibri" w:hAnsi="Calibri"/>
          <w:sz w:val="20"/>
          <w:szCs w:val="20"/>
        </w:rPr>
        <w:t>Christians believed that religion should be separate from the state because people were beginning to do bad things and praying to false gods. In the west of the Empire people admired saints while in the East people followed ascetics.  Peter Brown suggests that saints were “friends of God” because they had devoted their life to Christian practice. Saints were seen more as intermediaries, between God and his people. In times of persecution they bore witness to God, dying rather than giving up on their fate. Also, he believed that ascetics were people who had devoted their life to religion symbolically. They were holy people who left the city to move to the dessert and live a virtuous life through fasting, chastity and poverty. This move provided Christians to escape temptation and live a good moral life apart from society. Peter Brown argued that both saints and ascetics are both accessible exemplars who helped the religious and political transition from paganism and Christianity.</w:t>
      </w:r>
    </w:p>
    <w:p w14:paraId="0FD4ADA8" w14:textId="122F99D4" w:rsidR="009801E2" w:rsidRPr="007F1B04" w:rsidRDefault="009801E2" w:rsidP="007F1B04">
      <w:pPr>
        <w:pStyle w:val="NormalWeb"/>
        <w:spacing w:line="288" w:lineRule="auto"/>
        <w:rPr>
          <w:rStyle w:val="ececapple-style-span"/>
          <w:rFonts w:ascii="Calibri" w:hAnsi="Calibri"/>
          <w:sz w:val="20"/>
          <w:szCs w:val="20"/>
        </w:rPr>
      </w:pPr>
      <w:r w:rsidRPr="007F1B04">
        <w:rPr>
          <w:rStyle w:val="ececapple-style-span"/>
          <w:rFonts w:ascii="Calibri" w:hAnsi="Calibri"/>
          <w:sz w:val="20"/>
          <w:szCs w:val="20"/>
        </w:rPr>
        <w:tab/>
        <w:t xml:space="preserve">Mary of Egypt is famous Eastern ascetic that devoted her life to God and self-denial. Mary of Egypt had left her parent’s home at the young age of 12 and moved to Alexandria. Living in such a commercial and cultural center she became a harlot living a promiscuous lifestyle. At 29 years of age she spontaneously decided to move to Jerusalem, travelling with a group of Libyan and Egyptian men, in return for sexual </w:t>
      </w:r>
      <w:proofErr w:type="spellStart"/>
      <w:r w:rsidRPr="007F1B04">
        <w:rPr>
          <w:rStyle w:val="ececapple-style-span"/>
          <w:rFonts w:ascii="Calibri" w:hAnsi="Calibri"/>
          <w:sz w:val="20"/>
          <w:szCs w:val="20"/>
        </w:rPr>
        <w:t>favors</w:t>
      </w:r>
      <w:proofErr w:type="spellEnd"/>
      <w:r w:rsidRPr="007F1B04">
        <w:rPr>
          <w:rStyle w:val="ececapple-style-span"/>
          <w:rFonts w:ascii="Calibri" w:hAnsi="Calibri"/>
          <w:sz w:val="20"/>
          <w:szCs w:val="20"/>
        </w:rPr>
        <w:t>. On the celebration of Feast of Exaltation of the Holy Cross, Mary of Egypt had followed the crowd towards church, once she reached the church doors she was unable to enter. When she had tried to go through the doors she was repelled by a force. She then tried again until she realized that her sinful ways were the reason for her exclusion from the church. Just then her eyes fell upon a </w:t>
      </w:r>
      <w:hyperlink r:id="rId6" w:history="1">
        <w:r w:rsidRPr="007F1B04">
          <w:rPr>
            <w:rStyle w:val="ececapple-style-span"/>
            <w:rFonts w:ascii="Calibri" w:hAnsi="Calibri"/>
            <w:sz w:val="20"/>
            <w:szCs w:val="20"/>
          </w:rPr>
          <w:t>statue</w:t>
        </w:r>
      </w:hyperlink>
      <w:r w:rsidRPr="007F1B04">
        <w:rPr>
          <w:rStyle w:val="ececapple-style-span"/>
          <w:rFonts w:ascii="Calibri" w:hAnsi="Calibri"/>
          <w:sz w:val="20"/>
          <w:szCs w:val="20"/>
        </w:rPr>
        <w:t xml:space="preserve"> of the </w:t>
      </w:r>
      <w:hyperlink r:id="rId7" w:history="1">
        <w:r w:rsidRPr="007F1B04">
          <w:rPr>
            <w:rStyle w:val="ececapple-style-span"/>
            <w:rFonts w:ascii="Calibri" w:hAnsi="Calibri"/>
            <w:sz w:val="20"/>
            <w:szCs w:val="20"/>
          </w:rPr>
          <w:t>Blessed Virgin</w:t>
        </w:r>
      </w:hyperlink>
      <w:r w:rsidRPr="007F1B04">
        <w:rPr>
          <w:rStyle w:val="ececapple-style-span"/>
          <w:rFonts w:ascii="Calibri" w:hAnsi="Calibri"/>
          <w:sz w:val="20"/>
          <w:szCs w:val="20"/>
        </w:rPr>
        <w:t> above the spot where she was standing, and in deep </w:t>
      </w:r>
      <w:hyperlink r:id="rId8" w:history="1">
        <w:r w:rsidRPr="007F1B04">
          <w:rPr>
            <w:rStyle w:val="ececapple-style-span"/>
            <w:rFonts w:ascii="Calibri" w:hAnsi="Calibri"/>
            <w:sz w:val="20"/>
            <w:szCs w:val="20"/>
          </w:rPr>
          <w:t>faith</w:t>
        </w:r>
      </w:hyperlink>
      <w:r w:rsidRPr="007F1B04">
        <w:rPr>
          <w:rStyle w:val="ececapple-style-span"/>
          <w:rFonts w:ascii="Calibri" w:hAnsi="Calibri"/>
          <w:sz w:val="20"/>
          <w:szCs w:val="20"/>
        </w:rPr>
        <w:t xml:space="preserve"> she besought her for help. She prayed for permission to enter the church, promising that if her request </w:t>
      </w:r>
      <w:proofErr w:type="gramStart"/>
      <w:r w:rsidRPr="007F1B04">
        <w:rPr>
          <w:rStyle w:val="ececapple-style-span"/>
          <w:rFonts w:ascii="Calibri" w:hAnsi="Calibri"/>
          <w:sz w:val="20"/>
          <w:szCs w:val="20"/>
        </w:rPr>
        <w:t>was</w:t>
      </w:r>
      <w:proofErr w:type="gramEnd"/>
      <w:r w:rsidRPr="007F1B04">
        <w:rPr>
          <w:rStyle w:val="ececapple-style-span"/>
          <w:rFonts w:ascii="Calibri" w:hAnsi="Calibri"/>
          <w:sz w:val="20"/>
          <w:szCs w:val="20"/>
        </w:rPr>
        <w:t xml:space="preserve"> granted, she would then renounce forever her lifestyle. She then attempted once more to cross the church doors, and </w:t>
      </w:r>
      <w:r w:rsidRPr="007F1B04">
        <w:rPr>
          <w:rStyle w:val="ececapple-style-span"/>
          <w:rFonts w:ascii="Calibri" w:hAnsi="Calibri"/>
          <w:sz w:val="20"/>
          <w:szCs w:val="20"/>
        </w:rPr>
        <w:lastRenderedPageBreak/>
        <w:t>this time she was granted entrance. As she prayed for help and guidance for her new life a voice ordered her to cross the river of Jordan. And so she did with a mere supply of three loaves of bread in which she survived on for 47 years. The dessert allowed her to repent and avoid leading men into sexual temptation. Finally after 17 years, through her practices and by the grace of the Virgin Mary she is cured fro</w:t>
      </w:r>
      <w:r w:rsidR="00577309" w:rsidRPr="007F1B04">
        <w:rPr>
          <w:rStyle w:val="ececapple-style-span"/>
          <w:rFonts w:ascii="Calibri" w:hAnsi="Calibri"/>
          <w:sz w:val="20"/>
          <w:szCs w:val="20"/>
        </w:rPr>
        <w:t>m</w:t>
      </w:r>
      <w:r w:rsidRPr="007F1B04">
        <w:rPr>
          <w:rStyle w:val="ececapple-style-span"/>
          <w:rFonts w:ascii="Calibri" w:hAnsi="Calibri"/>
          <w:sz w:val="20"/>
          <w:szCs w:val="20"/>
        </w:rPr>
        <w:t xml:space="preserve"> her desires.</w:t>
      </w:r>
    </w:p>
    <w:p w14:paraId="5F437AC8" w14:textId="472D21A6" w:rsidR="009801E2" w:rsidRPr="007F1B04" w:rsidRDefault="009801E2" w:rsidP="007F1B04">
      <w:pPr>
        <w:pStyle w:val="NormalWeb"/>
        <w:spacing w:line="288" w:lineRule="auto"/>
        <w:rPr>
          <w:rStyle w:val="ececapple-style-span"/>
          <w:rFonts w:ascii="Calibri" w:hAnsi="Calibri"/>
          <w:sz w:val="20"/>
          <w:szCs w:val="20"/>
        </w:rPr>
      </w:pPr>
      <w:r w:rsidRPr="007F1B04">
        <w:rPr>
          <w:rStyle w:val="ececapple-style-span"/>
          <w:rFonts w:ascii="Calibri" w:hAnsi="Calibri"/>
          <w:sz w:val="20"/>
          <w:szCs w:val="20"/>
        </w:rPr>
        <w:t xml:space="preserve">A famous Monk named </w:t>
      </w:r>
      <w:proofErr w:type="spellStart"/>
      <w:r w:rsidRPr="007F1B04">
        <w:rPr>
          <w:rStyle w:val="ececapple-style-span"/>
          <w:rFonts w:ascii="Calibri" w:hAnsi="Calibri"/>
          <w:sz w:val="20"/>
          <w:szCs w:val="20"/>
        </w:rPr>
        <w:t>Zosimas</w:t>
      </w:r>
      <w:proofErr w:type="spellEnd"/>
      <w:r w:rsidRPr="007F1B04">
        <w:rPr>
          <w:rStyle w:val="ececapple-style-span"/>
          <w:rFonts w:ascii="Calibri" w:hAnsi="Calibri"/>
          <w:sz w:val="20"/>
          <w:szCs w:val="20"/>
        </w:rPr>
        <w:t xml:space="preserve"> was led to Mary of Egypt by an illusion of a human body in the sky. When he and Mary of Egypt met, she was already aware of his name before he had introduced himself. She then asked him for his benediction and recounts her journey to him. The following year the famous monk returned to her with the Eucharist. To meet him, Mary of Egypt miraculously crossed the Jordan by walking on the water and receives her communion. Bidding him to come back one more time, </w:t>
      </w:r>
      <w:proofErr w:type="spellStart"/>
      <w:r w:rsidRPr="007F1B04">
        <w:rPr>
          <w:rStyle w:val="ececapple-style-span"/>
          <w:rFonts w:ascii="Calibri" w:hAnsi="Calibri"/>
          <w:sz w:val="20"/>
          <w:szCs w:val="20"/>
        </w:rPr>
        <w:t>Zosimas</w:t>
      </w:r>
      <w:proofErr w:type="spellEnd"/>
      <w:r w:rsidRPr="007F1B04">
        <w:rPr>
          <w:rStyle w:val="ececapple-style-span"/>
          <w:rFonts w:ascii="Calibri" w:hAnsi="Calibri"/>
          <w:sz w:val="20"/>
          <w:szCs w:val="20"/>
        </w:rPr>
        <w:t xml:space="preserve"> does so and finds Mary of Egypt dead. Next to her a message written in the sand ordered him to bury her body. As he is burying her he receives the help from a lion that appeared from nowhere. </w:t>
      </w:r>
      <w:bookmarkStart w:id="0" w:name="_GoBack"/>
      <w:bookmarkEnd w:id="0"/>
    </w:p>
    <w:p w14:paraId="3ACA2BEA" w14:textId="77777777" w:rsidR="009801E2" w:rsidRPr="007F1B04" w:rsidRDefault="009801E2" w:rsidP="007F1B04">
      <w:pPr>
        <w:pStyle w:val="NormalWeb"/>
        <w:spacing w:line="288" w:lineRule="auto"/>
        <w:rPr>
          <w:rStyle w:val="ececapple-style-span"/>
          <w:rFonts w:ascii="Calibri" w:hAnsi="Calibri"/>
          <w:sz w:val="20"/>
          <w:szCs w:val="20"/>
        </w:rPr>
      </w:pPr>
      <w:r w:rsidRPr="007F1B04">
        <w:rPr>
          <w:rStyle w:val="ececapple-style-span"/>
          <w:rFonts w:ascii="Calibri" w:hAnsi="Calibri"/>
          <w:sz w:val="20"/>
          <w:szCs w:val="20"/>
        </w:rPr>
        <w:t xml:space="preserve">Mary is a powerful symbol of </w:t>
      </w:r>
      <w:proofErr w:type="spellStart"/>
      <w:r w:rsidRPr="007F1B04">
        <w:rPr>
          <w:rStyle w:val="ececapple-style-span"/>
          <w:rFonts w:ascii="Calibri" w:hAnsi="Calibri"/>
          <w:sz w:val="20"/>
          <w:szCs w:val="20"/>
        </w:rPr>
        <w:t>Christin</w:t>
      </w:r>
      <w:proofErr w:type="spellEnd"/>
      <w:r w:rsidRPr="007F1B04">
        <w:rPr>
          <w:rStyle w:val="ececapple-style-span"/>
          <w:rFonts w:ascii="Calibri" w:hAnsi="Calibri"/>
          <w:sz w:val="20"/>
          <w:szCs w:val="20"/>
        </w:rPr>
        <w:t xml:space="preserve"> Asceticism. The more one’s fervour toward God, the less </w:t>
      </w:r>
      <w:proofErr w:type="gramStart"/>
      <w:r w:rsidRPr="007F1B04">
        <w:rPr>
          <w:rStyle w:val="ececapple-style-span"/>
          <w:rFonts w:ascii="Calibri" w:hAnsi="Calibri"/>
          <w:sz w:val="20"/>
          <w:szCs w:val="20"/>
        </w:rPr>
        <w:t>one needed</w:t>
      </w:r>
      <w:proofErr w:type="gramEnd"/>
      <w:r w:rsidRPr="007F1B04">
        <w:rPr>
          <w:rStyle w:val="ececapple-style-span"/>
          <w:rFonts w:ascii="Calibri" w:hAnsi="Calibri"/>
          <w:sz w:val="20"/>
          <w:szCs w:val="20"/>
        </w:rPr>
        <w:t xml:space="preserve"> material possessions (food, shelter, clothing) to sustain them. Her excessive self-control and only when Mary gives her life to god is when she is healed of her lustfulness. Mary is granted spiritual gifts as proof of God’s grace because she knows </w:t>
      </w:r>
      <w:proofErr w:type="spellStart"/>
      <w:r w:rsidRPr="007F1B04">
        <w:rPr>
          <w:rStyle w:val="ececapple-style-span"/>
          <w:rFonts w:ascii="Calibri" w:hAnsi="Calibri"/>
          <w:sz w:val="20"/>
          <w:szCs w:val="20"/>
        </w:rPr>
        <w:t>Zosimos</w:t>
      </w:r>
      <w:proofErr w:type="spellEnd"/>
      <w:r w:rsidRPr="007F1B04">
        <w:rPr>
          <w:rStyle w:val="ececapple-style-span"/>
          <w:rFonts w:ascii="Calibri" w:hAnsi="Calibri"/>
          <w:sz w:val="20"/>
          <w:szCs w:val="20"/>
        </w:rPr>
        <w:t xml:space="preserve"> name even though she has never met him. She levitates on water when she is trying to cross water to </w:t>
      </w:r>
      <w:proofErr w:type="spellStart"/>
      <w:r w:rsidRPr="007F1B04">
        <w:rPr>
          <w:rStyle w:val="ececapple-style-span"/>
          <w:rFonts w:ascii="Calibri" w:hAnsi="Calibri"/>
          <w:sz w:val="20"/>
          <w:szCs w:val="20"/>
        </w:rPr>
        <w:t>Jerusalam</w:t>
      </w:r>
      <w:proofErr w:type="spellEnd"/>
      <w:r w:rsidRPr="007F1B04">
        <w:rPr>
          <w:rStyle w:val="ececapple-style-span"/>
          <w:rFonts w:ascii="Calibri" w:hAnsi="Calibri"/>
          <w:sz w:val="20"/>
          <w:szCs w:val="20"/>
        </w:rPr>
        <w:t xml:space="preserve">. Mary’s conversion suggests that god can only heal human weakness. </w:t>
      </w:r>
    </w:p>
    <w:p w14:paraId="79038101" w14:textId="77777777" w:rsidR="009801E2" w:rsidRPr="007F1B04" w:rsidRDefault="009801E2" w:rsidP="007F1B04">
      <w:pPr>
        <w:pStyle w:val="NormalWeb"/>
        <w:spacing w:line="288" w:lineRule="auto"/>
        <w:rPr>
          <w:rStyle w:val="ececapple-style-span"/>
          <w:rFonts w:ascii="Calibri" w:hAnsi="Calibri"/>
          <w:sz w:val="20"/>
          <w:szCs w:val="20"/>
        </w:rPr>
      </w:pPr>
      <w:r w:rsidRPr="007F1B04">
        <w:rPr>
          <w:rStyle w:val="ececapple-style-span"/>
          <w:rFonts w:ascii="Calibri" w:hAnsi="Calibri"/>
          <w:sz w:val="20"/>
          <w:szCs w:val="20"/>
        </w:rPr>
        <w:tab/>
      </w:r>
    </w:p>
    <w:p w14:paraId="1678EAC4" w14:textId="77777777" w:rsidR="00BA0C66" w:rsidRPr="00BA0C66" w:rsidRDefault="00BA0C66" w:rsidP="00BA0C66">
      <w:pPr>
        <w:pStyle w:val="NormalWeb"/>
        <w:spacing w:line="288" w:lineRule="auto"/>
        <w:rPr>
          <w:rFonts w:ascii="Calibri" w:hAnsi="Calibri"/>
          <w:color w:val="000000"/>
          <w:sz w:val="20"/>
          <w:szCs w:val="20"/>
        </w:rPr>
      </w:pPr>
    </w:p>
    <w:sectPr w:rsidR="00BA0C66" w:rsidRPr="00BA0C66" w:rsidSect="006F45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3"/>
      <w:numFmt w:val="decimal"/>
      <w:isLgl/>
      <w:lvlText w:val="%1)"/>
      <w:lvlJc w:val="left"/>
      <w:pPr>
        <w:tabs>
          <w:tab w:val="num" w:pos="280"/>
        </w:tabs>
        <w:ind w:left="280" w:firstLine="0"/>
      </w:pPr>
      <w:rPr>
        <w:rFonts w:hint="default"/>
        <w:position w:val="0"/>
      </w:rPr>
    </w:lvl>
    <w:lvl w:ilvl="1">
      <w:start w:val="1"/>
      <w:numFmt w:val="decimal"/>
      <w:isLgl/>
      <w:lvlText w:val="%2)"/>
      <w:lvlJc w:val="left"/>
      <w:pPr>
        <w:tabs>
          <w:tab w:val="num" w:pos="280"/>
        </w:tabs>
        <w:ind w:left="280" w:firstLine="720"/>
      </w:pPr>
      <w:rPr>
        <w:rFonts w:hint="default"/>
        <w:position w:val="0"/>
      </w:rPr>
    </w:lvl>
    <w:lvl w:ilvl="2">
      <w:start w:val="1"/>
      <w:numFmt w:val="decimal"/>
      <w:isLgl/>
      <w:lvlText w:val="%3)"/>
      <w:lvlJc w:val="left"/>
      <w:pPr>
        <w:tabs>
          <w:tab w:val="num" w:pos="280"/>
        </w:tabs>
        <w:ind w:left="280" w:firstLine="1440"/>
      </w:pPr>
      <w:rPr>
        <w:rFonts w:hint="default"/>
        <w:position w:val="0"/>
      </w:rPr>
    </w:lvl>
    <w:lvl w:ilvl="3">
      <w:start w:val="1"/>
      <w:numFmt w:val="decimal"/>
      <w:isLgl/>
      <w:lvlText w:val="%4)"/>
      <w:lvlJc w:val="left"/>
      <w:pPr>
        <w:tabs>
          <w:tab w:val="num" w:pos="280"/>
        </w:tabs>
        <w:ind w:left="280" w:firstLine="2160"/>
      </w:pPr>
      <w:rPr>
        <w:rFonts w:hint="default"/>
        <w:position w:val="0"/>
      </w:rPr>
    </w:lvl>
    <w:lvl w:ilvl="4">
      <w:start w:val="1"/>
      <w:numFmt w:val="decimal"/>
      <w:isLgl/>
      <w:lvlText w:val="%5)"/>
      <w:lvlJc w:val="left"/>
      <w:pPr>
        <w:tabs>
          <w:tab w:val="num" w:pos="280"/>
        </w:tabs>
        <w:ind w:left="280" w:firstLine="2880"/>
      </w:pPr>
      <w:rPr>
        <w:rFonts w:hint="default"/>
        <w:position w:val="0"/>
      </w:rPr>
    </w:lvl>
    <w:lvl w:ilvl="5">
      <w:start w:val="1"/>
      <w:numFmt w:val="decimal"/>
      <w:isLgl/>
      <w:lvlText w:val="%6)"/>
      <w:lvlJc w:val="left"/>
      <w:pPr>
        <w:tabs>
          <w:tab w:val="num" w:pos="280"/>
        </w:tabs>
        <w:ind w:left="280" w:firstLine="3600"/>
      </w:pPr>
      <w:rPr>
        <w:rFonts w:hint="default"/>
        <w:position w:val="0"/>
      </w:rPr>
    </w:lvl>
    <w:lvl w:ilvl="6">
      <w:start w:val="1"/>
      <w:numFmt w:val="decimal"/>
      <w:isLgl/>
      <w:lvlText w:val="%7)"/>
      <w:lvlJc w:val="left"/>
      <w:pPr>
        <w:tabs>
          <w:tab w:val="num" w:pos="280"/>
        </w:tabs>
        <w:ind w:left="280" w:firstLine="4320"/>
      </w:pPr>
      <w:rPr>
        <w:rFonts w:hint="default"/>
        <w:position w:val="0"/>
      </w:rPr>
    </w:lvl>
    <w:lvl w:ilvl="7">
      <w:start w:val="1"/>
      <w:numFmt w:val="decimal"/>
      <w:isLgl/>
      <w:lvlText w:val="%8)"/>
      <w:lvlJc w:val="left"/>
      <w:pPr>
        <w:tabs>
          <w:tab w:val="num" w:pos="280"/>
        </w:tabs>
        <w:ind w:left="280" w:firstLine="5040"/>
      </w:pPr>
      <w:rPr>
        <w:rFonts w:hint="default"/>
        <w:position w:val="0"/>
      </w:rPr>
    </w:lvl>
    <w:lvl w:ilvl="8">
      <w:start w:val="1"/>
      <w:numFmt w:val="decimal"/>
      <w:isLgl/>
      <w:lvlText w:val="%9)"/>
      <w:lvlJc w:val="left"/>
      <w:pPr>
        <w:tabs>
          <w:tab w:val="num" w:pos="280"/>
        </w:tabs>
        <w:ind w:left="280" w:firstLine="5760"/>
      </w:pPr>
      <w:rPr>
        <w:rFonts w:hint="default"/>
        <w:position w:val="0"/>
      </w:rPr>
    </w:lvl>
  </w:abstractNum>
  <w:abstractNum w:abstractNumId="1">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6E44394"/>
    <w:multiLevelType w:val="hybridMultilevel"/>
    <w:tmpl w:val="966422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C66"/>
    <w:rsid w:val="001752E9"/>
    <w:rsid w:val="001F76A4"/>
    <w:rsid w:val="0021638A"/>
    <w:rsid w:val="002D0E4A"/>
    <w:rsid w:val="00577309"/>
    <w:rsid w:val="00595DC9"/>
    <w:rsid w:val="006F45AB"/>
    <w:rsid w:val="007F1B04"/>
    <w:rsid w:val="009801E2"/>
    <w:rsid w:val="00A67DF8"/>
    <w:rsid w:val="00B63A3D"/>
    <w:rsid w:val="00BA0C66"/>
    <w:rsid w:val="00EE35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9E7C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A0C66"/>
    <w:pPr>
      <w:spacing w:before="100" w:beforeAutospacing="1" w:after="100" w:afterAutospacing="1"/>
    </w:pPr>
    <w:rPr>
      <w:rFonts w:ascii="Times New Roman" w:eastAsia="Times New Roman" w:hAnsi="Times New Roman" w:cs="Times New Roman"/>
      <w:lang w:val="en-US"/>
    </w:rPr>
  </w:style>
  <w:style w:type="character" w:customStyle="1" w:styleId="ececapple-style-span">
    <w:name w:val="ec_ec_apple-style-span"/>
    <w:basedOn w:val="DefaultParagraphFont"/>
    <w:rsid w:val="00BA0C66"/>
  </w:style>
  <w:style w:type="paragraph" w:styleId="ListParagraph">
    <w:name w:val="List Paragraph"/>
    <w:basedOn w:val="Normal"/>
    <w:uiPriority w:val="34"/>
    <w:qFormat/>
    <w:rsid w:val="00BA0C66"/>
    <w:pPr>
      <w:spacing w:after="200" w:line="276" w:lineRule="auto"/>
      <w:ind w:left="720"/>
      <w:contextualSpacing/>
    </w:pPr>
    <w:rPr>
      <w:rFonts w:ascii="Calibri" w:eastAsia="Calibri" w:hAnsi="Calibri" w:cs="Times New Roman"/>
      <w:sz w:val="22"/>
      <w:szCs w:val="22"/>
    </w:rPr>
  </w:style>
  <w:style w:type="character" w:customStyle="1" w:styleId="addmd">
    <w:name w:val="addmd"/>
    <w:rsid w:val="00BA0C66"/>
  </w:style>
  <w:style w:type="paragraph" w:customStyle="1" w:styleId="FreeForm">
    <w:name w:val="Free Form"/>
    <w:rsid w:val="00BA0C66"/>
    <w:rPr>
      <w:rFonts w:ascii="Helvetica" w:eastAsia="ヒラギノ角ゴ Pro W3" w:hAnsi="Helvetica" w:cs="Times New Roman"/>
      <w:color w:val="000000"/>
      <w:szCs w:val="20"/>
    </w:rPr>
  </w:style>
  <w:style w:type="numbering" w:customStyle="1" w:styleId="Bullet">
    <w:name w:val="Bullet"/>
    <w:rsid w:val="00BA0C6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A0C66"/>
    <w:pPr>
      <w:spacing w:before="100" w:beforeAutospacing="1" w:after="100" w:afterAutospacing="1"/>
    </w:pPr>
    <w:rPr>
      <w:rFonts w:ascii="Times New Roman" w:eastAsia="Times New Roman" w:hAnsi="Times New Roman" w:cs="Times New Roman"/>
      <w:lang w:val="en-US"/>
    </w:rPr>
  </w:style>
  <w:style w:type="character" w:customStyle="1" w:styleId="ececapple-style-span">
    <w:name w:val="ec_ec_apple-style-span"/>
    <w:basedOn w:val="DefaultParagraphFont"/>
    <w:rsid w:val="00BA0C66"/>
  </w:style>
  <w:style w:type="paragraph" w:styleId="ListParagraph">
    <w:name w:val="List Paragraph"/>
    <w:basedOn w:val="Normal"/>
    <w:uiPriority w:val="34"/>
    <w:qFormat/>
    <w:rsid w:val="00BA0C66"/>
    <w:pPr>
      <w:spacing w:after="200" w:line="276" w:lineRule="auto"/>
      <w:ind w:left="720"/>
      <w:contextualSpacing/>
    </w:pPr>
    <w:rPr>
      <w:rFonts w:ascii="Calibri" w:eastAsia="Calibri" w:hAnsi="Calibri" w:cs="Times New Roman"/>
      <w:sz w:val="22"/>
      <w:szCs w:val="22"/>
    </w:rPr>
  </w:style>
  <w:style w:type="character" w:customStyle="1" w:styleId="addmd">
    <w:name w:val="addmd"/>
    <w:rsid w:val="00BA0C66"/>
  </w:style>
  <w:style w:type="paragraph" w:customStyle="1" w:styleId="FreeForm">
    <w:name w:val="Free Form"/>
    <w:rsid w:val="00BA0C66"/>
    <w:rPr>
      <w:rFonts w:ascii="Helvetica" w:eastAsia="ヒラギノ角ゴ Pro W3" w:hAnsi="Helvetica" w:cs="Times New Roman"/>
      <w:color w:val="000000"/>
      <w:szCs w:val="20"/>
    </w:rPr>
  </w:style>
  <w:style w:type="numbering" w:customStyle="1" w:styleId="Bullet">
    <w:name w:val="Bullet"/>
    <w:rsid w:val="00BA0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newadvent.org/cathen/13641b.htm" TargetMode="External"/><Relationship Id="rId7" Type="http://schemas.openxmlformats.org/officeDocument/2006/relationships/hyperlink" Target="http://www.newadvent.org/cathen/15464b.htm" TargetMode="External"/><Relationship Id="rId8" Type="http://schemas.openxmlformats.org/officeDocument/2006/relationships/hyperlink" Target="http://www.newadvent.org/cathen/05752c.ht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230</TotalTime>
  <Pages>5</Pages>
  <Words>2319</Words>
  <Characters>13219</Characters>
  <Application>Microsoft Macintosh Word</Application>
  <DocSecurity>0</DocSecurity>
  <Lines>110</Lines>
  <Paragraphs>31</Paragraphs>
  <ScaleCrop>false</ScaleCrop>
  <Company/>
  <LinksUpToDate>false</LinksUpToDate>
  <CharactersWithSpaces>15507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Qais Alamy</dc:creator>
  <cp:keywords/>
  <dc:description/>
  <cp:lastModifiedBy>Qais Alamy</cp:lastModifiedBy>
  <cp:revision>5</cp:revision>
  <dcterms:created xsi:type="dcterms:W3CDTF">2016-04-05T01:58:00Z</dcterms:created>
  <dcterms:modified xsi:type="dcterms:W3CDTF">2016-04-19T20:14:00Z</dcterms:modified>
</cp:coreProperties>
</file>