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EDE" w:rsidRDefault="00F50EDE" w:rsidP="00F50EDE">
      <w:pPr>
        <w:pStyle w:val="ListParagraph"/>
        <w:jc w:val="center"/>
        <w:rPr>
          <w:bCs/>
          <w:color w:val="000000"/>
        </w:rPr>
      </w:pPr>
    </w:p>
    <w:p w:rsidR="00F50EDE" w:rsidRDefault="00F50EDE" w:rsidP="00F50EDE">
      <w:pPr>
        <w:pStyle w:val="ListParagraph"/>
        <w:jc w:val="center"/>
        <w:rPr>
          <w:bCs/>
          <w:color w:val="000000"/>
        </w:rPr>
      </w:pPr>
    </w:p>
    <w:p w:rsidR="00F50EDE" w:rsidRDefault="00F50EDE" w:rsidP="00F50EDE">
      <w:pPr>
        <w:pStyle w:val="ListParagraph"/>
        <w:jc w:val="center"/>
        <w:rPr>
          <w:bCs/>
          <w:color w:val="000000"/>
        </w:rPr>
      </w:pPr>
    </w:p>
    <w:p w:rsidR="00F50EDE" w:rsidRDefault="00F50EDE" w:rsidP="00F50EDE">
      <w:pPr>
        <w:pStyle w:val="ListParagraph"/>
        <w:jc w:val="center"/>
        <w:rPr>
          <w:bCs/>
          <w:color w:val="000000"/>
        </w:rPr>
      </w:pPr>
    </w:p>
    <w:p w:rsidR="00F50EDE" w:rsidRDefault="008850DF" w:rsidP="00F50EDE">
      <w:pPr>
        <w:pStyle w:val="ListParagraph"/>
        <w:jc w:val="center"/>
        <w:rPr>
          <w:bCs/>
          <w:color w:val="000000"/>
        </w:rPr>
      </w:pPr>
      <w:r>
        <w:rPr>
          <w:bCs/>
          <w:color w:val="000000"/>
        </w:rPr>
        <w:t>ADMS 4520</w:t>
      </w:r>
    </w:p>
    <w:p w:rsidR="008850DF" w:rsidRDefault="008850DF" w:rsidP="00F50EDE">
      <w:pPr>
        <w:pStyle w:val="ListParagraph"/>
        <w:jc w:val="center"/>
        <w:rPr>
          <w:bCs/>
          <w:color w:val="000000"/>
        </w:rPr>
      </w:pPr>
      <w:r>
        <w:rPr>
          <w:bCs/>
          <w:color w:val="000000"/>
        </w:rPr>
        <w:t>Assignment 1</w:t>
      </w:r>
    </w:p>
    <w:p w:rsidR="00F50EDE" w:rsidRDefault="00F50EDE" w:rsidP="00F50EDE">
      <w:pPr>
        <w:pStyle w:val="ListParagraph"/>
        <w:jc w:val="center"/>
        <w:rPr>
          <w:bCs/>
          <w:color w:val="000000"/>
        </w:rPr>
      </w:pPr>
    </w:p>
    <w:p w:rsidR="00F50EDE" w:rsidRDefault="00F50EDE" w:rsidP="00F50EDE">
      <w:pPr>
        <w:pStyle w:val="ListParagraph"/>
        <w:jc w:val="center"/>
        <w:rPr>
          <w:bCs/>
          <w:color w:val="000000"/>
        </w:rPr>
      </w:pPr>
    </w:p>
    <w:p w:rsidR="00F50EDE" w:rsidRDefault="00F50EDE" w:rsidP="00F50EDE">
      <w:pPr>
        <w:pStyle w:val="ListParagraph"/>
        <w:jc w:val="center"/>
        <w:rPr>
          <w:bCs/>
          <w:color w:val="000000"/>
        </w:rPr>
      </w:pPr>
    </w:p>
    <w:p w:rsidR="00F50EDE" w:rsidRDefault="00F50EDE" w:rsidP="00F50EDE">
      <w:pPr>
        <w:pStyle w:val="ListParagraph"/>
        <w:jc w:val="center"/>
        <w:rPr>
          <w:bCs/>
          <w:color w:val="000000"/>
        </w:rPr>
      </w:pPr>
    </w:p>
    <w:p w:rsidR="00F50EDE" w:rsidRDefault="00F50EDE" w:rsidP="00F50EDE">
      <w:pPr>
        <w:pStyle w:val="ListParagraph"/>
        <w:jc w:val="center"/>
        <w:rPr>
          <w:bCs/>
          <w:color w:val="000000"/>
        </w:rPr>
      </w:pPr>
    </w:p>
    <w:p w:rsidR="00F50EDE" w:rsidRDefault="00F50EDE" w:rsidP="00F50EDE">
      <w:pPr>
        <w:pStyle w:val="ListParagraph"/>
        <w:jc w:val="center"/>
        <w:rPr>
          <w:bCs/>
          <w:color w:val="000000"/>
        </w:rPr>
      </w:pPr>
    </w:p>
    <w:p w:rsidR="00F50EDE" w:rsidRDefault="00F50EDE" w:rsidP="00F50EDE">
      <w:pPr>
        <w:pStyle w:val="ListParagraph"/>
        <w:jc w:val="center"/>
        <w:rPr>
          <w:bCs/>
          <w:color w:val="000000"/>
        </w:rPr>
      </w:pPr>
    </w:p>
    <w:p w:rsidR="00F50EDE" w:rsidRDefault="00F50EDE" w:rsidP="00F50EDE">
      <w:pPr>
        <w:pStyle w:val="ListParagraph"/>
        <w:jc w:val="center"/>
        <w:rPr>
          <w:bCs/>
          <w:color w:val="000000"/>
        </w:rPr>
      </w:pPr>
    </w:p>
    <w:p w:rsidR="00F50EDE" w:rsidRDefault="00F50EDE" w:rsidP="00F50EDE">
      <w:pPr>
        <w:pStyle w:val="ListParagraph"/>
        <w:jc w:val="center"/>
        <w:rPr>
          <w:bCs/>
          <w:color w:val="000000"/>
        </w:rPr>
      </w:pPr>
    </w:p>
    <w:p w:rsidR="00F50EDE" w:rsidRDefault="00F50EDE" w:rsidP="00F50EDE">
      <w:pPr>
        <w:pStyle w:val="ListParagraph"/>
        <w:jc w:val="center"/>
        <w:rPr>
          <w:bCs/>
          <w:color w:val="000000"/>
        </w:rPr>
      </w:pPr>
    </w:p>
    <w:p w:rsidR="00F50EDE" w:rsidRDefault="00F50EDE" w:rsidP="00F50EDE">
      <w:pPr>
        <w:pStyle w:val="ListParagraph"/>
        <w:jc w:val="center"/>
        <w:rPr>
          <w:bCs/>
          <w:color w:val="000000"/>
        </w:rPr>
      </w:pPr>
    </w:p>
    <w:p w:rsidR="00F50EDE" w:rsidRDefault="00F50EDE" w:rsidP="00F50EDE">
      <w:pPr>
        <w:pStyle w:val="ListParagraph"/>
        <w:jc w:val="center"/>
        <w:rPr>
          <w:bCs/>
          <w:color w:val="000000"/>
        </w:rPr>
      </w:pPr>
    </w:p>
    <w:p w:rsidR="00F50EDE" w:rsidRDefault="00F50EDE" w:rsidP="00F50EDE">
      <w:pPr>
        <w:pStyle w:val="ListParagraph"/>
        <w:jc w:val="center"/>
        <w:rPr>
          <w:bCs/>
          <w:color w:val="000000"/>
        </w:rPr>
      </w:pPr>
    </w:p>
    <w:p w:rsidR="00F50EDE" w:rsidRPr="00F50EDE" w:rsidRDefault="00F50EDE" w:rsidP="00F50EDE">
      <w:pPr>
        <w:pStyle w:val="ListParagraph"/>
        <w:jc w:val="center"/>
        <w:rPr>
          <w:bCs/>
          <w:color w:val="000000"/>
        </w:rPr>
      </w:pPr>
    </w:p>
    <w:p w:rsidR="00946A7E" w:rsidRDefault="00946A7E"/>
    <w:p w:rsidR="007B3326" w:rsidRDefault="007B3326" w:rsidP="0017596A">
      <w:pPr>
        <w:autoSpaceDE w:val="0"/>
        <w:autoSpaceDN w:val="0"/>
        <w:adjustRightInd w:val="0"/>
        <w:rPr>
          <w:rFonts w:eastAsiaTheme="minorHAnsi"/>
        </w:rPr>
      </w:pPr>
    </w:p>
    <w:p w:rsidR="007B3326" w:rsidRDefault="007B3326" w:rsidP="0017596A">
      <w:pPr>
        <w:autoSpaceDE w:val="0"/>
        <w:autoSpaceDN w:val="0"/>
        <w:adjustRightInd w:val="0"/>
        <w:rPr>
          <w:rFonts w:eastAsiaTheme="minorHAnsi"/>
        </w:rPr>
      </w:pPr>
    </w:p>
    <w:p w:rsidR="007B3326" w:rsidRDefault="007B3326" w:rsidP="0017596A">
      <w:pPr>
        <w:autoSpaceDE w:val="0"/>
        <w:autoSpaceDN w:val="0"/>
        <w:adjustRightInd w:val="0"/>
        <w:rPr>
          <w:rFonts w:eastAsiaTheme="minorHAnsi"/>
        </w:rPr>
      </w:pPr>
    </w:p>
    <w:p w:rsidR="007B3326" w:rsidRDefault="007B3326" w:rsidP="0017596A">
      <w:pPr>
        <w:autoSpaceDE w:val="0"/>
        <w:autoSpaceDN w:val="0"/>
        <w:adjustRightInd w:val="0"/>
        <w:rPr>
          <w:rFonts w:eastAsiaTheme="minorHAnsi"/>
        </w:rPr>
      </w:pPr>
    </w:p>
    <w:p w:rsidR="007B3326" w:rsidRDefault="007B3326" w:rsidP="0017596A">
      <w:pPr>
        <w:autoSpaceDE w:val="0"/>
        <w:autoSpaceDN w:val="0"/>
        <w:adjustRightInd w:val="0"/>
        <w:rPr>
          <w:rFonts w:eastAsiaTheme="minorHAnsi"/>
        </w:rPr>
      </w:pPr>
    </w:p>
    <w:p w:rsidR="007B3326" w:rsidRDefault="007B3326" w:rsidP="0017596A">
      <w:pPr>
        <w:autoSpaceDE w:val="0"/>
        <w:autoSpaceDN w:val="0"/>
        <w:adjustRightInd w:val="0"/>
        <w:rPr>
          <w:rFonts w:eastAsiaTheme="minorHAnsi"/>
        </w:rPr>
      </w:pPr>
    </w:p>
    <w:p w:rsidR="007B3326" w:rsidRDefault="007B3326" w:rsidP="0017596A">
      <w:pPr>
        <w:autoSpaceDE w:val="0"/>
        <w:autoSpaceDN w:val="0"/>
        <w:adjustRightInd w:val="0"/>
        <w:rPr>
          <w:rFonts w:eastAsiaTheme="minorHAnsi"/>
        </w:rPr>
      </w:pPr>
    </w:p>
    <w:p w:rsidR="007B3326" w:rsidRDefault="007B3326" w:rsidP="0017596A">
      <w:pPr>
        <w:autoSpaceDE w:val="0"/>
        <w:autoSpaceDN w:val="0"/>
        <w:adjustRightInd w:val="0"/>
        <w:rPr>
          <w:rFonts w:eastAsiaTheme="minorHAnsi"/>
        </w:rPr>
      </w:pPr>
    </w:p>
    <w:p w:rsidR="0016362C" w:rsidRDefault="0016362C" w:rsidP="00F50EDE">
      <w:pPr>
        <w:autoSpaceDE w:val="0"/>
        <w:autoSpaceDN w:val="0"/>
        <w:adjustRightInd w:val="0"/>
        <w:spacing w:line="480" w:lineRule="auto"/>
        <w:rPr>
          <w:rFonts w:eastAsiaTheme="minorHAnsi"/>
        </w:rPr>
      </w:pPr>
    </w:p>
    <w:p w:rsidR="00C92238" w:rsidRPr="00F50EDE" w:rsidRDefault="00C92238" w:rsidP="00F50EDE">
      <w:pPr>
        <w:autoSpaceDE w:val="0"/>
        <w:autoSpaceDN w:val="0"/>
        <w:adjustRightInd w:val="0"/>
        <w:spacing w:line="480" w:lineRule="auto"/>
        <w:rPr>
          <w:rFonts w:eastAsiaTheme="minorHAnsi"/>
          <w:b/>
        </w:rPr>
      </w:pPr>
      <w:r w:rsidRPr="00F50EDE">
        <w:rPr>
          <w:rFonts w:eastAsiaTheme="minorHAnsi"/>
          <w:b/>
        </w:rPr>
        <w:t xml:space="preserve">Overview of Acquisition </w:t>
      </w:r>
    </w:p>
    <w:p w:rsidR="004349D9" w:rsidRPr="00F50EDE" w:rsidRDefault="00BD2CFE" w:rsidP="00F50EDE">
      <w:pPr>
        <w:autoSpaceDE w:val="0"/>
        <w:autoSpaceDN w:val="0"/>
        <w:adjustRightInd w:val="0"/>
        <w:spacing w:line="480" w:lineRule="auto"/>
        <w:ind w:firstLine="720"/>
      </w:pPr>
      <w:r w:rsidRPr="00F50EDE">
        <w:rPr>
          <w:rFonts w:eastAsiaTheme="minorHAnsi"/>
        </w:rPr>
        <w:t>George Weston Limi</w:t>
      </w:r>
      <w:r w:rsidR="00C92238" w:rsidRPr="00F50EDE">
        <w:rPr>
          <w:rFonts w:eastAsiaTheme="minorHAnsi"/>
        </w:rPr>
        <w:t xml:space="preserve">ted </w:t>
      </w:r>
      <w:r w:rsidRPr="00F50EDE">
        <w:rPr>
          <w:rFonts w:eastAsiaTheme="minorHAnsi"/>
        </w:rPr>
        <w:t>is a Canadian public company, founded in 1882. The Company has two reportable operating segments: Loblaw and Weston Foods, and holds cash, short term investments and a direct investment in Choice Properties Real Estate Investment Trust (“Choice Properties”)</w:t>
      </w:r>
      <w:r w:rsidR="00C11785" w:rsidRPr="00F50EDE">
        <w:rPr>
          <w:rFonts w:eastAsiaTheme="minorHAnsi"/>
        </w:rPr>
        <w:t xml:space="preserve">. </w:t>
      </w:r>
      <w:r w:rsidR="00C11785" w:rsidRPr="00F50EDE">
        <w:t>In 2014, Loblaw successfully</w:t>
      </w:r>
      <w:r w:rsidR="004349D9" w:rsidRPr="00F50EDE">
        <w:t xml:space="preserve"> completed its acquisition of Shoppers Drug Mart and three quarters of Shoppers </w:t>
      </w:r>
      <w:r w:rsidR="00C11785" w:rsidRPr="00F50EDE">
        <w:t xml:space="preserve">Drugs Mart’s </w:t>
      </w:r>
      <w:r w:rsidR="004349D9" w:rsidRPr="00F50EDE">
        <w:t>results were included in their financials</w:t>
      </w:r>
      <w:r w:rsidR="00C11785" w:rsidRPr="00F50EDE">
        <w:t xml:space="preserve"> for 2014</w:t>
      </w:r>
      <w:r w:rsidR="004349D9" w:rsidRPr="00F50EDE">
        <w:t xml:space="preserve">. </w:t>
      </w:r>
      <w:r w:rsidR="00C05377" w:rsidRPr="00F50EDE">
        <w:t xml:space="preserve">The acquisition date was March 28, 2014, on which Loblaw acquired all of the outstanding shares of Shoppers Drug Mart for a total consideration of $12.3 billion which was compromised $6.6 </w:t>
      </w:r>
      <w:r w:rsidR="00C05377" w:rsidRPr="00F50EDE">
        <w:lastRenderedPageBreak/>
        <w:t>billion of cash and 119.5 million Loblaw common shares</w:t>
      </w:r>
      <w:r w:rsidR="00B532D3" w:rsidRPr="00F50EDE">
        <w:t xml:space="preserve"> worth $5.7 billion (12.3-6.6)</w:t>
      </w:r>
      <w:r w:rsidR="00C05377" w:rsidRPr="00F50EDE">
        <w:t xml:space="preserve">. The cash was derived from various methods of financing and cash on hand. </w:t>
      </w:r>
      <w:r w:rsidR="00A17DBB" w:rsidRPr="00F50EDE">
        <w:t>In accordance with the Consent Agreement</w:t>
      </w:r>
      <w:r w:rsidR="008500B8" w:rsidRPr="00F50EDE">
        <w:t>,</w:t>
      </w:r>
      <w:r w:rsidR="00A17DBB" w:rsidRPr="00F50EDE">
        <w:t xml:space="preserve"> Loblaw </w:t>
      </w:r>
      <w:r w:rsidR="0017596A" w:rsidRPr="00F50EDE">
        <w:t>was required to sell 16 Shoppers Drug Mart stores, 2 franchise grocery stores and license 9 in-store pharmacies to unrelated parties. This resulted in net losses for Loblaw</w:t>
      </w:r>
      <w:r w:rsidR="00C11785" w:rsidRPr="00F50EDE">
        <w:t xml:space="preserve"> as well as gains</w:t>
      </w:r>
      <w:r w:rsidR="0017596A" w:rsidRPr="00F50EDE">
        <w:t xml:space="preserve"> that were recorded in operating income. </w:t>
      </w:r>
    </w:p>
    <w:p w:rsidR="0017596A" w:rsidRPr="00F50EDE" w:rsidRDefault="007B3326" w:rsidP="00F50EDE">
      <w:pPr>
        <w:autoSpaceDE w:val="0"/>
        <w:autoSpaceDN w:val="0"/>
        <w:adjustRightInd w:val="0"/>
        <w:spacing w:line="480" w:lineRule="auto"/>
        <w:ind w:firstLine="720"/>
        <w:rPr>
          <w:rFonts w:eastAsiaTheme="minorHAnsi"/>
        </w:rPr>
      </w:pPr>
      <w:r w:rsidRPr="00F50EDE">
        <w:t xml:space="preserve">Furthermore, Loblaw had to incur costs of $75 million </w:t>
      </w:r>
      <w:r w:rsidR="00C11785" w:rsidRPr="00F50EDE">
        <w:t>related</w:t>
      </w:r>
      <w:r w:rsidRPr="00F50EDE">
        <w:t xml:space="preserve"> to the acquisition of Shoppers in 2014. $60 million of these costs were recorded in selling, general and administrative expenses and the remaining $</w:t>
      </w:r>
      <w:r w:rsidR="00C11785" w:rsidRPr="00F50EDE">
        <w:t>15 million</w:t>
      </w:r>
      <w:r w:rsidRPr="00F50EDE">
        <w:t xml:space="preserve"> were </w:t>
      </w:r>
      <w:r w:rsidR="0017596A" w:rsidRPr="00F50EDE">
        <w:rPr>
          <w:rFonts w:eastAsiaTheme="minorHAnsi"/>
        </w:rPr>
        <w:t>recorded in net interest expense and other financing charges.</w:t>
      </w:r>
      <w:r w:rsidRPr="00F50EDE">
        <w:rPr>
          <w:rFonts w:eastAsiaTheme="minorHAnsi"/>
        </w:rPr>
        <w:t xml:space="preserve"> Lastly, upon the closing of the </w:t>
      </w:r>
      <w:r w:rsidR="00C11785" w:rsidRPr="00F50EDE">
        <w:rPr>
          <w:rFonts w:eastAsiaTheme="minorHAnsi"/>
        </w:rPr>
        <w:t>acquisition</w:t>
      </w:r>
      <w:r w:rsidRPr="00F50EDE">
        <w:rPr>
          <w:rFonts w:eastAsiaTheme="minorHAnsi"/>
        </w:rPr>
        <w:t xml:space="preserve">, Loblaw paid and canceled Shopper’s line of credit and provided various </w:t>
      </w:r>
      <w:r w:rsidR="00C11785" w:rsidRPr="00F50EDE">
        <w:rPr>
          <w:rFonts w:eastAsiaTheme="minorHAnsi"/>
        </w:rPr>
        <w:t>guarantees</w:t>
      </w:r>
      <w:r w:rsidRPr="00F50EDE">
        <w:rPr>
          <w:rFonts w:eastAsiaTheme="minorHAnsi"/>
        </w:rPr>
        <w:t xml:space="preserve"> in support of Shoppers Drug Mart</w:t>
      </w:r>
      <w:r w:rsidR="00AC7149" w:rsidRPr="00F50EDE">
        <w:rPr>
          <w:rFonts w:eastAsiaTheme="minorHAnsi"/>
        </w:rPr>
        <w:t xml:space="preserve"> debt and financing</w:t>
      </w:r>
      <w:r w:rsidRPr="00F50EDE">
        <w:rPr>
          <w:rFonts w:eastAsiaTheme="minorHAnsi"/>
        </w:rPr>
        <w:t>.</w:t>
      </w:r>
    </w:p>
    <w:p w:rsidR="00C92238" w:rsidRPr="00F50EDE" w:rsidRDefault="00C92238" w:rsidP="00F50EDE">
      <w:pPr>
        <w:autoSpaceDE w:val="0"/>
        <w:autoSpaceDN w:val="0"/>
        <w:adjustRightInd w:val="0"/>
        <w:spacing w:line="480" w:lineRule="auto"/>
        <w:rPr>
          <w:rFonts w:eastAsiaTheme="minorHAnsi"/>
          <w:b/>
        </w:rPr>
      </w:pPr>
    </w:p>
    <w:p w:rsidR="00F50EDE" w:rsidRDefault="00F50EDE" w:rsidP="00C92238">
      <w:pPr>
        <w:autoSpaceDE w:val="0"/>
        <w:autoSpaceDN w:val="0"/>
        <w:adjustRightInd w:val="0"/>
        <w:spacing w:line="276" w:lineRule="auto"/>
        <w:rPr>
          <w:rFonts w:eastAsiaTheme="minorHAnsi"/>
          <w:b/>
        </w:rPr>
      </w:pPr>
    </w:p>
    <w:p w:rsidR="00F50EDE" w:rsidRDefault="00F50EDE" w:rsidP="00C92238">
      <w:pPr>
        <w:autoSpaceDE w:val="0"/>
        <w:autoSpaceDN w:val="0"/>
        <w:adjustRightInd w:val="0"/>
        <w:spacing w:line="276" w:lineRule="auto"/>
        <w:rPr>
          <w:rFonts w:eastAsiaTheme="minorHAnsi"/>
          <w:b/>
        </w:rPr>
      </w:pPr>
    </w:p>
    <w:p w:rsidR="00F50EDE" w:rsidRDefault="00F50EDE" w:rsidP="00C92238">
      <w:pPr>
        <w:autoSpaceDE w:val="0"/>
        <w:autoSpaceDN w:val="0"/>
        <w:adjustRightInd w:val="0"/>
        <w:spacing w:line="276" w:lineRule="auto"/>
        <w:rPr>
          <w:rFonts w:eastAsiaTheme="minorHAnsi"/>
          <w:b/>
        </w:rPr>
      </w:pPr>
    </w:p>
    <w:p w:rsidR="00F50EDE" w:rsidRDefault="00F50EDE" w:rsidP="00C92238">
      <w:pPr>
        <w:autoSpaceDE w:val="0"/>
        <w:autoSpaceDN w:val="0"/>
        <w:adjustRightInd w:val="0"/>
        <w:spacing w:line="276" w:lineRule="auto"/>
        <w:rPr>
          <w:rFonts w:eastAsiaTheme="minorHAnsi"/>
          <w:b/>
        </w:rPr>
      </w:pPr>
    </w:p>
    <w:p w:rsidR="00F50EDE" w:rsidRDefault="00F50EDE" w:rsidP="00C92238">
      <w:pPr>
        <w:autoSpaceDE w:val="0"/>
        <w:autoSpaceDN w:val="0"/>
        <w:adjustRightInd w:val="0"/>
        <w:spacing w:line="276" w:lineRule="auto"/>
        <w:rPr>
          <w:rFonts w:eastAsiaTheme="minorHAnsi"/>
          <w:b/>
        </w:rPr>
      </w:pPr>
    </w:p>
    <w:p w:rsidR="00F50EDE" w:rsidRDefault="00F50EDE" w:rsidP="00C92238">
      <w:pPr>
        <w:autoSpaceDE w:val="0"/>
        <w:autoSpaceDN w:val="0"/>
        <w:adjustRightInd w:val="0"/>
        <w:spacing w:line="276" w:lineRule="auto"/>
        <w:rPr>
          <w:rFonts w:eastAsiaTheme="minorHAnsi"/>
          <w:b/>
        </w:rPr>
      </w:pPr>
    </w:p>
    <w:p w:rsidR="00C92238" w:rsidRPr="00F50EDE" w:rsidRDefault="00C92238" w:rsidP="00C92238">
      <w:pPr>
        <w:autoSpaceDE w:val="0"/>
        <w:autoSpaceDN w:val="0"/>
        <w:adjustRightInd w:val="0"/>
        <w:spacing w:line="276" w:lineRule="auto"/>
        <w:rPr>
          <w:rFonts w:eastAsiaTheme="minorHAnsi"/>
        </w:rPr>
      </w:pPr>
      <w:r w:rsidRPr="00F50EDE">
        <w:rPr>
          <w:rFonts w:eastAsiaTheme="minorHAnsi"/>
          <w:b/>
        </w:rPr>
        <w:t xml:space="preserve">Analysis of Accounting for Business Combination </w:t>
      </w:r>
    </w:p>
    <w:p w:rsidR="00923097" w:rsidRPr="00F50EDE" w:rsidRDefault="00923097" w:rsidP="007B3326">
      <w:pPr>
        <w:autoSpaceDE w:val="0"/>
        <w:autoSpaceDN w:val="0"/>
        <w:adjustRightInd w:val="0"/>
        <w:spacing w:line="276" w:lineRule="auto"/>
        <w:rPr>
          <w:rFonts w:eastAsiaTheme="minorHAnsi"/>
        </w:rPr>
      </w:pPr>
    </w:p>
    <w:tbl>
      <w:tblPr>
        <w:tblStyle w:val="TableGrid"/>
        <w:tblW w:w="0" w:type="auto"/>
        <w:tblLook w:val="04A0"/>
      </w:tblPr>
      <w:tblGrid>
        <w:gridCol w:w="1908"/>
        <w:gridCol w:w="2880"/>
        <w:gridCol w:w="2520"/>
        <w:gridCol w:w="2268"/>
      </w:tblGrid>
      <w:tr w:rsidR="00923097" w:rsidRPr="00F50EDE" w:rsidTr="00E40B17">
        <w:tc>
          <w:tcPr>
            <w:tcW w:w="1908" w:type="dxa"/>
          </w:tcPr>
          <w:p w:rsidR="00923097" w:rsidRPr="00F50EDE" w:rsidRDefault="005C7225" w:rsidP="006026D8">
            <w:pPr>
              <w:autoSpaceDE w:val="0"/>
              <w:autoSpaceDN w:val="0"/>
              <w:adjustRightInd w:val="0"/>
              <w:spacing w:line="276" w:lineRule="auto"/>
              <w:rPr>
                <w:sz w:val="24"/>
                <w:szCs w:val="24"/>
              </w:rPr>
            </w:pPr>
            <w:r w:rsidRPr="00F50EDE">
              <w:rPr>
                <w:sz w:val="24"/>
                <w:szCs w:val="24"/>
              </w:rPr>
              <w:t xml:space="preserve">Elements </w:t>
            </w:r>
          </w:p>
        </w:tc>
        <w:tc>
          <w:tcPr>
            <w:tcW w:w="2880" w:type="dxa"/>
          </w:tcPr>
          <w:p w:rsidR="005C7225" w:rsidRPr="00F50EDE" w:rsidRDefault="005C7225" w:rsidP="006026D8">
            <w:pPr>
              <w:spacing w:line="276" w:lineRule="auto"/>
              <w:rPr>
                <w:bCs/>
                <w:color w:val="000000"/>
                <w:sz w:val="24"/>
                <w:szCs w:val="24"/>
              </w:rPr>
            </w:pPr>
            <w:r w:rsidRPr="00F50EDE">
              <w:rPr>
                <w:bCs/>
                <w:color w:val="000000"/>
                <w:sz w:val="24"/>
                <w:szCs w:val="24"/>
              </w:rPr>
              <w:t xml:space="preserve">Accounting  for each element of the transaction </w:t>
            </w:r>
          </w:p>
          <w:p w:rsidR="00923097" w:rsidRPr="00F50EDE" w:rsidRDefault="00923097" w:rsidP="006026D8">
            <w:pPr>
              <w:autoSpaceDE w:val="0"/>
              <w:autoSpaceDN w:val="0"/>
              <w:adjustRightInd w:val="0"/>
              <w:spacing w:line="276" w:lineRule="auto"/>
              <w:rPr>
                <w:sz w:val="24"/>
                <w:szCs w:val="24"/>
              </w:rPr>
            </w:pPr>
          </w:p>
        </w:tc>
        <w:tc>
          <w:tcPr>
            <w:tcW w:w="2520" w:type="dxa"/>
          </w:tcPr>
          <w:p w:rsidR="00923097" w:rsidRPr="00F50EDE" w:rsidRDefault="005C7225" w:rsidP="006026D8">
            <w:pPr>
              <w:autoSpaceDE w:val="0"/>
              <w:autoSpaceDN w:val="0"/>
              <w:adjustRightInd w:val="0"/>
              <w:spacing w:line="276" w:lineRule="auto"/>
              <w:rPr>
                <w:sz w:val="24"/>
                <w:szCs w:val="24"/>
              </w:rPr>
            </w:pPr>
            <w:r w:rsidRPr="00F50EDE">
              <w:rPr>
                <w:bCs/>
                <w:color w:val="000000"/>
                <w:sz w:val="24"/>
                <w:szCs w:val="24"/>
              </w:rPr>
              <w:t>Element consistency  with IFRS</w:t>
            </w:r>
          </w:p>
        </w:tc>
        <w:tc>
          <w:tcPr>
            <w:tcW w:w="2268" w:type="dxa"/>
          </w:tcPr>
          <w:p w:rsidR="005C7225" w:rsidRPr="00F50EDE" w:rsidRDefault="005C7225" w:rsidP="006026D8">
            <w:pPr>
              <w:spacing w:line="276" w:lineRule="auto"/>
              <w:rPr>
                <w:bCs/>
                <w:color w:val="000000"/>
                <w:sz w:val="24"/>
                <w:szCs w:val="24"/>
              </w:rPr>
            </w:pPr>
            <w:r w:rsidRPr="00F50EDE">
              <w:rPr>
                <w:bCs/>
                <w:color w:val="000000"/>
                <w:sz w:val="24"/>
                <w:szCs w:val="24"/>
              </w:rPr>
              <w:t>Are choices available for each element?</w:t>
            </w:r>
          </w:p>
          <w:p w:rsidR="00923097" w:rsidRPr="00F50EDE" w:rsidRDefault="00923097" w:rsidP="006026D8">
            <w:pPr>
              <w:autoSpaceDE w:val="0"/>
              <w:autoSpaceDN w:val="0"/>
              <w:adjustRightInd w:val="0"/>
              <w:spacing w:line="276" w:lineRule="auto"/>
              <w:rPr>
                <w:sz w:val="24"/>
                <w:szCs w:val="24"/>
              </w:rPr>
            </w:pPr>
          </w:p>
        </w:tc>
      </w:tr>
      <w:tr w:rsidR="00923097" w:rsidRPr="00F50EDE" w:rsidTr="00E40B17">
        <w:tc>
          <w:tcPr>
            <w:tcW w:w="1908" w:type="dxa"/>
          </w:tcPr>
          <w:p w:rsidR="00923097" w:rsidRPr="00F50EDE" w:rsidRDefault="005C7225" w:rsidP="006026D8">
            <w:pPr>
              <w:autoSpaceDE w:val="0"/>
              <w:autoSpaceDN w:val="0"/>
              <w:adjustRightInd w:val="0"/>
              <w:spacing w:line="276" w:lineRule="auto"/>
              <w:rPr>
                <w:sz w:val="24"/>
                <w:szCs w:val="24"/>
              </w:rPr>
            </w:pPr>
            <w:r w:rsidRPr="00F50EDE">
              <w:rPr>
                <w:sz w:val="24"/>
                <w:szCs w:val="24"/>
              </w:rPr>
              <w:t xml:space="preserve">Business </w:t>
            </w:r>
            <w:r w:rsidR="00C11785" w:rsidRPr="00F50EDE">
              <w:rPr>
                <w:sz w:val="24"/>
                <w:szCs w:val="24"/>
              </w:rPr>
              <w:t>C</w:t>
            </w:r>
            <w:r w:rsidR="00894BDD" w:rsidRPr="00F50EDE">
              <w:rPr>
                <w:sz w:val="24"/>
                <w:szCs w:val="24"/>
              </w:rPr>
              <w:t>ombinations</w:t>
            </w:r>
            <w:r w:rsidRPr="00F50EDE">
              <w:rPr>
                <w:sz w:val="24"/>
                <w:szCs w:val="24"/>
              </w:rPr>
              <w:t xml:space="preserve"> </w:t>
            </w:r>
          </w:p>
        </w:tc>
        <w:tc>
          <w:tcPr>
            <w:tcW w:w="2880" w:type="dxa"/>
          </w:tcPr>
          <w:p w:rsidR="00894BDD" w:rsidRPr="00F50EDE" w:rsidRDefault="00894BDD" w:rsidP="006026D8">
            <w:pPr>
              <w:autoSpaceDE w:val="0"/>
              <w:autoSpaceDN w:val="0"/>
              <w:adjustRightInd w:val="0"/>
              <w:spacing w:line="276" w:lineRule="auto"/>
              <w:rPr>
                <w:rFonts w:eastAsiaTheme="minorHAnsi"/>
                <w:sz w:val="24"/>
                <w:szCs w:val="24"/>
              </w:rPr>
            </w:pPr>
            <w:r w:rsidRPr="00F50EDE">
              <w:rPr>
                <w:sz w:val="24"/>
                <w:szCs w:val="24"/>
              </w:rPr>
              <w:t xml:space="preserve">As told in the annual reports, </w:t>
            </w:r>
            <w:r w:rsidRPr="00F50EDE">
              <w:rPr>
                <w:rFonts w:eastAsiaTheme="minorHAnsi"/>
                <w:sz w:val="24"/>
                <w:szCs w:val="24"/>
              </w:rPr>
              <w:t>Business combinations are accounted for</w:t>
            </w:r>
            <w:r w:rsidR="007F58B6" w:rsidRPr="00F50EDE">
              <w:rPr>
                <w:rFonts w:eastAsiaTheme="minorHAnsi"/>
                <w:sz w:val="24"/>
                <w:szCs w:val="24"/>
              </w:rPr>
              <w:t xml:space="preserve"> by GWL by</w:t>
            </w:r>
            <w:r w:rsidRPr="00F50EDE">
              <w:rPr>
                <w:rFonts w:eastAsiaTheme="minorHAnsi"/>
                <w:sz w:val="24"/>
                <w:szCs w:val="24"/>
              </w:rPr>
              <w:t xml:space="preserve"> using the Acquisition Method</w:t>
            </w:r>
            <w:r w:rsidR="007F58B6" w:rsidRPr="00F50EDE">
              <w:rPr>
                <w:rFonts w:eastAsiaTheme="minorHAnsi"/>
                <w:sz w:val="24"/>
                <w:szCs w:val="24"/>
              </w:rPr>
              <w:t>.</w:t>
            </w:r>
          </w:p>
          <w:p w:rsidR="00D873BF" w:rsidRPr="00F50EDE" w:rsidRDefault="00D873BF" w:rsidP="006026D8">
            <w:pPr>
              <w:autoSpaceDE w:val="0"/>
              <w:autoSpaceDN w:val="0"/>
              <w:adjustRightInd w:val="0"/>
              <w:spacing w:line="276" w:lineRule="auto"/>
              <w:rPr>
                <w:sz w:val="24"/>
                <w:szCs w:val="24"/>
              </w:rPr>
            </w:pPr>
            <w:r w:rsidRPr="00F50EDE">
              <w:rPr>
                <w:sz w:val="24"/>
                <w:szCs w:val="24"/>
              </w:rPr>
              <w:t xml:space="preserve">-The acquirer is a segment </w:t>
            </w:r>
            <w:r w:rsidRPr="00F50EDE">
              <w:rPr>
                <w:sz w:val="24"/>
                <w:szCs w:val="24"/>
              </w:rPr>
              <w:lastRenderedPageBreak/>
              <w:t>of GWL, Loblaw, which acquired control of Shoppers by acquiring all outstanding shares</w:t>
            </w:r>
          </w:p>
          <w:p w:rsidR="00D873BF" w:rsidRPr="00F50EDE" w:rsidRDefault="00C11785" w:rsidP="006026D8">
            <w:pPr>
              <w:autoSpaceDE w:val="0"/>
              <w:autoSpaceDN w:val="0"/>
              <w:adjustRightInd w:val="0"/>
              <w:spacing w:line="276" w:lineRule="auto"/>
              <w:rPr>
                <w:sz w:val="24"/>
                <w:szCs w:val="24"/>
              </w:rPr>
            </w:pPr>
            <w:r w:rsidRPr="00F50EDE">
              <w:rPr>
                <w:sz w:val="24"/>
                <w:szCs w:val="24"/>
              </w:rPr>
              <w:t>- The acquisition date was March 28, 2014 which was</w:t>
            </w:r>
            <w:r w:rsidR="00D873BF" w:rsidRPr="00F50EDE">
              <w:rPr>
                <w:sz w:val="24"/>
                <w:szCs w:val="24"/>
              </w:rPr>
              <w:t xml:space="preserve"> when control was acquired</w:t>
            </w:r>
          </w:p>
          <w:p w:rsidR="00D873BF" w:rsidRPr="00F50EDE" w:rsidRDefault="00D873BF" w:rsidP="006026D8">
            <w:pPr>
              <w:autoSpaceDE w:val="0"/>
              <w:autoSpaceDN w:val="0"/>
              <w:adjustRightInd w:val="0"/>
              <w:spacing w:line="276" w:lineRule="auto"/>
              <w:rPr>
                <w:sz w:val="24"/>
                <w:szCs w:val="24"/>
              </w:rPr>
            </w:pPr>
            <w:r w:rsidRPr="00F50EDE">
              <w:rPr>
                <w:sz w:val="24"/>
                <w:szCs w:val="24"/>
              </w:rPr>
              <w:t>-</w:t>
            </w:r>
            <w:r w:rsidR="00B532D3" w:rsidRPr="00F50EDE">
              <w:rPr>
                <w:sz w:val="24"/>
                <w:szCs w:val="24"/>
              </w:rPr>
              <w:t>Loblaw provided the fair value of the consideration transferred at acquisition date and the related costs expensed</w:t>
            </w:r>
            <w:r w:rsidR="00FC485F" w:rsidRPr="00F50EDE">
              <w:rPr>
                <w:sz w:val="24"/>
                <w:szCs w:val="24"/>
              </w:rPr>
              <w:t xml:space="preserve">. At year end 2014, Loblaw is still making adjustments </w:t>
            </w:r>
            <w:r w:rsidR="00C11785" w:rsidRPr="00F50EDE">
              <w:rPr>
                <w:sz w:val="24"/>
                <w:szCs w:val="24"/>
              </w:rPr>
              <w:t>regarding the price allocation</w:t>
            </w:r>
          </w:p>
          <w:p w:rsidR="00B2357C" w:rsidRPr="00F50EDE" w:rsidRDefault="00B532D3" w:rsidP="006026D8">
            <w:pPr>
              <w:autoSpaceDE w:val="0"/>
              <w:autoSpaceDN w:val="0"/>
              <w:adjustRightInd w:val="0"/>
              <w:spacing w:line="276" w:lineRule="auto"/>
              <w:rPr>
                <w:rFonts w:eastAsiaTheme="minorHAnsi"/>
                <w:sz w:val="24"/>
                <w:szCs w:val="24"/>
              </w:rPr>
            </w:pPr>
            <w:r w:rsidRPr="00F50EDE">
              <w:rPr>
                <w:sz w:val="24"/>
                <w:szCs w:val="24"/>
              </w:rPr>
              <w:t xml:space="preserve">- </w:t>
            </w:r>
            <w:r w:rsidR="00933AE9" w:rsidRPr="00F50EDE">
              <w:rPr>
                <w:sz w:val="24"/>
                <w:szCs w:val="24"/>
              </w:rPr>
              <w:t xml:space="preserve"> The accountant has</w:t>
            </w:r>
            <w:r w:rsidR="00B2357C" w:rsidRPr="00F50EDE">
              <w:rPr>
                <w:rFonts w:eastAsiaTheme="minorHAnsi"/>
                <w:sz w:val="24"/>
                <w:szCs w:val="24"/>
              </w:rPr>
              <w:t xml:space="preserve"> recorded the acquired assets and liabilities on the</w:t>
            </w:r>
          </w:p>
          <w:p w:rsidR="00B532D3" w:rsidRPr="00F50EDE" w:rsidRDefault="00B2357C" w:rsidP="006026D8">
            <w:pPr>
              <w:autoSpaceDE w:val="0"/>
              <w:autoSpaceDN w:val="0"/>
              <w:adjustRightInd w:val="0"/>
              <w:spacing w:line="276" w:lineRule="auto"/>
              <w:rPr>
                <w:sz w:val="24"/>
                <w:szCs w:val="24"/>
              </w:rPr>
            </w:pPr>
            <w:r w:rsidRPr="00F50EDE">
              <w:rPr>
                <w:rFonts w:eastAsiaTheme="minorHAnsi"/>
                <w:sz w:val="24"/>
                <w:szCs w:val="24"/>
              </w:rPr>
              <w:t xml:space="preserve">Company’s consolidated balance sheet at their fair as well as the </w:t>
            </w:r>
            <w:r w:rsidR="00933AE9" w:rsidRPr="00F50EDE">
              <w:rPr>
                <w:sz w:val="24"/>
                <w:szCs w:val="24"/>
              </w:rPr>
              <w:t>NCI</w:t>
            </w:r>
            <w:r w:rsidR="003D30AA" w:rsidRPr="00F50EDE">
              <w:rPr>
                <w:sz w:val="24"/>
                <w:szCs w:val="24"/>
              </w:rPr>
              <w:t>, as stated in the report</w:t>
            </w:r>
            <w:r w:rsidR="00933AE9" w:rsidRPr="00F50EDE">
              <w:rPr>
                <w:sz w:val="24"/>
                <w:szCs w:val="24"/>
              </w:rPr>
              <w:t xml:space="preserve">. However the annual report states that Loblaw has still not finalized its purchase price allocation. </w:t>
            </w:r>
          </w:p>
          <w:p w:rsidR="00933AE9" w:rsidRPr="00F50EDE" w:rsidRDefault="00933AE9" w:rsidP="006026D8">
            <w:pPr>
              <w:autoSpaceDE w:val="0"/>
              <w:autoSpaceDN w:val="0"/>
              <w:adjustRightInd w:val="0"/>
              <w:spacing w:line="276" w:lineRule="auto"/>
              <w:rPr>
                <w:sz w:val="24"/>
                <w:szCs w:val="24"/>
              </w:rPr>
            </w:pPr>
            <w:r w:rsidRPr="00F50EDE">
              <w:rPr>
                <w:sz w:val="24"/>
                <w:szCs w:val="24"/>
              </w:rPr>
              <w:t xml:space="preserve">- </w:t>
            </w:r>
            <w:r w:rsidR="003D30AA" w:rsidRPr="00F50EDE">
              <w:rPr>
                <w:sz w:val="24"/>
                <w:szCs w:val="24"/>
              </w:rPr>
              <w:t xml:space="preserve">As stated in the report, </w:t>
            </w:r>
            <w:r w:rsidRPr="00F50EDE">
              <w:rPr>
                <w:sz w:val="24"/>
                <w:szCs w:val="24"/>
              </w:rPr>
              <w:t>GWL has measured and recognized the goodwill from the acquisition. However, by the end of 2014 the purchase price allocation has not been finalized therefore the fair value</w:t>
            </w:r>
            <w:r w:rsidR="004F510B" w:rsidRPr="00F50EDE">
              <w:rPr>
                <w:sz w:val="24"/>
                <w:szCs w:val="24"/>
              </w:rPr>
              <w:t xml:space="preserve"> of goodwill may change in 2015 and the final valuation will appear on the 2015 annual report.</w:t>
            </w:r>
          </w:p>
          <w:p w:rsidR="00923097" w:rsidRPr="00F50EDE" w:rsidRDefault="00923097" w:rsidP="006026D8">
            <w:pPr>
              <w:autoSpaceDE w:val="0"/>
              <w:autoSpaceDN w:val="0"/>
              <w:adjustRightInd w:val="0"/>
              <w:spacing w:line="276" w:lineRule="auto"/>
              <w:rPr>
                <w:sz w:val="24"/>
                <w:szCs w:val="24"/>
              </w:rPr>
            </w:pPr>
          </w:p>
        </w:tc>
        <w:tc>
          <w:tcPr>
            <w:tcW w:w="2520" w:type="dxa"/>
          </w:tcPr>
          <w:p w:rsidR="00923097" w:rsidRPr="00F50EDE" w:rsidRDefault="007F58B6" w:rsidP="006026D8">
            <w:pPr>
              <w:autoSpaceDE w:val="0"/>
              <w:autoSpaceDN w:val="0"/>
              <w:adjustRightInd w:val="0"/>
              <w:spacing w:line="276" w:lineRule="auto"/>
              <w:rPr>
                <w:sz w:val="24"/>
                <w:szCs w:val="24"/>
              </w:rPr>
            </w:pPr>
            <w:r w:rsidRPr="00F50EDE">
              <w:rPr>
                <w:sz w:val="24"/>
                <w:szCs w:val="24"/>
              </w:rPr>
              <w:lastRenderedPageBreak/>
              <w:t xml:space="preserve">IFRS </w:t>
            </w:r>
            <w:r w:rsidR="00C11785" w:rsidRPr="00F50EDE">
              <w:rPr>
                <w:sz w:val="24"/>
                <w:szCs w:val="24"/>
              </w:rPr>
              <w:t>3</w:t>
            </w:r>
            <w:r w:rsidRPr="00F50EDE">
              <w:rPr>
                <w:sz w:val="24"/>
                <w:szCs w:val="24"/>
              </w:rPr>
              <w:t xml:space="preserve"> requires the acquisition method to report all business </w:t>
            </w:r>
            <w:r w:rsidR="00D873BF" w:rsidRPr="00F50EDE">
              <w:rPr>
                <w:sz w:val="24"/>
                <w:szCs w:val="24"/>
              </w:rPr>
              <w:t>combinations</w:t>
            </w:r>
            <w:r w:rsidRPr="00F50EDE">
              <w:rPr>
                <w:sz w:val="24"/>
                <w:szCs w:val="24"/>
              </w:rPr>
              <w:t xml:space="preserve">. This method applies to both types of business </w:t>
            </w:r>
            <w:r w:rsidR="00D873BF" w:rsidRPr="00F50EDE">
              <w:rPr>
                <w:sz w:val="24"/>
                <w:szCs w:val="24"/>
              </w:rPr>
              <w:t>combinations</w:t>
            </w:r>
            <w:r w:rsidRPr="00F50EDE">
              <w:rPr>
                <w:sz w:val="24"/>
                <w:szCs w:val="24"/>
              </w:rPr>
              <w:t>: 1)</w:t>
            </w:r>
            <w:r w:rsidR="00D873BF" w:rsidRPr="00F50EDE">
              <w:rPr>
                <w:sz w:val="24"/>
                <w:szCs w:val="24"/>
              </w:rPr>
              <w:t xml:space="preserve"> </w:t>
            </w:r>
            <w:r w:rsidR="00D873BF" w:rsidRPr="00F50EDE">
              <w:rPr>
                <w:sz w:val="24"/>
                <w:szCs w:val="24"/>
              </w:rPr>
              <w:lastRenderedPageBreak/>
              <w:t>directly purchasing net assets and 2) obtaining control of net assets by purchase of shares. It is a five step process that consists of :</w:t>
            </w:r>
          </w:p>
          <w:p w:rsidR="005D1B34" w:rsidRPr="00F50EDE" w:rsidRDefault="00C11785" w:rsidP="006026D8">
            <w:pPr>
              <w:autoSpaceDE w:val="0"/>
              <w:autoSpaceDN w:val="0"/>
              <w:adjustRightInd w:val="0"/>
              <w:spacing w:line="276" w:lineRule="auto"/>
              <w:rPr>
                <w:sz w:val="24"/>
                <w:szCs w:val="24"/>
              </w:rPr>
            </w:pPr>
            <w:r w:rsidRPr="00F50EDE">
              <w:rPr>
                <w:sz w:val="24"/>
                <w:szCs w:val="24"/>
                <w:lang w:val="en-CA"/>
              </w:rPr>
              <w:t>1) Identify</w:t>
            </w:r>
            <w:r w:rsidR="005D1B34" w:rsidRPr="00F50EDE">
              <w:rPr>
                <w:sz w:val="24"/>
                <w:szCs w:val="24"/>
                <w:lang w:val="en-CA"/>
              </w:rPr>
              <w:t xml:space="preserve"> the acquirer.</w:t>
            </w:r>
          </w:p>
          <w:p w:rsidR="005D1B34" w:rsidRPr="00F50EDE" w:rsidRDefault="00C11785" w:rsidP="006026D8">
            <w:pPr>
              <w:autoSpaceDE w:val="0"/>
              <w:autoSpaceDN w:val="0"/>
              <w:adjustRightInd w:val="0"/>
              <w:spacing w:line="276" w:lineRule="auto"/>
              <w:rPr>
                <w:sz w:val="24"/>
                <w:szCs w:val="24"/>
              </w:rPr>
            </w:pPr>
            <w:r w:rsidRPr="00F50EDE">
              <w:rPr>
                <w:sz w:val="24"/>
                <w:szCs w:val="24"/>
                <w:lang w:val="en-CA"/>
              </w:rPr>
              <w:t>2) Determine</w:t>
            </w:r>
            <w:r w:rsidR="005D1B34" w:rsidRPr="00F50EDE">
              <w:rPr>
                <w:sz w:val="24"/>
                <w:szCs w:val="24"/>
                <w:lang w:val="en-CA"/>
              </w:rPr>
              <w:t xml:space="preserve"> the acquisition date.</w:t>
            </w:r>
          </w:p>
          <w:p w:rsidR="00D873BF" w:rsidRPr="00F50EDE" w:rsidRDefault="00C11785" w:rsidP="006026D8">
            <w:pPr>
              <w:autoSpaceDE w:val="0"/>
              <w:autoSpaceDN w:val="0"/>
              <w:adjustRightInd w:val="0"/>
              <w:spacing w:line="276" w:lineRule="auto"/>
              <w:rPr>
                <w:sz w:val="24"/>
                <w:szCs w:val="24"/>
                <w:lang w:val="en-CA"/>
              </w:rPr>
            </w:pPr>
            <w:r w:rsidRPr="00F50EDE">
              <w:rPr>
                <w:sz w:val="24"/>
                <w:szCs w:val="24"/>
                <w:lang w:val="en-CA"/>
              </w:rPr>
              <w:t>3) Calculate</w:t>
            </w:r>
            <w:r w:rsidR="005D1B34" w:rsidRPr="00F50EDE">
              <w:rPr>
                <w:sz w:val="24"/>
                <w:szCs w:val="24"/>
                <w:lang w:val="en-CA"/>
              </w:rPr>
              <w:t xml:space="preserve"> the fair value of the purchase</w:t>
            </w:r>
            <w:r w:rsidR="00D873BF" w:rsidRPr="00F50EDE">
              <w:rPr>
                <w:sz w:val="24"/>
                <w:szCs w:val="24"/>
                <w:lang w:val="en-CA"/>
              </w:rPr>
              <w:t xml:space="preserve"> </w:t>
            </w:r>
            <w:r w:rsidR="005D1B34" w:rsidRPr="00F50EDE">
              <w:rPr>
                <w:sz w:val="24"/>
                <w:szCs w:val="24"/>
                <w:lang w:val="en-CA"/>
              </w:rPr>
              <w:t>consideration transferred.</w:t>
            </w:r>
          </w:p>
          <w:p w:rsidR="005D1B34" w:rsidRPr="00F50EDE" w:rsidRDefault="00C11785" w:rsidP="006026D8">
            <w:pPr>
              <w:autoSpaceDE w:val="0"/>
              <w:autoSpaceDN w:val="0"/>
              <w:adjustRightInd w:val="0"/>
              <w:spacing w:line="276" w:lineRule="auto"/>
              <w:rPr>
                <w:sz w:val="24"/>
                <w:szCs w:val="24"/>
                <w:lang w:val="en-CA"/>
              </w:rPr>
            </w:pPr>
            <w:r w:rsidRPr="00F50EDE">
              <w:rPr>
                <w:sz w:val="24"/>
                <w:szCs w:val="24"/>
                <w:lang w:val="en-CA"/>
              </w:rPr>
              <w:t xml:space="preserve">4) </w:t>
            </w:r>
            <w:r w:rsidR="005D1B34" w:rsidRPr="00F50EDE">
              <w:rPr>
                <w:sz w:val="24"/>
                <w:szCs w:val="24"/>
                <w:lang w:val="en-CA"/>
              </w:rPr>
              <w:t>Recogniz</w:t>
            </w:r>
            <w:r w:rsidR="009B60CD" w:rsidRPr="00F50EDE">
              <w:rPr>
                <w:sz w:val="24"/>
                <w:szCs w:val="24"/>
                <w:lang w:val="en-CA"/>
              </w:rPr>
              <w:t xml:space="preserve">e and measure the identifiable </w:t>
            </w:r>
            <w:r w:rsidR="005D1B34" w:rsidRPr="00F50EDE">
              <w:rPr>
                <w:sz w:val="24"/>
                <w:szCs w:val="24"/>
                <w:lang w:val="en-CA"/>
              </w:rPr>
              <w:t>assets and liabilities and NCI.</w:t>
            </w:r>
          </w:p>
          <w:p w:rsidR="005D1B34" w:rsidRPr="00F50EDE" w:rsidRDefault="00C11785" w:rsidP="006026D8">
            <w:pPr>
              <w:autoSpaceDE w:val="0"/>
              <w:autoSpaceDN w:val="0"/>
              <w:adjustRightInd w:val="0"/>
              <w:spacing w:line="276" w:lineRule="auto"/>
              <w:rPr>
                <w:sz w:val="24"/>
                <w:szCs w:val="24"/>
                <w:lang w:val="en-CA"/>
              </w:rPr>
            </w:pPr>
            <w:r w:rsidRPr="00F50EDE">
              <w:rPr>
                <w:sz w:val="24"/>
                <w:szCs w:val="24"/>
                <w:lang w:val="en-CA"/>
              </w:rPr>
              <w:t xml:space="preserve">5) </w:t>
            </w:r>
            <w:r w:rsidR="005D1B34" w:rsidRPr="00F50EDE">
              <w:rPr>
                <w:sz w:val="24"/>
                <w:szCs w:val="24"/>
                <w:lang w:val="en-CA"/>
              </w:rPr>
              <w:t>Recogniz</w:t>
            </w:r>
            <w:r w:rsidR="00D873BF" w:rsidRPr="00F50EDE">
              <w:rPr>
                <w:sz w:val="24"/>
                <w:szCs w:val="24"/>
                <w:lang w:val="en-CA"/>
              </w:rPr>
              <w:t xml:space="preserve">e and measure goodwill or gain </w:t>
            </w:r>
            <w:r w:rsidR="005D1B34" w:rsidRPr="00F50EDE">
              <w:rPr>
                <w:sz w:val="24"/>
                <w:szCs w:val="24"/>
                <w:lang w:val="en-CA"/>
              </w:rPr>
              <w:t>on purchase.</w:t>
            </w:r>
          </w:p>
          <w:p w:rsidR="00933AE9" w:rsidRPr="00F50EDE" w:rsidRDefault="00933AE9" w:rsidP="006026D8">
            <w:pPr>
              <w:autoSpaceDE w:val="0"/>
              <w:autoSpaceDN w:val="0"/>
              <w:adjustRightInd w:val="0"/>
              <w:spacing w:line="276" w:lineRule="auto"/>
              <w:rPr>
                <w:sz w:val="24"/>
                <w:szCs w:val="24"/>
                <w:lang w:val="en-CA"/>
              </w:rPr>
            </w:pPr>
          </w:p>
          <w:p w:rsidR="00933AE9" w:rsidRPr="00F50EDE" w:rsidRDefault="00933AE9" w:rsidP="006026D8">
            <w:pPr>
              <w:autoSpaceDE w:val="0"/>
              <w:autoSpaceDN w:val="0"/>
              <w:adjustRightInd w:val="0"/>
              <w:spacing w:line="276" w:lineRule="auto"/>
              <w:rPr>
                <w:rFonts w:eastAsiaTheme="minorHAnsi"/>
                <w:sz w:val="24"/>
                <w:szCs w:val="24"/>
              </w:rPr>
            </w:pPr>
            <w:r w:rsidRPr="00F50EDE">
              <w:rPr>
                <w:rFonts w:eastAsiaTheme="minorHAnsi"/>
                <w:sz w:val="24"/>
                <w:szCs w:val="24"/>
              </w:rPr>
              <w:t>Companies have one year from the date of acquisition to finalize the fair value of net tangible assets, goodwill and intangible assets</w:t>
            </w:r>
            <w:r w:rsidR="00424946" w:rsidRPr="00F50EDE">
              <w:rPr>
                <w:rFonts w:eastAsiaTheme="minorHAnsi"/>
                <w:sz w:val="24"/>
                <w:szCs w:val="24"/>
              </w:rPr>
              <w:t>.</w:t>
            </w:r>
          </w:p>
          <w:p w:rsidR="00933AE9" w:rsidRPr="00F50EDE" w:rsidRDefault="00933AE9" w:rsidP="006026D8">
            <w:pPr>
              <w:autoSpaceDE w:val="0"/>
              <w:autoSpaceDN w:val="0"/>
              <w:adjustRightInd w:val="0"/>
              <w:spacing w:line="276" w:lineRule="auto"/>
              <w:rPr>
                <w:sz w:val="24"/>
                <w:szCs w:val="24"/>
              </w:rPr>
            </w:pPr>
          </w:p>
          <w:p w:rsidR="00D873BF" w:rsidRPr="00F50EDE" w:rsidRDefault="00D873BF" w:rsidP="006026D8">
            <w:pPr>
              <w:autoSpaceDE w:val="0"/>
              <w:autoSpaceDN w:val="0"/>
              <w:adjustRightInd w:val="0"/>
              <w:spacing w:line="276" w:lineRule="auto"/>
              <w:rPr>
                <w:sz w:val="24"/>
                <w:szCs w:val="24"/>
              </w:rPr>
            </w:pPr>
          </w:p>
        </w:tc>
        <w:tc>
          <w:tcPr>
            <w:tcW w:w="2268" w:type="dxa"/>
          </w:tcPr>
          <w:p w:rsidR="00D873BF" w:rsidRPr="00F50EDE" w:rsidRDefault="00894BDD" w:rsidP="006026D8">
            <w:pPr>
              <w:autoSpaceDE w:val="0"/>
              <w:autoSpaceDN w:val="0"/>
              <w:adjustRightInd w:val="0"/>
              <w:spacing w:line="276" w:lineRule="auto"/>
              <w:rPr>
                <w:sz w:val="24"/>
                <w:szCs w:val="24"/>
              </w:rPr>
            </w:pPr>
            <w:r w:rsidRPr="00F50EDE">
              <w:rPr>
                <w:sz w:val="24"/>
                <w:szCs w:val="24"/>
              </w:rPr>
              <w:lastRenderedPageBreak/>
              <w:t xml:space="preserve">Despite there being several methods, IFRS requires the </w:t>
            </w:r>
            <w:r w:rsidR="007F58B6" w:rsidRPr="00F50EDE">
              <w:rPr>
                <w:sz w:val="24"/>
                <w:szCs w:val="24"/>
              </w:rPr>
              <w:t>Acquisition</w:t>
            </w:r>
            <w:r w:rsidRPr="00F50EDE">
              <w:rPr>
                <w:sz w:val="24"/>
                <w:szCs w:val="24"/>
              </w:rPr>
              <w:t xml:space="preserve"> Method</w:t>
            </w:r>
            <w:r w:rsidR="007F58B6" w:rsidRPr="00F50EDE">
              <w:rPr>
                <w:sz w:val="24"/>
                <w:szCs w:val="24"/>
              </w:rPr>
              <w:t xml:space="preserve"> to report all business combinations</w:t>
            </w:r>
          </w:p>
          <w:p w:rsidR="00923097" w:rsidRPr="00F50EDE" w:rsidRDefault="00923097" w:rsidP="006026D8">
            <w:pPr>
              <w:autoSpaceDE w:val="0"/>
              <w:autoSpaceDN w:val="0"/>
              <w:adjustRightInd w:val="0"/>
              <w:spacing w:line="276" w:lineRule="auto"/>
              <w:rPr>
                <w:sz w:val="24"/>
                <w:szCs w:val="24"/>
              </w:rPr>
            </w:pPr>
          </w:p>
        </w:tc>
      </w:tr>
      <w:tr w:rsidR="00EC5503" w:rsidRPr="00F50EDE" w:rsidTr="00E40B17">
        <w:tc>
          <w:tcPr>
            <w:tcW w:w="1908" w:type="dxa"/>
          </w:tcPr>
          <w:p w:rsidR="00EC5503" w:rsidRPr="00F50EDE" w:rsidRDefault="00332572" w:rsidP="006026D8">
            <w:pPr>
              <w:autoSpaceDE w:val="0"/>
              <w:autoSpaceDN w:val="0"/>
              <w:adjustRightInd w:val="0"/>
              <w:spacing w:line="276" w:lineRule="auto"/>
              <w:rPr>
                <w:sz w:val="24"/>
                <w:szCs w:val="24"/>
              </w:rPr>
            </w:pPr>
            <w:r w:rsidRPr="00F50EDE">
              <w:rPr>
                <w:sz w:val="24"/>
                <w:szCs w:val="24"/>
              </w:rPr>
              <w:lastRenderedPageBreak/>
              <w:t xml:space="preserve"> Purchase </w:t>
            </w:r>
            <w:r w:rsidR="00EC5503" w:rsidRPr="00F50EDE">
              <w:rPr>
                <w:sz w:val="24"/>
                <w:szCs w:val="24"/>
              </w:rPr>
              <w:t xml:space="preserve">Consideration </w:t>
            </w:r>
          </w:p>
        </w:tc>
        <w:tc>
          <w:tcPr>
            <w:tcW w:w="2880" w:type="dxa"/>
          </w:tcPr>
          <w:p w:rsidR="00EC5503" w:rsidRPr="00F50EDE" w:rsidRDefault="00417C73" w:rsidP="006026D8">
            <w:pPr>
              <w:autoSpaceDE w:val="0"/>
              <w:autoSpaceDN w:val="0"/>
              <w:adjustRightInd w:val="0"/>
              <w:spacing w:line="276" w:lineRule="auto"/>
              <w:rPr>
                <w:sz w:val="24"/>
                <w:szCs w:val="24"/>
              </w:rPr>
            </w:pPr>
            <w:r w:rsidRPr="00F50EDE">
              <w:rPr>
                <w:sz w:val="24"/>
                <w:szCs w:val="24"/>
              </w:rPr>
              <w:t xml:space="preserve">Loblaw, a segment of GWL, acquired all of Shoppers Drug Mart shares </w:t>
            </w:r>
            <w:r w:rsidR="000A39A9" w:rsidRPr="00F50EDE">
              <w:rPr>
                <w:sz w:val="24"/>
                <w:szCs w:val="24"/>
              </w:rPr>
              <w:t xml:space="preserve">for $12.3 Billion which was comprised of: </w:t>
            </w:r>
          </w:p>
          <w:p w:rsidR="000A39A9" w:rsidRPr="00F50EDE" w:rsidRDefault="000A39A9" w:rsidP="006026D8">
            <w:pPr>
              <w:autoSpaceDE w:val="0"/>
              <w:autoSpaceDN w:val="0"/>
              <w:adjustRightInd w:val="0"/>
              <w:spacing w:line="276" w:lineRule="auto"/>
              <w:rPr>
                <w:sz w:val="24"/>
                <w:szCs w:val="24"/>
              </w:rPr>
            </w:pPr>
            <w:r w:rsidRPr="00F50EDE">
              <w:rPr>
                <w:sz w:val="24"/>
                <w:szCs w:val="24"/>
              </w:rPr>
              <w:t>1)Cash:</w:t>
            </w:r>
          </w:p>
          <w:p w:rsidR="000A39A9" w:rsidRPr="00F50EDE" w:rsidRDefault="000A39A9" w:rsidP="006026D8">
            <w:pPr>
              <w:autoSpaceDE w:val="0"/>
              <w:autoSpaceDN w:val="0"/>
              <w:adjustRightInd w:val="0"/>
              <w:spacing w:line="276" w:lineRule="auto"/>
              <w:rPr>
                <w:rFonts w:eastAsiaTheme="minorHAnsi"/>
                <w:sz w:val="24"/>
                <w:szCs w:val="24"/>
              </w:rPr>
            </w:pPr>
            <w:r w:rsidRPr="00F50EDE">
              <w:rPr>
                <w:sz w:val="24"/>
                <w:szCs w:val="24"/>
              </w:rPr>
              <w:t xml:space="preserve">- </w:t>
            </w:r>
            <w:r w:rsidRPr="00F50EDE">
              <w:rPr>
                <w:rFonts w:eastAsiaTheme="minorHAnsi"/>
                <w:sz w:val="24"/>
                <w:szCs w:val="24"/>
              </w:rPr>
              <w:t xml:space="preserve">$3.5 billion term loan facility </w:t>
            </w:r>
          </w:p>
          <w:p w:rsidR="000A39A9" w:rsidRPr="00F50EDE" w:rsidRDefault="000A39A9" w:rsidP="006026D8">
            <w:pPr>
              <w:autoSpaceDE w:val="0"/>
              <w:autoSpaceDN w:val="0"/>
              <w:adjustRightInd w:val="0"/>
              <w:spacing w:line="276" w:lineRule="auto"/>
              <w:rPr>
                <w:rFonts w:eastAsiaTheme="minorHAnsi"/>
                <w:sz w:val="24"/>
                <w:szCs w:val="24"/>
              </w:rPr>
            </w:pPr>
            <w:r w:rsidRPr="00F50EDE">
              <w:rPr>
                <w:rFonts w:eastAsiaTheme="minorHAnsi"/>
                <w:sz w:val="24"/>
                <w:szCs w:val="24"/>
              </w:rPr>
              <w:t xml:space="preserve">- $1.6 billion of proceeds from the issuance of unsecured notes in 2013 </w:t>
            </w:r>
          </w:p>
          <w:p w:rsidR="000A39A9" w:rsidRPr="00F50EDE" w:rsidRDefault="000A39A9" w:rsidP="006026D8">
            <w:pPr>
              <w:autoSpaceDE w:val="0"/>
              <w:autoSpaceDN w:val="0"/>
              <w:adjustRightInd w:val="0"/>
              <w:spacing w:line="276" w:lineRule="auto"/>
              <w:rPr>
                <w:rFonts w:eastAsiaTheme="minorHAnsi"/>
                <w:sz w:val="24"/>
                <w:szCs w:val="24"/>
              </w:rPr>
            </w:pPr>
            <w:r w:rsidRPr="00F50EDE">
              <w:rPr>
                <w:rFonts w:eastAsiaTheme="minorHAnsi"/>
                <w:sz w:val="24"/>
                <w:szCs w:val="24"/>
              </w:rPr>
              <w:t>-  $500 million was received in consideration of the issuance of 10.5 million Loblaw common shares to</w:t>
            </w:r>
            <w:r w:rsidR="00C11785" w:rsidRPr="00F50EDE">
              <w:rPr>
                <w:rFonts w:eastAsiaTheme="minorHAnsi"/>
                <w:sz w:val="24"/>
                <w:szCs w:val="24"/>
              </w:rPr>
              <w:t xml:space="preserve"> </w:t>
            </w:r>
            <w:r w:rsidRPr="00F50EDE">
              <w:rPr>
                <w:rFonts w:eastAsiaTheme="minorHAnsi"/>
                <w:sz w:val="24"/>
                <w:szCs w:val="24"/>
              </w:rPr>
              <w:t>GWL</w:t>
            </w:r>
          </w:p>
          <w:p w:rsidR="000A39A9" w:rsidRPr="00F50EDE" w:rsidRDefault="000A39A9" w:rsidP="006026D8">
            <w:pPr>
              <w:autoSpaceDE w:val="0"/>
              <w:autoSpaceDN w:val="0"/>
              <w:adjustRightInd w:val="0"/>
              <w:spacing w:line="276" w:lineRule="auto"/>
              <w:rPr>
                <w:rFonts w:eastAsiaTheme="minorHAnsi"/>
                <w:sz w:val="24"/>
                <w:szCs w:val="24"/>
              </w:rPr>
            </w:pPr>
            <w:r w:rsidRPr="00F50EDE">
              <w:rPr>
                <w:rFonts w:eastAsiaTheme="minorHAnsi"/>
                <w:sz w:val="24"/>
                <w:szCs w:val="24"/>
              </w:rPr>
              <w:t>-$1.0 billion cash on hand</w:t>
            </w:r>
          </w:p>
          <w:p w:rsidR="000A39A9" w:rsidRPr="00F50EDE" w:rsidRDefault="000A39A9" w:rsidP="006026D8">
            <w:pPr>
              <w:autoSpaceDE w:val="0"/>
              <w:autoSpaceDN w:val="0"/>
              <w:adjustRightInd w:val="0"/>
              <w:spacing w:line="276" w:lineRule="auto"/>
              <w:rPr>
                <w:rFonts w:eastAsiaTheme="minorHAnsi"/>
                <w:sz w:val="24"/>
                <w:szCs w:val="24"/>
              </w:rPr>
            </w:pPr>
          </w:p>
          <w:p w:rsidR="000A39A9" w:rsidRPr="00F50EDE" w:rsidRDefault="000A39A9" w:rsidP="006026D8">
            <w:pPr>
              <w:autoSpaceDE w:val="0"/>
              <w:autoSpaceDN w:val="0"/>
              <w:adjustRightInd w:val="0"/>
              <w:spacing w:line="276" w:lineRule="auto"/>
              <w:rPr>
                <w:sz w:val="24"/>
                <w:szCs w:val="24"/>
              </w:rPr>
            </w:pPr>
            <w:r w:rsidRPr="00F50EDE">
              <w:rPr>
                <w:rFonts w:eastAsiaTheme="minorHAnsi"/>
                <w:sz w:val="24"/>
                <w:szCs w:val="24"/>
              </w:rPr>
              <w:t xml:space="preserve">2) 119.5 million Loblaw shares worth $5.7 Billion (12.3 – 6.6) </w:t>
            </w:r>
          </w:p>
        </w:tc>
        <w:tc>
          <w:tcPr>
            <w:tcW w:w="2520" w:type="dxa"/>
          </w:tcPr>
          <w:p w:rsidR="00EC5503" w:rsidRPr="00F50EDE" w:rsidRDefault="004F510B" w:rsidP="006026D8">
            <w:pPr>
              <w:autoSpaceDE w:val="0"/>
              <w:autoSpaceDN w:val="0"/>
              <w:adjustRightInd w:val="0"/>
              <w:spacing w:line="276" w:lineRule="auto"/>
              <w:rPr>
                <w:sz w:val="24"/>
                <w:szCs w:val="24"/>
              </w:rPr>
            </w:pPr>
            <w:r w:rsidRPr="00F50EDE">
              <w:rPr>
                <w:sz w:val="24"/>
                <w:szCs w:val="24"/>
              </w:rPr>
              <w:t xml:space="preserve">Consideration given can be cash and/assets, shares or a combination of both. The consideration transferred should be measured at fair value on the date of acquisition. </w:t>
            </w:r>
          </w:p>
          <w:p w:rsidR="004F510B" w:rsidRPr="00F50EDE" w:rsidRDefault="004F510B" w:rsidP="006026D8">
            <w:pPr>
              <w:autoSpaceDE w:val="0"/>
              <w:autoSpaceDN w:val="0"/>
              <w:adjustRightInd w:val="0"/>
              <w:spacing w:line="276" w:lineRule="auto"/>
              <w:rPr>
                <w:sz w:val="24"/>
                <w:szCs w:val="24"/>
              </w:rPr>
            </w:pPr>
          </w:p>
        </w:tc>
        <w:tc>
          <w:tcPr>
            <w:tcW w:w="2268" w:type="dxa"/>
          </w:tcPr>
          <w:p w:rsidR="00EC5503" w:rsidRPr="00F50EDE" w:rsidRDefault="00417C73" w:rsidP="006026D8">
            <w:pPr>
              <w:autoSpaceDE w:val="0"/>
              <w:autoSpaceDN w:val="0"/>
              <w:adjustRightInd w:val="0"/>
              <w:spacing w:line="276" w:lineRule="auto"/>
              <w:rPr>
                <w:sz w:val="24"/>
                <w:szCs w:val="24"/>
              </w:rPr>
            </w:pPr>
            <w:r w:rsidRPr="00F50EDE">
              <w:rPr>
                <w:sz w:val="24"/>
                <w:szCs w:val="24"/>
              </w:rPr>
              <w:t xml:space="preserve">Under IFRS control could have been acquired through contingent consideration which is </w:t>
            </w:r>
            <w:proofErr w:type="gramStart"/>
            <w:r w:rsidRPr="00F50EDE">
              <w:rPr>
                <w:sz w:val="24"/>
                <w:szCs w:val="24"/>
              </w:rPr>
              <w:t>an add</w:t>
            </w:r>
            <w:proofErr w:type="gramEnd"/>
            <w:r w:rsidRPr="00F50EDE">
              <w:rPr>
                <w:sz w:val="24"/>
                <w:szCs w:val="24"/>
              </w:rPr>
              <w:t xml:space="preserve"> on to the base price that is based on events occurring after the purchase takes place. Also, the business combination could have occurred without  a transfer of consideration (i.e. purchasing enough shares from other shareholders to obtain control) </w:t>
            </w:r>
          </w:p>
        </w:tc>
      </w:tr>
      <w:tr w:rsidR="00923097" w:rsidRPr="00F50EDE" w:rsidTr="00E40B17">
        <w:tc>
          <w:tcPr>
            <w:tcW w:w="1908" w:type="dxa"/>
          </w:tcPr>
          <w:p w:rsidR="00923097" w:rsidRPr="00F50EDE" w:rsidRDefault="000A39A9" w:rsidP="006026D8">
            <w:pPr>
              <w:autoSpaceDE w:val="0"/>
              <w:autoSpaceDN w:val="0"/>
              <w:adjustRightInd w:val="0"/>
              <w:spacing w:line="276" w:lineRule="auto"/>
              <w:rPr>
                <w:sz w:val="24"/>
                <w:szCs w:val="24"/>
              </w:rPr>
            </w:pPr>
            <w:r w:rsidRPr="00F50EDE">
              <w:rPr>
                <w:sz w:val="24"/>
                <w:szCs w:val="24"/>
              </w:rPr>
              <w:t>Acquisition</w:t>
            </w:r>
            <w:r w:rsidR="006026D8" w:rsidRPr="00F50EDE">
              <w:rPr>
                <w:sz w:val="24"/>
                <w:szCs w:val="24"/>
              </w:rPr>
              <w:t xml:space="preserve"> </w:t>
            </w:r>
            <w:r w:rsidR="00C825D9" w:rsidRPr="00F50EDE">
              <w:rPr>
                <w:sz w:val="24"/>
                <w:szCs w:val="24"/>
              </w:rPr>
              <w:t xml:space="preserve">Costs </w:t>
            </w:r>
          </w:p>
        </w:tc>
        <w:tc>
          <w:tcPr>
            <w:tcW w:w="2880" w:type="dxa"/>
          </w:tcPr>
          <w:p w:rsidR="008F4B03" w:rsidRPr="00F50EDE" w:rsidRDefault="008F4B03" w:rsidP="006026D8">
            <w:pPr>
              <w:autoSpaceDE w:val="0"/>
              <w:autoSpaceDN w:val="0"/>
              <w:adjustRightInd w:val="0"/>
              <w:spacing w:line="276" w:lineRule="auto"/>
              <w:rPr>
                <w:sz w:val="24"/>
                <w:szCs w:val="24"/>
              </w:rPr>
            </w:pPr>
            <w:r w:rsidRPr="00F50EDE">
              <w:rPr>
                <w:rFonts w:eastAsiaTheme="minorHAnsi"/>
                <w:sz w:val="24"/>
                <w:szCs w:val="24"/>
              </w:rPr>
              <w:t>During 2014, Loblaw incurred acquisitions costs of which $60 million was recorded in selling, general and administrati</w:t>
            </w:r>
            <w:r w:rsidR="00C11785" w:rsidRPr="00F50EDE">
              <w:rPr>
                <w:rFonts w:eastAsiaTheme="minorHAnsi"/>
                <w:sz w:val="24"/>
                <w:szCs w:val="24"/>
              </w:rPr>
              <w:t>ve expenses and $15 million was</w:t>
            </w:r>
            <w:r w:rsidRPr="00F50EDE">
              <w:rPr>
                <w:rFonts w:eastAsiaTheme="minorHAnsi"/>
                <w:sz w:val="24"/>
                <w:szCs w:val="24"/>
              </w:rPr>
              <w:t xml:space="preserve"> recorded in net interest expense and other financing charges. The report also i</w:t>
            </w:r>
            <w:r w:rsidR="003D30AA" w:rsidRPr="00F50EDE">
              <w:rPr>
                <w:rFonts w:eastAsiaTheme="minorHAnsi"/>
                <w:sz w:val="24"/>
                <w:szCs w:val="24"/>
              </w:rPr>
              <w:t>nformed</w:t>
            </w:r>
            <w:r w:rsidRPr="00F50EDE">
              <w:rPr>
                <w:rFonts w:eastAsiaTheme="minorHAnsi"/>
                <w:sz w:val="24"/>
                <w:szCs w:val="24"/>
              </w:rPr>
              <w:t xml:space="preserve"> users the cost incurred and expensed in 2013 relating to the acquisition. </w:t>
            </w:r>
          </w:p>
        </w:tc>
        <w:tc>
          <w:tcPr>
            <w:tcW w:w="2520" w:type="dxa"/>
          </w:tcPr>
          <w:p w:rsidR="00923097" w:rsidRPr="00F50EDE" w:rsidRDefault="008F4B03" w:rsidP="006026D8">
            <w:pPr>
              <w:autoSpaceDE w:val="0"/>
              <w:autoSpaceDN w:val="0"/>
              <w:adjustRightInd w:val="0"/>
              <w:spacing w:line="276" w:lineRule="auto"/>
              <w:rPr>
                <w:sz w:val="24"/>
                <w:szCs w:val="24"/>
              </w:rPr>
            </w:pPr>
            <w:r w:rsidRPr="00F50EDE">
              <w:rPr>
                <w:sz w:val="24"/>
                <w:szCs w:val="24"/>
              </w:rPr>
              <w:t xml:space="preserve">Under IFRS, acquisition related costs are expensed in the period they occurred and are not considered a part of the combination purchase. </w:t>
            </w:r>
          </w:p>
        </w:tc>
        <w:tc>
          <w:tcPr>
            <w:tcW w:w="2268" w:type="dxa"/>
          </w:tcPr>
          <w:p w:rsidR="00923097" w:rsidRPr="00F50EDE" w:rsidRDefault="003D30AA" w:rsidP="006026D8">
            <w:pPr>
              <w:autoSpaceDE w:val="0"/>
              <w:autoSpaceDN w:val="0"/>
              <w:adjustRightInd w:val="0"/>
              <w:spacing w:line="276" w:lineRule="auto"/>
              <w:rPr>
                <w:sz w:val="24"/>
                <w:szCs w:val="24"/>
              </w:rPr>
            </w:pPr>
            <w:r w:rsidRPr="00F50EDE">
              <w:rPr>
                <w:sz w:val="24"/>
                <w:szCs w:val="24"/>
              </w:rPr>
              <w:t>NONE</w:t>
            </w:r>
          </w:p>
        </w:tc>
      </w:tr>
      <w:tr w:rsidR="00C825D9" w:rsidRPr="00F50EDE" w:rsidTr="00E40B17">
        <w:tc>
          <w:tcPr>
            <w:tcW w:w="1908" w:type="dxa"/>
          </w:tcPr>
          <w:p w:rsidR="00C825D9" w:rsidRPr="00F50EDE" w:rsidRDefault="00C825D9" w:rsidP="006026D8">
            <w:pPr>
              <w:autoSpaceDE w:val="0"/>
              <w:autoSpaceDN w:val="0"/>
              <w:adjustRightInd w:val="0"/>
              <w:spacing w:line="276" w:lineRule="auto"/>
              <w:rPr>
                <w:sz w:val="24"/>
                <w:szCs w:val="24"/>
              </w:rPr>
            </w:pPr>
            <w:r w:rsidRPr="00F50EDE">
              <w:rPr>
                <w:sz w:val="24"/>
                <w:szCs w:val="24"/>
              </w:rPr>
              <w:t xml:space="preserve">Goodwill </w:t>
            </w:r>
          </w:p>
        </w:tc>
        <w:tc>
          <w:tcPr>
            <w:tcW w:w="2880" w:type="dxa"/>
          </w:tcPr>
          <w:p w:rsidR="00C825D9" w:rsidRPr="00F50EDE" w:rsidRDefault="000F5B03" w:rsidP="006026D8">
            <w:pPr>
              <w:autoSpaceDE w:val="0"/>
              <w:autoSpaceDN w:val="0"/>
              <w:adjustRightInd w:val="0"/>
              <w:spacing w:line="276" w:lineRule="auto"/>
              <w:rPr>
                <w:rFonts w:eastAsiaTheme="minorHAnsi"/>
                <w:sz w:val="24"/>
                <w:szCs w:val="24"/>
              </w:rPr>
            </w:pPr>
            <w:r w:rsidRPr="00F50EDE">
              <w:rPr>
                <w:rFonts w:eastAsiaTheme="minorHAnsi"/>
                <w:sz w:val="24"/>
                <w:szCs w:val="24"/>
              </w:rPr>
              <w:t xml:space="preserve">The company calculated its good will by taking </w:t>
            </w:r>
            <w:r w:rsidR="006026D8" w:rsidRPr="00F50EDE">
              <w:rPr>
                <w:rFonts w:eastAsiaTheme="minorHAnsi"/>
                <w:sz w:val="24"/>
                <w:szCs w:val="24"/>
              </w:rPr>
              <w:t xml:space="preserve">the difference between the fair </w:t>
            </w:r>
            <w:proofErr w:type="gramStart"/>
            <w:r w:rsidRPr="00F50EDE">
              <w:rPr>
                <w:rFonts w:eastAsiaTheme="minorHAnsi"/>
                <w:sz w:val="24"/>
                <w:szCs w:val="24"/>
              </w:rPr>
              <w:t>value</w:t>
            </w:r>
            <w:proofErr w:type="gramEnd"/>
            <w:r w:rsidRPr="00F50EDE">
              <w:rPr>
                <w:rFonts w:eastAsiaTheme="minorHAnsi"/>
                <w:sz w:val="24"/>
                <w:szCs w:val="24"/>
              </w:rPr>
              <w:t xml:space="preserve"> of the consideration transferred over and the and the net identifiable </w:t>
            </w:r>
            <w:r w:rsidRPr="00F50EDE">
              <w:rPr>
                <w:rFonts w:eastAsiaTheme="minorHAnsi"/>
                <w:sz w:val="24"/>
                <w:szCs w:val="24"/>
              </w:rPr>
              <w:lastRenderedPageBreak/>
              <w:t>assets acquired</w:t>
            </w:r>
            <w:r w:rsidR="00555A93" w:rsidRPr="00F50EDE">
              <w:rPr>
                <w:rFonts w:eastAsiaTheme="minorHAnsi"/>
                <w:sz w:val="24"/>
                <w:szCs w:val="24"/>
              </w:rPr>
              <w:t xml:space="preserve">, all measured at </w:t>
            </w:r>
            <w:r w:rsidR="006026D8" w:rsidRPr="00F50EDE">
              <w:rPr>
                <w:rFonts w:eastAsiaTheme="minorHAnsi"/>
                <w:sz w:val="24"/>
                <w:szCs w:val="24"/>
              </w:rPr>
              <w:t xml:space="preserve">the </w:t>
            </w:r>
            <w:r w:rsidR="00555A93" w:rsidRPr="00F50EDE">
              <w:rPr>
                <w:rFonts w:eastAsiaTheme="minorHAnsi"/>
                <w:sz w:val="24"/>
                <w:szCs w:val="24"/>
              </w:rPr>
              <w:t>acquisition date,</w:t>
            </w:r>
            <w:r w:rsidRPr="00F50EDE">
              <w:rPr>
                <w:rFonts w:eastAsiaTheme="minorHAnsi"/>
                <w:sz w:val="24"/>
                <w:szCs w:val="24"/>
              </w:rPr>
              <w:t xml:space="preserve"> which equaled to an amount of </w:t>
            </w:r>
            <w:r w:rsidR="009B60CD" w:rsidRPr="00F50EDE">
              <w:rPr>
                <w:rFonts w:eastAsiaTheme="minorHAnsi"/>
                <w:sz w:val="24"/>
                <w:szCs w:val="24"/>
              </w:rPr>
              <w:t>$2285 million and</w:t>
            </w:r>
            <w:r w:rsidR="003D30AA" w:rsidRPr="00F50EDE">
              <w:rPr>
                <w:rFonts w:eastAsiaTheme="minorHAnsi"/>
                <w:sz w:val="24"/>
                <w:szCs w:val="24"/>
              </w:rPr>
              <w:t xml:space="preserve"> was</w:t>
            </w:r>
            <w:r w:rsidR="009B60CD" w:rsidRPr="00F50EDE">
              <w:rPr>
                <w:rFonts w:eastAsiaTheme="minorHAnsi"/>
                <w:sz w:val="24"/>
                <w:szCs w:val="24"/>
              </w:rPr>
              <w:t xml:space="preserve"> recorded under assets. </w:t>
            </w:r>
          </w:p>
          <w:p w:rsidR="005D1B34" w:rsidRPr="00F50EDE" w:rsidRDefault="000F5B03" w:rsidP="006026D8">
            <w:pPr>
              <w:autoSpaceDE w:val="0"/>
              <w:autoSpaceDN w:val="0"/>
              <w:adjustRightInd w:val="0"/>
              <w:spacing w:line="276" w:lineRule="auto"/>
              <w:rPr>
                <w:rFonts w:eastAsiaTheme="minorHAnsi"/>
                <w:sz w:val="24"/>
                <w:szCs w:val="24"/>
              </w:rPr>
            </w:pPr>
            <w:r w:rsidRPr="00F50EDE">
              <w:rPr>
                <w:rFonts w:eastAsiaTheme="minorHAnsi"/>
                <w:sz w:val="24"/>
                <w:szCs w:val="24"/>
              </w:rPr>
              <w:t xml:space="preserve"> Goodwill is subsequently measured at cost less accumulated impairment losses. </w:t>
            </w:r>
          </w:p>
          <w:p w:rsidR="000F5B03" w:rsidRPr="00F50EDE" w:rsidRDefault="00800BEC" w:rsidP="006026D8">
            <w:pPr>
              <w:autoSpaceDE w:val="0"/>
              <w:autoSpaceDN w:val="0"/>
              <w:adjustRightInd w:val="0"/>
              <w:spacing w:line="276" w:lineRule="auto"/>
              <w:rPr>
                <w:rFonts w:eastAsiaTheme="minorHAnsi"/>
                <w:sz w:val="24"/>
                <w:szCs w:val="24"/>
              </w:rPr>
            </w:pPr>
            <w:r w:rsidRPr="00F50EDE">
              <w:rPr>
                <w:rFonts w:eastAsiaTheme="minorHAnsi"/>
                <w:sz w:val="24"/>
                <w:szCs w:val="24"/>
              </w:rPr>
              <w:t xml:space="preserve">The company notes that the purchase price allocation has not been finalized therefore the amount of goodwill may change in 2015. </w:t>
            </w:r>
          </w:p>
        </w:tc>
        <w:tc>
          <w:tcPr>
            <w:tcW w:w="2520" w:type="dxa"/>
          </w:tcPr>
          <w:p w:rsidR="00C825D9" w:rsidRPr="00F50EDE" w:rsidRDefault="00536185" w:rsidP="006026D8">
            <w:pPr>
              <w:autoSpaceDE w:val="0"/>
              <w:autoSpaceDN w:val="0"/>
              <w:adjustRightInd w:val="0"/>
              <w:spacing w:line="276" w:lineRule="auto"/>
              <w:rPr>
                <w:sz w:val="24"/>
                <w:szCs w:val="24"/>
              </w:rPr>
            </w:pPr>
            <w:r w:rsidRPr="00F50EDE">
              <w:rPr>
                <w:sz w:val="24"/>
                <w:szCs w:val="24"/>
              </w:rPr>
              <w:lastRenderedPageBreak/>
              <w:t xml:space="preserve">Goodwill is calculated as the difference between the fair value of the net identifiable assets and the </w:t>
            </w:r>
            <w:r w:rsidR="009B60CD" w:rsidRPr="00F50EDE">
              <w:rPr>
                <w:sz w:val="24"/>
                <w:szCs w:val="24"/>
              </w:rPr>
              <w:t>consideration</w:t>
            </w:r>
            <w:r w:rsidR="006026D8" w:rsidRPr="00F50EDE">
              <w:rPr>
                <w:sz w:val="24"/>
                <w:szCs w:val="24"/>
              </w:rPr>
              <w:t xml:space="preserve"> </w:t>
            </w:r>
            <w:r w:rsidR="006026D8" w:rsidRPr="00F50EDE">
              <w:rPr>
                <w:sz w:val="24"/>
                <w:szCs w:val="24"/>
              </w:rPr>
              <w:lastRenderedPageBreak/>
              <w:t>transferred. It is good</w:t>
            </w:r>
            <w:r w:rsidRPr="00F50EDE">
              <w:rPr>
                <w:sz w:val="24"/>
                <w:szCs w:val="24"/>
              </w:rPr>
              <w:t>will when the pur</w:t>
            </w:r>
            <w:r w:rsidR="009B60CD" w:rsidRPr="00F50EDE">
              <w:rPr>
                <w:sz w:val="24"/>
                <w:szCs w:val="24"/>
              </w:rPr>
              <w:t>chase consid</w:t>
            </w:r>
            <w:r w:rsidRPr="00F50EDE">
              <w:rPr>
                <w:sz w:val="24"/>
                <w:szCs w:val="24"/>
              </w:rPr>
              <w:t>eration is more than the NIA and negative Goodwill</w:t>
            </w:r>
            <w:r w:rsidR="003D30AA" w:rsidRPr="00F50EDE">
              <w:rPr>
                <w:sz w:val="24"/>
                <w:szCs w:val="24"/>
              </w:rPr>
              <w:t xml:space="preserve"> (bargain purchase)</w:t>
            </w:r>
            <w:r w:rsidRPr="00F50EDE">
              <w:rPr>
                <w:sz w:val="24"/>
                <w:szCs w:val="24"/>
              </w:rPr>
              <w:t xml:space="preserve"> when it is less. </w:t>
            </w:r>
          </w:p>
        </w:tc>
        <w:tc>
          <w:tcPr>
            <w:tcW w:w="2268" w:type="dxa"/>
          </w:tcPr>
          <w:p w:rsidR="00C825D9" w:rsidRPr="00F50EDE" w:rsidRDefault="009B60CD" w:rsidP="006026D8">
            <w:pPr>
              <w:autoSpaceDE w:val="0"/>
              <w:autoSpaceDN w:val="0"/>
              <w:adjustRightInd w:val="0"/>
              <w:spacing w:line="276" w:lineRule="auto"/>
              <w:rPr>
                <w:sz w:val="24"/>
                <w:szCs w:val="24"/>
              </w:rPr>
            </w:pPr>
            <w:r w:rsidRPr="00F50EDE">
              <w:rPr>
                <w:sz w:val="24"/>
                <w:szCs w:val="24"/>
              </w:rPr>
              <w:lastRenderedPageBreak/>
              <w:t>Another method that could be used to calculate goodwill, as shown in the text book is:</w:t>
            </w:r>
          </w:p>
          <w:p w:rsidR="009B60CD" w:rsidRPr="00F50EDE" w:rsidRDefault="009B60CD" w:rsidP="006026D8">
            <w:pPr>
              <w:autoSpaceDE w:val="0"/>
              <w:autoSpaceDN w:val="0"/>
              <w:adjustRightInd w:val="0"/>
              <w:spacing w:line="276" w:lineRule="auto"/>
              <w:rPr>
                <w:sz w:val="24"/>
                <w:szCs w:val="24"/>
              </w:rPr>
            </w:pPr>
            <w:r w:rsidRPr="00F50EDE">
              <w:rPr>
                <w:sz w:val="24"/>
                <w:szCs w:val="24"/>
              </w:rPr>
              <w:t xml:space="preserve">1)Calculate the </w:t>
            </w:r>
            <w:r w:rsidRPr="00F50EDE">
              <w:rPr>
                <w:sz w:val="24"/>
                <w:szCs w:val="24"/>
              </w:rPr>
              <w:lastRenderedPageBreak/>
              <w:t xml:space="preserve">difference between </w:t>
            </w:r>
            <w:r w:rsidR="00E40B17" w:rsidRPr="00F50EDE">
              <w:rPr>
                <w:sz w:val="24"/>
                <w:szCs w:val="24"/>
              </w:rPr>
              <w:t>purchase price and carrying value of net identifiable assets</w:t>
            </w:r>
          </w:p>
          <w:p w:rsidR="00E40B17" w:rsidRPr="00F50EDE" w:rsidRDefault="00E40B17" w:rsidP="006026D8">
            <w:pPr>
              <w:autoSpaceDE w:val="0"/>
              <w:autoSpaceDN w:val="0"/>
              <w:adjustRightInd w:val="0"/>
              <w:spacing w:line="276" w:lineRule="auto"/>
              <w:rPr>
                <w:sz w:val="24"/>
                <w:szCs w:val="24"/>
              </w:rPr>
            </w:pPr>
            <w:r w:rsidRPr="00F50EDE">
              <w:rPr>
                <w:sz w:val="24"/>
                <w:szCs w:val="24"/>
              </w:rPr>
              <w:t xml:space="preserve">2) </w:t>
            </w:r>
            <w:r w:rsidR="00B4000A" w:rsidRPr="00F50EDE">
              <w:rPr>
                <w:sz w:val="24"/>
                <w:szCs w:val="24"/>
              </w:rPr>
              <w:t>Calculate the difference between each asset</w:t>
            </w:r>
            <w:r w:rsidR="006026D8" w:rsidRPr="00F50EDE">
              <w:rPr>
                <w:sz w:val="24"/>
                <w:szCs w:val="24"/>
              </w:rPr>
              <w:t>’s</w:t>
            </w:r>
            <w:r w:rsidR="00B4000A" w:rsidRPr="00F50EDE">
              <w:rPr>
                <w:sz w:val="24"/>
                <w:szCs w:val="24"/>
              </w:rPr>
              <w:t xml:space="preserve"> and liability’s fair value and carrying value in order to find each fair value adjustment </w:t>
            </w:r>
          </w:p>
          <w:p w:rsidR="00B4000A" w:rsidRPr="00F50EDE" w:rsidRDefault="00B4000A" w:rsidP="006026D8">
            <w:pPr>
              <w:autoSpaceDE w:val="0"/>
              <w:autoSpaceDN w:val="0"/>
              <w:adjustRightInd w:val="0"/>
              <w:spacing w:line="276" w:lineRule="auto"/>
              <w:rPr>
                <w:sz w:val="24"/>
                <w:szCs w:val="24"/>
              </w:rPr>
            </w:pPr>
            <w:r w:rsidRPr="00F50EDE">
              <w:rPr>
                <w:sz w:val="24"/>
                <w:szCs w:val="24"/>
              </w:rPr>
              <w:t>3) Total all the adjustments and find the difference from step one in order to arrive at goodwill</w:t>
            </w:r>
          </w:p>
        </w:tc>
      </w:tr>
      <w:tr w:rsidR="000F5B03" w:rsidRPr="00F50EDE" w:rsidTr="00E40B17">
        <w:tc>
          <w:tcPr>
            <w:tcW w:w="1908" w:type="dxa"/>
          </w:tcPr>
          <w:p w:rsidR="000F5B03" w:rsidRPr="00F50EDE" w:rsidRDefault="000F5B03" w:rsidP="006026D8">
            <w:pPr>
              <w:autoSpaceDE w:val="0"/>
              <w:autoSpaceDN w:val="0"/>
              <w:adjustRightInd w:val="0"/>
              <w:spacing w:line="276" w:lineRule="auto"/>
              <w:rPr>
                <w:sz w:val="24"/>
                <w:szCs w:val="24"/>
              </w:rPr>
            </w:pPr>
            <w:r w:rsidRPr="00F50EDE">
              <w:rPr>
                <w:sz w:val="24"/>
                <w:szCs w:val="24"/>
              </w:rPr>
              <w:lastRenderedPageBreak/>
              <w:t>Goodwill impairment</w:t>
            </w:r>
          </w:p>
          <w:p w:rsidR="000F5B03" w:rsidRPr="00F50EDE" w:rsidRDefault="000F5B03" w:rsidP="006026D8">
            <w:pPr>
              <w:autoSpaceDE w:val="0"/>
              <w:autoSpaceDN w:val="0"/>
              <w:adjustRightInd w:val="0"/>
              <w:spacing w:line="276" w:lineRule="auto"/>
              <w:rPr>
                <w:sz w:val="24"/>
                <w:szCs w:val="24"/>
              </w:rPr>
            </w:pPr>
          </w:p>
        </w:tc>
        <w:tc>
          <w:tcPr>
            <w:tcW w:w="2880" w:type="dxa"/>
          </w:tcPr>
          <w:p w:rsidR="008F7101" w:rsidRPr="00F50EDE" w:rsidRDefault="008F7101" w:rsidP="006026D8">
            <w:pPr>
              <w:autoSpaceDE w:val="0"/>
              <w:autoSpaceDN w:val="0"/>
              <w:adjustRightInd w:val="0"/>
              <w:spacing w:line="276" w:lineRule="auto"/>
              <w:rPr>
                <w:rFonts w:eastAsiaTheme="minorHAnsi"/>
                <w:sz w:val="24"/>
                <w:szCs w:val="24"/>
              </w:rPr>
            </w:pPr>
            <w:r w:rsidRPr="00F50EDE">
              <w:rPr>
                <w:rFonts w:eastAsiaTheme="minorHAnsi"/>
                <w:sz w:val="24"/>
                <w:szCs w:val="24"/>
              </w:rPr>
              <w:t>Goodwill is tested for impairment on an annual basis or more frequently if there are indicators that</w:t>
            </w:r>
          </w:p>
          <w:p w:rsidR="008F7101" w:rsidRPr="00F50EDE" w:rsidRDefault="008F7101" w:rsidP="006026D8">
            <w:pPr>
              <w:autoSpaceDE w:val="0"/>
              <w:autoSpaceDN w:val="0"/>
              <w:adjustRightInd w:val="0"/>
              <w:spacing w:line="276" w:lineRule="auto"/>
              <w:rPr>
                <w:rFonts w:eastAsiaTheme="minorHAnsi"/>
                <w:sz w:val="24"/>
                <w:szCs w:val="24"/>
              </w:rPr>
            </w:pPr>
            <w:proofErr w:type="gramStart"/>
            <w:r w:rsidRPr="00F50EDE">
              <w:rPr>
                <w:rFonts w:eastAsiaTheme="minorHAnsi"/>
                <w:sz w:val="24"/>
                <w:szCs w:val="24"/>
              </w:rPr>
              <w:t>goodwill</w:t>
            </w:r>
            <w:proofErr w:type="gramEnd"/>
            <w:r w:rsidRPr="00F50EDE">
              <w:rPr>
                <w:rFonts w:eastAsiaTheme="minorHAnsi"/>
                <w:sz w:val="24"/>
                <w:szCs w:val="24"/>
              </w:rPr>
              <w:t xml:space="preserve"> may be impaired.</w:t>
            </w:r>
          </w:p>
          <w:p w:rsidR="000F5B03" w:rsidRPr="00F50EDE" w:rsidRDefault="000F5B03" w:rsidP="006026D8">
            <w:pPr>
              <w:autoSpaceDE w:val="0"/>
              <w:autoSpaceDN w:val="0"/>
              <w:adjustRightInd w:val="0"/>
              <w:spacing w:line="276" w:lineRule="auto"/>
              <w:rPr>
                <w:rFonts w:eastAsiaTheme="minorHAnsi"/>
                <w:sz w:val="24"/>
                <w:szCs w:val="24"/>
              </w:rPr>
            </w:pPr>
            <w:r w:rsidRPr="00F50EDE">
              <w:rPr>
                <w:rFonts w:eastAsiaTheme="minorHAnsi"/>
                <w:sz w:val="24"/>
                <w:szCs w:val="24"/>
              </w:rPr>
              <w:t>For the purpose of goodwill and intangible assets impairment</w:t>
            </w:r>
            <w:r w:rsidR="003D30AA" w:rsidRPr="00F50EDE">
              <w:rPr>
                <w:rFonts w:eastAsiaTheme="minorHAnsi"/>
                <w:sz w:val="24"/>
                <w:szCs w:val="24"/>
              </w:rPr>
              <w:t xml:space="preserve"> </w:t>
            </w:r>
            <w:r w:rsidRPr="00F50EDE">
              <w:rPr>
                <w:rFonts w:eastAsiaTheme="minorHAnsi"/>
                <w:sz w:val="24"/>
                <w:szCs w:val="24"/>
              </w:rPr>
              <w:t>testing, CGUs are grouped at the lowest level at which goodwill and intangible as</w:t>
            </w:r>
            <w:r w:rsidR="005D1B34" w:rsidRPr="00F50EDE">
              <w:rPr>
                <w:rFonts w:eastAsiaTheme="minorHAnsi"/>
                <w:sz w:val="24"/>
                <w:szCs w:val="24"/>
              </w:rPr>
              <w:t xml:space="preserve">sets are monitored for internal </w:t>
            </w:r>
            <w:r w:rsidRPr="00F50EDE">
              <w:rPr>
                <w:rFonts w:eastAsiaTheme="minorHAnsi"/>
                <w:sz w:val="24"/>
                <w:szCs w:val="24"/>
              </w:rPr>
              <w:t>management purposes</w:t>
            </w:r>
            <w:r w:rsidR="003D30AA" w:rsidRPr="00F50EDE">
              <w:rPr>
                <w:rFonts w:eastAsiaTheme="minorHAnsi"/>
                <w:sz w:val="24"/>
                <w:szCs w:val="24"/>
              </w:rPr>
              <w:t xml:space="preserve">. </w:t>
            </w:r>
            <w:r w:rsidR="008F7101" w:rsidRPr="00F50EDE">
              <w:rPr>
                <w:rFonts w:eastAsiaTheme="minorHAnsi"/>
                <w:sz w:val="24"/>
                <w:szCs w:val="24"/>
              </w:rPr>
              <w:t>J</w:t>
            </w:r>
            <w:r w:rsidRPr="00F50EDE">
              <w:rPr>
                <w:rFonts w:eastAsiaTheme="minorHAnsi"/>
                <w:sz w:val="24"/>
                <w:szCs w:val="24"/>
              </w:rPr>
              <w:t>udgment is</w:t>
            </w:r>
            <w:r w:rsidR="008F7101" w:rsidRPr="00F50EDE">
              <w:rPr>
                <w:rFonts w:eastAsiaTheme="minorHAnsi"/>
                <w:sz w:val="24"/>
                <w:szCs w:val="24"/>
              </w:rPr>
              <w:t xml:space="preserve"> also</w:t>
            </w:r>
            <w:r w:rsidRPr="00F50EDE">
              <w:rPr>
                <w:rFonts w:eastAsiaTheme="minorHAnsi"/>
                <w:sz w:val="24"/>
                <w:szCs w:val="24"/>
              </w:rPr>
              <w:t xml:space="preserve"> used to determine whether </w:t>
            </w:r>
            <w:r w:rsidR="005D1B34" w:rsidRPr="00F50EDE">
              <w:rPr>
                <w:rFonts w:eastAsiaTheme="minorHAnsi"/>
                <w:sz w:val="24"/>
                <w:szCs w:val="24"/>
              </w:rPr>
              <w:t xml:space="preserve">a triggering event has occurred </w:t>
            </w:r>
            <w:r w:rsidRPr="00F50EDE">
              <w:rPr>
                <w:rFonts w:eastAsiaTheme="minorHAnsi"/>
                <w:sz w:val="24"/>
                <w:szCs w:val="24"/>
              </w:rPr>
              <w:t>requiring an impairment test to be completed.</w:t>
            </w:r>
            <w:r w:rsidR="008F7101" w:rsidRPr="00F50EDE">
              <w:rPr>
                <w:rFonts w:eastAsiaTheme="minorHAnsi"/>
                <w:sz w:val="24"/>
                <w:szCs w:val="24"/>
              </w:rPr>
              <w:t xml:space="preserve"> Impairment is measured by comparing the recoverable amount to the carrying value and any losses are recognized in </w:t>
            </w:r>
            <w:r w:rsidR="00800BEC" w:rsidRPr="00F50EDE">
              <w:rPr>
                <w:rFonts w:eastAsiaTheme="minorHAnsi"/>
                <w:sz w:val="24"/>
                <w:szCs w:val="24"/>
              </w:rPr>
              <w:t>the consolidated SCI.</w:t>
            </w:r>
            <w:r w:rsidR="008F7101" w:rsidRPr="00F50EDE">
              <w:rPr>
                <w:rFonts w:eastAsiaTheme="minorHAnsi"/>
                <w:sz w:val="24"/>
                <w:szCs w:val="24"/>
              </w:rPr>
              <w:t xml:space="preserve"> </w:t>
            </w:r>
          </w:p>
          <w:p w:rsidR="008F7101" w:rsidRPr="00F50EDE" w:rsidRDefault="008F7101" w:rsidP="006026D8">
            <w:pPr>
              <w:autoSpaceDE w:val="0"/>
              <w:autoSpaceDN w:val="0"/>
              <w:adjustRightInd w:val="0"/>
              <w:spacing w:line="276" w:lineRule="auto"/>
              <w:rPr>
                <w:rFonts w:eastAsiaTheme="minorHAnsi"/>
                <w:sz w:val="24"/>
                <w:szCs w:val="24"/>
              </w:rPr>
            </w:pPr>
          </w:p>
        </w:tc>
        <w:tc>
          <w:tcPr>
            <w:tcW w:w="2520" w:type="dxa"/>
          </w:tcPr>
          <w:p w:rsidR="000F5B03" w:rsidRPr="00F50EDE" w:rsidRDefault="00800BEC" w:rsidP="006026D8">
            <w:pPr>
              <w:autoSpaceDE w:val="0"/>
              <w:autoSpaceDN w:val="0"/>
              <w:adjustRightInd w:val="0"/>
              <w:spacing w:line="276" w:lineRule="auto"/>
              <w:rPr>
                <w:sz w:val="24"/>
                <w:szCs w:val="24"/>
              </w:rPr>
            </w:pPr>
            <w:r w:rsidRPr="00F50EDE">
              <w:rPr>
                <w:sz w:val="24"/>
                <w:szCs w:val="24"/>
              </w:rPr>
              <w:lastRenderedPageBreak/>
              <w:t xml:space="preserve">Since goodwill is not amortized, it must be subjected to an annual impairment test. </w:t>
            </w:r>
            <w:r w:rsidR="004D223F" w:rsidRPr="00F50EDE">
              <w:rPr>
                <w:sz w:val="24"/>
                <w:szCs w:val="24"/>
              </w:rPr>
              <w:t xml:space="preserve">In order to apply the impairment test, goodwill must be attributed to each CGU or group of CGU. Then an impairment test for each for each unit is applied by comparing the recoverable amount of the unit to the CV. Any excess of CV over recoverable amount is treated as an impairment loss in the consolidated SCI. Impairment testing involves a lot of management estimation and </w:t>
            </w:r>
            <w:r w:rsidR="006026D8" w:rsidRPr="00F50EDE">
              <w:rPr>
                <w:sz w:val="24"/>
                <w:szCs w:val="24"/>
              </w:rPr>
              <w:t>judgment</w:t>
            </w:r>
            <w:r w:rsidR="004D223F" w:rsidRPr="00F50EDE">
              <w:rPr>
                <w:sz w:val="24"/>
                <w:szCs w:val="24"/>
              </w:rPr>
              <w:t>.</w:t>
            </w:r>
          </w:p>
        </w:tc>
        <w:tc>
          <w:tcPr>
            <w:tcW w:w="2268" w:type="dxa"/>
          </w:tcPr>
          <w:p w:rsidR="000F5B03" w:rsidRPr="00F50EDE" w:rsidRDefault="004D223F" w:rsidP="006026D8">
            <w:pPr>
              <w:autoSpaceDE w:val="0"/>
              <w:autoSpaceDN w:val="0"/>
              <w:adjustRightInd w:val="0"/>
              <w:spacing w:line="276" w:lineRule="auto"/>
              <w:rPr>
                <w:sz w:val="24"/>
                <w:szCs w:val="24"/>
              </w:rPr>
            </w:pPr>
            <w:r w:rsidRPr="00F50EDE">
              <w:rPr>
                <w:sz w:val="24"/>
                <w:szCs w:val="24"/>
              </w:rPr>
              <w:t>NONE</w:t>
            </w:r>
          </w:p>
        </w:tc>
      </w:tr>
      <w:tr w:rsidR="00C825D9" w:rsidRPr="00F50EDE" w:rsidTr="00E40B17">
        <w:tc>
          <w:tcPr>
            <w:tcW w:w="1908" w:type="dxa"/>
          </w:tcPr>
          <w:p w:rsidR="00C825D9" w:rsidRPr="00F50EDE" w:rsidRDefault="00EC5503" w:rsidP="006026D8">
            <w:pPr>
              <w:autoSpaceDE w:val="0"/>
              <w:autoSpaceDN w:val="0"/>
              <w:adjustRightInd w:val="0"/>
              <w:spacing w:line="276" w:lineRule="auto"/>
              <w:rPr>
                <w:sz w:val="24"/>
                <w:szCs w:val="24"/>
              </w:rPr>
            </w:pPr>
            <w:r w:rsidRPr="00F50EDE">
              <w:rPr>
                <w:sz w:val="24"/>
                <w:szCs w:val="24"/>
              </w:rPr>
              <w:lastRenderedPageBreak/>
              <w:t xml:space="preserve">Inventory </w:t>
            </w:r>
          </w:p>
        </w:tc>
        <w:tc>
          <w:tcPr>
            <w:tcW w:w="2880" w:type="dxa"/>
          </w:tcPr>
          <w:p w:rsidR="00C825D9" w:rsidRPr="00F50EDE" w:rsidRDefault="00B2357C" w:rsidP="006026D8">
            <w:pPr>
              <w:autoSpaceDE w:val="0"/>
              <w:autoSpaceDN w:val="0"/>
              <w:adjustRightInd w:val="0"/>
              <w:spacing w:line="276" w:lineRule="auto"/>
              <w:rPr>
                <w:sz w:val="24"/>
                <w:szCs w:val="24"/>
              </w:rPr>
            </w:pPr>
            <w:r w:rsidRPr="00F50EDE">
              <w:rPr>
                <w:sz w:val="24"/>
                <w:szCs w:val="24"/>
              </w:rPr>
              <w:t xml:space="preserve">The acquired assets and liabilities of Shoppers Drug Mart were listed at FMV on the consolidated statements which created a $798 million difference between Shoppers’ inventory cost and fair value. This resulted in a fair value adjustment where the difference was recognized and charged to cost of inventories sold during 2014. </w:t>
            </w:r>
          </w:p>
          <w:p w:rsidR="00B2357C" w:rsidRPr="00F50EDE" w:rsidRDefault="00B2357C" w:rsidP="006026D8">
            <w:pPr>
              <w:autoSpaceDE w:val="0"/>
              <w:autoSpaceDN w:val="0"/>
              <w:adjustRightInd w:val="0"/>
              <w:spacing w:line="276" w:lineRule="auto"/>
              <w:rPr>
                <w:sz w:val="24"/>
                <w:szCs w:val="24"/>
              </w:rPr>
            </w:pPr>
          </w:p>
        </w:tc>
        <w:tc>
          <w:tcPr>
            <w:tcW w:w="2520" w:type="dxa"/>
          </w:tcPr>
          <w:p w:rsidR="00C825D9" w:rsidRPr="00F50EDE" w:rsidRDefault="00B2357C" w:rsidP="006026D8">
            <w:pPr>
              <w:autoSpaceDE w:val="0"/>
              <w:autoSpaceDN w:val="0"/>
              <w:adjustRightInd w:val="0"/>
              <w:spacing w:line="276" w:lineRule="auto"/>
              <w:rPr>
                <w:sz w:val="24"/>
                <w:szCs w:val="24"/>
              </w:rPr>
            </w:pPr>
            <w:r w:rsidRPr="00F50EDE">
              <w:rPr>
                <w:sz w:val="24"/>
                <w:szCs w:val="24"/>
              </w:rPr>
              <w:t xml:space="preserve">In the period after the acquisition, the fair value adjustment for inventory will flow through </w:t>
            </w:r>
            <w:r w:rsidR="00C7707D" w:rsidRPr="00F50EDE">
              <w:rPr>
                <w:sz w:val="24"/>
                <w:szCs w:val="24"/>
              </w:rPr>
              <w:t xml:space="preserve">and be added (or subtracted) to cost of sales in the consolidated statements. </w:t>
            </w:r>
          </w:p>
        </w:tc>
        <w:tc>
          <w:tcPr>
            <w:tcW w:w="2268" w:type="dxa"/>
          </w:tcPr>
          <w:p w:rsidR="00C825D9" w:rsidRPr="00F50EDE" w:rsidRDefault="004D223F" w:rsidP="006026D8">
            <w:pPr>
              <w:autoSpaceDE w:val="0"/>
              <w:autoSpaceDN w:val="0"/>
              <w:adjustRightInd w:val="0"/>
              <w:spacing w:line="276" w:lineRule="auto"/>
              <w:rPr>
                <w:sz w:val="24"/>
                <w:szCs w:val="24"/>
              </w:rPr>
            </w:pPr>
            <w:r w:rsidRPr="00F50EDE">
              <w:rPr>
                <w:sz w:val="24"/>
                <w:szCs w:val="24"/>
              </w:rPr>
              <w:t>NONE</w:t>
            </w:r>
          </w:p>
        </w:tc>
      </w:tr>
      <w:tr w:rsidR="00EC5503" w:rsidRPr="00F50EDE" w:rsidTr="00E40B17">
        <w:tc>
          <w:tcPr>
            <w:tcW w:w="1908" w:type="dxa"/>
          </w:tcPr>
          <w:p w:rsidR="00EC5503" w:rsidRPr="00F50EDE" w:rsidRDefault="00405797" w:rsidP="006026D8">
            <w:pPr>
              <w:autoSpaceDE w:val="0"/>
              <w:autoSpaceDN w:val="0"/>
              <w:adjustRightInd w:val="0"/>
              <w:spacing w:line="276" w:lineRule="auto"/>
              <w:rPr>
                <w:sz w:val="24"/>
                <w:szCs w:val="24"/>
              </w:rPr>
            </w:pPr>
            <w:r w:rsidRPr="00F50EDE">
              <w:rPr>
                <w:sz w:val="24"/>
                <w:szCs w:val="24"/>
              </w:rPr>
              <w:t>Terms and conditions of Purchase</w:t>
            </w:r>
            <w:r w:rsidR="000A39A9" w:rsidRPr="00F50EDE">
              <w:rPr>
                <w:sz w:val="24"/>
                <w:szCs w:val="24"/>
              </w:rPr>
              <w:t xml:space="preserve"> </w:t>
            </w:r>
          </w:p>
        </w:tc>
        <w:tc>
          <w:tcPr>
            <w:tcW w:w="2880" w:type="dxa"/>
          </w:tcPr>
          <w:p w:rsidR="00707D02" w:rsidRPr="00F50EDE" w:rsidRDefault="00405797" w:rsidP="006026D8">
            <w:pPr>
              <w:autoSpaceDE w:val="0"/>
              <w:autoSpaceDN w:val="0"/>
              <w:adjustRightInd w:val="0"/>
              <w:spacing w:line="276" w:lineRule="auto"/>
              <w:rPr>
                <w:rFonts w:eastAsiaTheme="minorHAnsi"/>
                <w:sz w:val="24"/>
                <w:szCs w:val="24"/>
              </w:rPr>
            </w:pPr>
            <w:r w:rsidRPr="00F50EDE">
              <w:rPr>
                <w:sz w:val="24"/>
                <w:szCs w:val="24"/>
              </w:rPr>
              <w:t>In accordance with and Consent agreement reached with the competition Bureau, Loblaw was required to</w:t>
            </w:r>
            <w:r w:rsidRPr="00F50EDE">
              <w:rPr>
                <w:rFonts w:eastAsiaTheme="minorHAnsi"/>
                <w:sz w:val="24"/>
                <w:szCs w:val="24"/>
              </w:rPr>
              <w:t xml:space="preserve"> divest 16 Shoppers Drug Mart stores, two franchise grocery stores, and nine in-store pharmacy operations. </w:t>
            </w:r>
          </w:p>
          <w:p w:rsidR="00707D02" w:rsidRPr="00F50EDE" w:rsidRDefault="00707D02" w:rsidP="006026D8">
            <w:pPr>
              <w:autoSpaceDE w:val="0"/>
              <w:autoSpaceDN w:val="0"/>
              <w:adjustRightInd w:val="0"/>
              <w:spacing w:line="276" w:lineRule="auto"/>
              <w:rPr>
                <w:rFonts w:eastAsiaTheme="minorHAnsi"/>
                <w:sz w:val="24"/>
                <w:szCs w:val="24"/>
              </w:rPr>
            </w:pPr>
            <w:r w:rsidRPr="00F50EDE">
              <w:rPr>
                <w:rFonts w:eastAsiaTheme="minorHAnsi"/>
                <w:sz w:val="24"/>
                <w:szCs w:val="24"/>
              </w:rPr>
              <w:t xml:space="preserve">At the end of 2014, everything but 3 stores were sold (which were moved to assets held for sale) </w:t>
            </w:r>
            <w:r w:rsidR="006026D8" w:rsidRPr="00F50EDE">
              <w:rPr>
                <w:rFonts w:eastAsiaTheme="minorHAnsi"/>
                <w:sz w:val="24"/>
                <w:szCs w:val="24"/>
              </w:rPr>
              <w:t>Subsequent</w:t>
            </w:r>
            <w:r w:rsidRPr="00F50EDE">
              <w:rPr>
                <w:rFonts w:eastAsiaTheme="minorHAnsi"/>
                <w:sz w:val="24"/>
                <w:szCs w:val="24"/>
              </w:rPr>
              <w:t xml:space="preserve"> to</w:t>
            </w:r>
            <w:r w:rsidR="008F7101" w:rsidRPr="00F50EDE">
              <w:rPr>
                <w:rFonts w:eastAsiaTheme="minorHAnsi"/>
                <w:sz w:val="24"/>
                <w:szCs w:val="24"/>
              </w:rPr>
              <w:t xml:space="preserve"> year end</w:t>
            </w:r>
            <w:r w:rsidRPr="00F50EDE">
              <w:rPr>
                <w:rFonts w:eastAsiaTheme="minorHAnsi"/>
                <w:sz w:val="24"/>
                <w:szCs w:val="24"/>
              </w:rPr>
              <w:t xml:space="preserve"> </w:t>
            </w:r>
            <w:r w:rsidR="008F7101" w:rsidRPr="00F50EDE">
              <w:rPr>
                <w:rFonts w:eastAsiaTheme="minorHAnsi"/>
                <w:sz w:val="24"/>
                <w:szCs w:val="24"/>
              </w:rPr>
              <w:t>2014, the remaining 3 were sold.</w:t>
            </w:r>
          </w:p>
          <w:p w:rsidR="00EC5503" w:rsidRPr="00F50EDE" w:rsidRDefault="00405797" w:rsidP="006026D8">
            <w:pPr>
              <w:autoSpaceDE w:val="0"/>
              <w:autoSpaceDN w:val="0"/>
              <w:adjustRightInd w:val="0"/>
              <w:spacing w:line="276" w:lineRule="auto"/>
              <w:rPr>
                <w:rFonts w:eastAsiaTheme="minorHAnsi"/>
                <w:sz w:val="24"/>
                <w:szCs w:val="24"/>
              </w:rPr>
            </w:pPr>
            <w:r w:rsidRPr="00F50EDE">
              <w:rPr>
                <w:rFonts w:eastAsiaTheme="minorHAnsi"/>
                <w:sz w:val="24"/>
                <w:szCs w:val="24"/>
              </w:rPr>
              <w:t>The proceed</w:t>
            </w:r>
            <w:r w:rsidR="00A5396F" w:rsidRPr="00F50EDE">
              <w:rPr>
                <w:rFonts w:eastAsiaTheme="minorHAnsi"/>
                <w:sz w:val="24"/>
                <w:szCs w:val="24"/>
              </w:rPr>
              <w:t>s and losses were recorded</w:t>
            </w:r>
            <w:r w:rsidR="008F7101" w:rsidRPr="00F50EDE">
              <w:rPr>
                <w:rFonts w:eastAsiaTheme="minorHAnsi"/>
                <w:sz w:val="24"/>
                <w:szCs w:val="24"/>
              </w:rPr>
              <w:t xml:space="preserve"> in the consolidated income statement</w:t>
            </w:r>
            <w:r w:rsidR="00A5396F" w:rsidRPr="00F50EDE">
              <w:rPr>
                <w:rFonts w:eastAsiaTheme="minorHAnsi"/>
                <w:sz w:val="24"/>
                <w:szCs w:val="24"/>
              </w:rPr>
              <w:t xml:space="preserve"> and were disclosed</w:t>
            </w:r>
            <w:r w:rsidRPr="00F50EDE">
              <w:rPr>
                <w:rFonts w:eastAsiaTheme="minorHAnsi"/>
                <w:sz w:val="24"/>
                <w:szCs w:val="24"/>
              </w:rPr>
              <w:t xml:space="preserve"> </w:t>
            </w:r>
          </w:p>
        </w:tc>
        <w:tc>
          <w:tcPr>
            <w:tcW w:w="2520" w:type="dxa"/>
          </w:tcPr>
          <w:p w:rsidR="00EC5503" w:rsidRPr="00F50EDE" w:rsidRDefault="00405797" w:rsidP="006026D8">
            <w:pPr>
              <w:autoSpaceDE w:val="0"/>
              <w:autoSpaceDN w:val="0"/>
              <w:adjustRightInd w:val="0"/>
              <w:spacing w:line="276" w:lineRule="auto"/>
              <w:rPr>
                <w:sz w:val="24"/>
                <w:szCs w:val="24"/>
              </w:rPr>
            </w:pPr>
            <w:r w:rsidRPr="00F50EDE">
              <w:rPr>
                <w:sz w:val="24"/>
                <w:szCs w:val="24"/>
              </w:rPr>
              <w:t xml:space="preserve">IFRS requires that </w:t>
            </w:r>
            <w:r w:rsidR="00A5396F" w:rsidRPr="00F50EDE">
              <w:rPr>
                <w:sz w:val="24"/>
                <w:szCs w:val="24"/>
              </w:rPr>
              <w:t xml:space="preserve">major requirements to be disclosed in financial statements that related to business combination. </w:t>
            </w:r>
          </w:p>
        </w:tc>
        <w:tc>
          <w:tcPr>
            <w:tcW w:w="2268" w:type="dxa"/>
          </w:tcPr>
          <w:p w:rsidR="00EC5503" w:rsidRPr="00F50EDE" w:rsidRDefault="004D223F" w:rsidP="006026D8">
            <w:pPr>
              <w:autoSpaceDE w:val="0"/>
              <w:autoSpaceDN w:val="0"/>
              <w:adjustRightInd w:val="0"/>
              <w:spacing w:line="276" w:lineRule="auto"/>
              <w:rPr>
                <w:sz w:val="24"/>
                <w:szCs w:val="24"/>
              </w:rPr>
            </w:pPr>
            <w:r w:rsidRPr="00F50EDE">
              <w:rPr>
                <w:sz w:val="24"/>
                <w:szCs w:val="24"/>
              </w:rPr>
              <w:t>NONE</w:t>
            </w:r>
          </w:p>
        </w:tc>
      </w:tr>
      <w:tr w:rsidR="00894BDD" w:rsidRPr="00F50EDE" w:rsidTr="00E40B17">
        <w:tc>
          <w:tcPr>
            <w:tcW w:w="1908" w:type="dxa"/>
          </w:tcPr>
          <w:p w:rsidR="00894BDD" w:rsidRPr="00F50EDE" w:rsidRDefault="00C7707D" w:rsidP="006026D8">
            <w:pPr>
              <w:autoSpaceDE w:val="0"/>
              <w:autoSpaceDN w:val="0"/>
              <w:adjustRightInd w:val="0"/>
              <w:spacing w:line="276" w:lineRule="auto"/>
              <w:rPr>
                <w:sz w:val="24"/>
                <w:szCs w:val="24"/>
              </w:rPr>
            </w:pPr>
            <w:r w:rsidRPr="00F50EDE">
              <w:rPr>
                <w:sz w:val="24"/>
                <w:szCs w:val="24"/>
              </w:rPr>
              <w:t>N</w:t>
            </w:r>
            <w:r w:rsidR="006026D8" w:rsidRPr="00F50EDE">
              <w:rPr>
                <w:sz w:val="24"/>
                <w:szCs w:val="24"/>
              </w:rPr>
              <w:t>on-Controlling Interest</w:t>
            </w:r>
          </w:p>
        </w:tc>
        <w:tc>
          <w:tcPr>
            <w:tcW w:w="2880" w:type="dxa"/>
          </w:tcPr>
          <w:p w:rsidR="00C4108A" w:rsidRPr="00F50EDE" w:rsidRDefault="00A60223" w:rsidP="006026D8">
            <w:pPr>
              <w:autoSpaceDE w:val="0"/>
              <w:autoSpaceDN w:val="0"/>
              <w:adjustRightInd w:val="0"/>
              <w:spacing w:line="276" w:lineRule="auto"/>
              <w:rPr>
                <w:rFonts w:eastAsiaTheme="minorHAnsi"/>
                <w:sz w:val="24"/>
                <w:szCs w:val="24"/>
              </w:rPr>
            </w:pPr>
            <w:r w:rsidRPr="00F50EDE">
              <w:rPr>
                <w:rFonts w:eastAsiaTheme="minorHAnsi"/>
                <w:sz w:val="24"/>
                <w:szCs w:val="24"/>
              </w:rPr>
              <w:t xml:space="preserve">As stated in the annual report, NCIs are recorded in the consolidated </w:t>
            </w:r>
            <w:r w:rsidRPr="00F50EDE">
              <w:rPr>
                <w:rFonts w:eastAsiaTheme="minorHAnsi"/>
                <w:sz w:val="24"/>
                <w:szCs w:val="24"/>
              </w:rPr>
              <w:lastRenderedPageBreak/>
              <w:t xml:space="preserve">financial statements and represent the non -controlling SH’s portion of net assets and net earnings of Loblaw. </w:t>
            </w:r>
          </w:p>
          <w:p w:rsidR="00894BDD" w:rsidRPr="00F50EDE" w:rsidRDefault="00A60223" w:rsidP="006026D8">
            <w:pPr>
              <w:autoSpaceDE w:val="0"/>
              <w:autoSpaceDN w:val="0"/>
              <w:adjustRightInd w:val="0"/>
              <w:spacing w:line="276" w:lineRule="auto"/>
              <w:rPr>
                <w:rFonts w:eastAsiaTheme="minorHAnsi"/>
                <w:sz w:val="24"/>
                <w:szCs w:val="24"/>
              </w:rPr>
            </w:pPr>
            <w:r w:rsidRPr="00F50EDE">
              <w:rPr>
                <w:rFonts w:eastAsiaTheme="minorHAnsi"/>
                <w:sz w:val="24"/>
                <w:szCs w:val="24"/>
              </w:rPr>
              <w:t xml:space="preserve">Transactions with NCI are treated as being transactions with the equity owners of the company. </w:t>
            </w:r>
            <w:r w:rsidR="00C4108A" w:rsidRPr="00F50EDE">
              <w:rPr>
                <w:rFonts w:eastAsiaTheme="minorHAnsi"/>
                <w:sz w:val="24"/>
                <w:szCs w:val="24"/>
              </w:rPr>
              <w:t xml:space="preserve">Changes </w:t>
            </w:r>
            <w:r w:rsidRPr="00F50EDE">
              <w:rPr>
                <w:rFonts w:eastAsiaTheme="minorHAnsi"/>
                <w:sz w:val="24"/>
                <w:szCs w:val="24"/>
              </w:rPr>
              <w:t xml:space="preserve">in GWL’s </w:t>
            </w:r>
            <w:r w:rsidR="00C4108A" w:rsidRPr="00F50EDE">
              <w:rPr>
                <w:rFonts w:eastAsiaTheme="minorHAnsi"/>
                <w:sz w:val="24"/>
                <w:szCs w:val="24"/>
              </w:rPr>
              <w:t>ownership interest in its subsidiaries are accounted for as equity transactions.</w:t>
            </w:r>
          </w:p>
        </w:tc>
        <w:tc>
          <w:tcPr>
            <w:tcW w:w="2520" w:type="dxa"/>
          </w:tcPr>
          <w:p w:rsidR="00C92238" w:rsidRPr="00F50EDE" w:rsidRDefault="00C92238" w:rsidP="006026D8">
            <w:pPr>
              <w:autoSpaceDE w:val="0"/>
              <w:autoSpaceDN w:val="0"/>
              <w:adjustRightInd w:val="0"/>
              <w:spacing w:line="276" w:lineRule="auto"/>
              <w:rPr>
                <w:sz w:val="24"/>
                <w:szCs w:val="24"/>
              </w:rPr>
            </w:pPr>
            <w:r w:rsidRPr="00F50EDE">
              <w:rPr>
                <w:sz w:val="24"/>
                <w:szCs w:val="24"/>
              </w:rPr>
              <w:lastRenderedPageBreak/>
              <w:t xml:space="preserve">At the time of acquisition, the NCI can be valued at fair </w:t>
            </w:r>
            <w:r w:rsidRPr="00F50EDE">
              <w:rPr>
                <w:sz w:val="24"/>
                <w:szCs w:val="24"/>
              </w:rPr>
              <w:lastRenderedPageBreak/>
              <w:t>value or at its proportionate share of the acquired net identifiable assets</w:t>
            </w:r>
          </w:p>
          <w:p w:rsidR="00894BDD" w:rsidRPr="00F50EDE" w:rsidRDefault="006259D9" w:rsidP="006026D8">
            <w:pPr>
              <w:autoSpaceDE w:val="0"/>
              <w:autoSpaceDN w:val="0"/>
              <w:adjustRightInd w:val="0"/>
              <w:spacing w:line="276" w:lineRule="auto"/>
              <w:rPr>
                <w:sz w:val="24"/>
                <w:szCs w:val="24"/>
              </w:rPr>
            </w:pPr>
            <w:r w:rsidRPr="00F50EDE">
              <w:rPr>
                <w:sz w:val="24"/>
                <w:szCs w:val="24"/>
              </w:rPr>
              <w:t xml:space="preserve">Following IFRS 10, NCI is shown on SFP within equity, but separate from the parent’s SH equity. </w:t>
            </w:r>
          </w:p>
          <w:p w:rsidR="00C92238" w:rsidRPr="00F50EDE" w:rsidRDefault="00C92238" w:rsidP="006026D8">
            <w:pPr>
              <w:autoSpaceDE w:val="0"/>
              <w:autoSpaceDN w:val="0"/>
              <w:adjustRightInd w:val="0"/>
              <w:spacing w:line="276" w:lineRule="auto"/>
              <w:rPr>
                <w:sz w:val="24"/>
                <w:szCs w:val="24"/>
              </w:rPr>
            </w:pPr>
          </w:p>
          <w:p w:rsidR="006259D9" w:rsidRPr="00F50EDE" w:rsidRDefault="006259D9" w:rsidP="006026D8">
            <w:pPr>
              <w:autoSpaceDE w:val="0"/>
              <w:autoSpaceDN w:val="0"/>
              <w:adjustRightInd w:val="0"/>
              <w:spacing w:line="276" w:lineRule="auto"/>
              <w:rPr>
                <w:sz w:val="24"/>
                <w:szCs w:val="24"/>
              </w:rPr>
            </w:pPr>
          </w:p>
          <w:p w:rsidR="006259D9" w:rsidRPr="00F50EDE" w:rsidRDefault="006259D9" w:rsidP="006026D8">
            <w:pPr>
              <w:autoSpaceDE w:val="0"/>
              <w:autoSpaceDN w:val="0"/>
              <w:adjustRightInd w:val="0"/>
              <w:spacing w:line="276" w:lineRule="auto"/>
              <w:rPr>
                <w:sz w:val="24"/>
                <w:szCs w:val="24"/>
              </w:rPr>
            </w:pPr>
          </w:p>
        </w:tc>
        <w:tc>
          <w:tcPr>
            <w:tcW w:w="2268" w:type="dxa"/>
          </w:tcPr>
          <w:p w:rsidR="00894BDD" w:rsidRPr="00F50EDE" w:rsidRDefault="00894BDD" w:rsidP="006026D8">
            <w:pPr>
              <w:autoSpaceDE w:val="0"/>
              <w:autoSpaceDN w:val="0"/>
              <w:adjustRightInd w:val="0"/>
              <w:spacing w:line="276" w:lineRule="auto"/>
              <w:rPr>
                <w:sz w:val="24"/>
                <w:szCs w:val="24"/>
              </w:rPr>
            </w:pPr>
          </w:p>
        </w:tc>
      </w:tr>
    </w:tbl>
    <w:p w:rsidR="00C14452" w:rsidRPr="00F50EDE" w:rsidRDefault="00C92238" w:rsidP="00C14452">
      <w:pPr>
        <w:autoSpaceDE w:val="0"/>
        <w:autoSpaceDN w:val="0"/>
        <w:adjustRightInd w:val="0"/>
        <w:rPr>
          <w:rFonts w:eastAsiaTheme="minorHAnsi"/>
        </w:rPr>
      </w:pPr>
      <w:r w:rsidRPr="00F50EDE">
        <w:rPr>
          <w:rFonts w:eastAsiaTheme="minorHAnsi"/>
        </w:rPr>
        <w:lastRenderedPageBreak/>
        <w:t xml:space="preserve"> </w:t>
      </w:r>
    </w:p>
    <w:p w:rsidR="00F50EDE" w:rsidRDefault="00F50EDE" w:rsidP="00F50EDE">
      <w:pPr>
        <w:autoSpaceDE w:val="0"/>
        <w:autoSpaceDN w:val="0"/>
        <w:adjustRightInd w:val="0"/>
        <w:spacing w:line="480" w:lineRule="auto"/>
        <w:rPr>
          <w:rFonts w:eastAsiaTheme="minorHAnsi"/>
          <w:b/>
        </w:rPr>
      </w:pPr>
    </w:p>
    <w:p w:rsidR="00F50EDE" w:rsidRDefault="00F50EDE" w:rsidP="00F50EDE">
      <w:pPr>
        <w:autoSpaceDE w:val="0"/>
        <w:autoSpaceDN w:val="0"/>
        <w:adjustRightInd w:val="0"/>
        <w:spacing w:line="480" w:lineRule="auto"/>
        <w:rPr>
          <w:rFonts w:eastAsiaTheme="minorHAnsi"/>
          <w:b/>
        </w:rPr>
      </w:pPr>
    </w:p>
    <w:p w:rsidR="00F50EDE" w:rsidRDefault="00F50EDE" w:rsidP="00F50EDE">
      <w:pPr>
        <w:autoSpaceDE w:val="0"/>
        <w:autoSpaceDN w:val="0"/>
        <w:adjustRightInd w:val="0"/>
        <w:spacing w:line="480" w:lineRule="auto"/>
        <w:rPr>
          <w:rFonts w:eastAsiaTheme="minorHAnsi"/>
          <w:b/>
        </w:rPr>
      </w:pPr>
    </w:p>
    <w:p w:rsidR="00F50EDE" w:rsidRDefault="00F50EDE" w:rsidP="00F50EDE">
      <w:pPr>
        <w:autoSpaceDE w:val="0"/>
        <w:autoSpaceDN w:val="0"/>
        <w:adjustRightInd w:val="0"/>
        <w:spacing w:line="480" w:lineRule="auto"/>
        <w:rPr>
          <w:rFonts w:eastAsiaTheme="minorHAnsi"/>
          <w:b/>
        </w:rPr>
      </w:pPr>
    </w:p>
    <w:p w:rsidR="00F50EDE" w:rsidRDefault="00F50EDE" w:rsidP="00F50EDE">
      <w:pPr>
        <w:autoSpaceDE w:val="0"/>
        <w:autoSpaceDN w:val="0"/>
        <w:adjustRightInd w:val="0"/>
        <w:spacing w:line="480" w:lineRule="auto"/>
        <w:rPr>
          <w:rFonts w:eastAsiaTheme="minorHAnsi"/>
          <w:b/>
        </w:rPr>
      </w:pPr>
    </w:p>
    <w:p w:rsidR="00F50EDE" w:rsidRDefault="00F50EDE" w:rsidP="00F50EDE">
      <w:pPr>
        <w:autoSpaceDE w:val="0"/>
        <w:autoSpaceDN w:val="0"/>
        <w:adjustRightInd w:val="0"/>
        <w:spacing w:line="480" w:lineRule="auto"/>
        <w:rPr>
          <w:rFonts w:eastAsiaTheme="minorHAnsi"/>
          <w:b/>
        </w:rPr>
      </w:pPr>
    </w:p>
    <w:p w:rsidR="00F50EDE" w:rsidRDefault="00F50EDE" w:rsidP="00F50EDE">
      <w:pPr>
        <w:autoSpaceDE w:val="0"/>
        <w:autoSpaceDN w:val="0"/>
        <w:adjustRightInd w:val="0"/>
        <w:spacing w:line="480" w:lineRule="auto"/>
        <w:rPr>
          <w:rFonts w:eastAsiaTheme="minorHAnsi"/>
          <w:b/>
        </w:rPr>
      </w:pPr>
    </w:p>
    <w:p w:rsidR="00F50EDE" w:rsidRDefault="00F50EDE" w:rsidP="00F50EDE">
      <w:pPr>
        <w:autoSpaceDE w:val="0"/>
        <w:autoSpaceDN w:val="0"/>
        <w:adjustRightInd w:val="0"/>
        <w:spacing w:line="480" w:lineRule="auto"/>
        <w:rPr>
          <w:rFonts w:eastAsiaTheme="minorHAnsi"/>
          <w:b/>
        </w:rPr>
      </w:pPr>
    </w:p>
    <w:p w:rsidR="00C92238" w:rsidRPr="00F50EDE" w:rsidRDefault="00C92238" w:rsidP="00F50EDE">
      <w:pPr>
        <w:autoSpaceDE w:val="0"/>
        <w:autoSpaceDN w:val="0"/>
        <w:adjustRightInd w:val="0"/>
        <w:spacing w:line="480" w:lineRule="auto"/>
        <w:rPr>
          <w:rFonts w:eastAsiaTheme="minorHAnsi"/>
          <w:b/>
        </w:rPr>
      </w:pPr>
      <w:r w:rsidRPr="00F50EDE">
        <w:rPr>
          <w:rFonts w:eastAsiaTheme="minorHAnsi"/>
          <w:b/>
        </w:rPr>
        <w:t xml:space="preserve">Conclusion </w:t>
      </w:r>
    </w:p>
    <w:p w:rsidR="00476B64" w:rsidRPr="00F50EDE" w:rsidRDefault="00476B64" w:rsidP="00F50EDE">
      <w:pPr>
        <w:autoSpaceDE w:val="0"/>
        <w:autoSpaceDN w:val="0"/>
        <w:adjustRightInd w:val="0"/>
        <w:spacing w:line="480" w:lineRule="auto"/>
        <w:ind w:firstLine="360"/>
        <w:rPr>
          <w:rFonts w:eastAsiaTheme="minorHAnsi"/>
        </w:rPr>
      </w:pPr>
      <w:r w:rsidRPr="00F50EDE">
        <w:rPr>
          <w:rFonts w:eastAsiaTheme="minorHAnsi"/>
        </w:rPr>
        <w:t xml:space="preserve">What was learned in class and the textbook does indeed apply in real life, and not only for accountants. Users of consolidated financial statements should have an understanding of </w:t>
      </w:r>
      <w:r w:rsidR="00EC7A1B" w:rsidRPr="00F50EDE">
        <w:rPr>
          <w:rFonts w:eastAsiaTheme="minorHAnsi"/>
        </w:rPr>
        <w:t xml:space="preserve">how consolidation works and the impact it has on financial statements in order to make the best decision they can on the </w:t>
      </w:r>
      <w:r w:rsidR="00F50EDE" w:rsidRPr="00F50EDE">
        <w:rPr>
          <w:rFonts w:eastAsiaTheme="minorHAnsi"/>
        </w:rPr>
        <w:t>basis of the financial statements. For example, when looking at the consolidated statements, it is important to know that</w:t>
      </w:r>
      <w:r w:rsidR="00EC7A1B" w:rsidRPr="00F50EDE">
        <w:rPr>
          <w:rFonts w:eastAsiaTheme="minorHAnsi"/>
        </w:rPr>
        <w:t xml:space="preserve"> companies consolidate 100</w:t>
      </w:r>
      <w:r w:rsidR="00F50EDE" w:rsidRPr="00F50EDE">
        <w:rPr>
          <w:rFonts w:eastAsiaTheme="minorHAnsi"/>
        </w:rPr>
        <w:t>%</w:t>
      </w:r>
      <w:r w:rsidR="00EC7A1B" w:rsidRPr="00F50EDE">
        <w:rPr>
          <w:rFonts w:eastAsiaTheme="minorHAnsi"/>
        </w:rPr>
        <w:t xml:space="preserve">, even if their subsidiaries are not wholly owned, and then decrease the non- controlling interest in the equity </w:t>
      </w:r>
      <w:r w:rsidR="00EC7A1B" w:rsidRPr="00F50EDE">
        <w:rPr>
          <w:rFonts w:eastAsiaTheme="minorHAnsi"/>
        </w:rPr>
        <w:lastRenderedPageBreak/>
        <w:t xml:space="preserve">section of the SFP. </w:t>
      </w:r>
      <w:r w:rsidR="007B3473" w:rsidRPr="00F50EDE">
        <w:rPr>
          <w:rFonts w:eastAsiaTheme="minorHAnsi"/>
        </w:rPr>
        <w:t xml:space="preserve"> Users have to ensure they are looking at the correct numbers and understand what NCI means. </w:t>
      </w:r>
      <w:r w:rsidR="00F50EDE" w:rsidRPr="00F50EDE">
        <w:rPr>
          <w:rFonts w:eastAsiaTheme="minorHAnsi"/>
        </w:rPr>
        <w:t xml:space="preserve">Although </w:t>
      </w:r>
      <w:r w:rsidR="007B3473" w:rsidRPr="00F50EDE">
        <w:rPr>
          <w:rFonts w:eastAsiaTheme="minorHAnsi"/>
        </w:rPr>
        <w:t xml:space="preserve">GWL did not disclose whether Shoppers Drug Mart is a wholly owned </w:t>
      </w:r>
      <w:r w:rsidR="00F50EDE" w:rsidRPr="00F50EDE">
        <w:rPr>
          <w:rFonts w:eastAsiaTheme="minorHAnsi"/>
        </w:rPr>
        <w:t>subsidiary</w:t>
      </w:r>
      <w:r w:rsidR="007B3473" w:rsidRPr="00F50EDE">
        <w:rPr>
          <w:rFonts w:eastAsiaTheme="minorHAnsi"/>
        </w:rPr>
        <w:t xml:space="preserve"> or whether there is non-controlling interest, the large increase in non-controlling interest from 2013 can be lead to the conclusion that it is not wholly owned. Companies </w:t>
      </w:r>
      <w:r w:rsidR="00F50EDE" w:rsidRPr="00F50EDE">
        <w:rPr>
          <w:rFonts w:eastAsiaTheme="minorHAnsi"/>
        </w:rPr>
        <w:t xml:space="preserve">should </w:t>
      </w:r>
      <w:r w:rsidR="007B3473" w:rsidRPr="00F50EDE">
        <w:rPr>
          <w:rFonts w:eastAsiaTheme="minorHAnsi"/>
        </w:rPr>
        <w:t xml:space="preserve">clearly </w:t>
      </w:r>
      <w:r w:rsidR="00F50EDE" w:rsidRPr="00F50EDE">
        <w:rPr>
          <w:rFonts w:eastAsiaTheme="minorHAnsi"/>
        </w:rPr>
        <w:t>state</w:t>
      </w:r>
      <w:r w:rsidR="007B3473" w:rsidRPr="00F50EDE">
        <w:rPr>
          <w:rFonts w:eastAsiaTheme="minorHAnsi"/>
        </w:rPr>
        <w:t xml:space="preserve"> how much of its subsidiaries it owns and how much is owned by others. </w:t>
      </w:r>
    </w:p>
    <w:p w:rsidR="007B3473" w:rsidRPr="00F50EDE" w:rsidRDefault="007B3473" w:rsidP="00F50EDE">
      <w:pPr>
        <w:autoSpaceDE w:val="0"/>
        <w:autoSpaceDN w:val="0"/>
        <w:adjustRightInd w:val="0"/>
        <w:spacing w:line="480" w:lineRule="auto"/>
        <w:rPr>
          <w:rFonts w:eastAsiaTheme="minorHAnsi"/>
        </w:rPr>
      </w:pPr>
      <w:r w:rsidRPr="00F50EDE">
        <w:rPr>
          <w:rFonts w:eastAsiaTheme="minorHAnsi"/>
        </w:rPr>
        <w:tab/>
        <w:t xml:space="preserve">The analysis done of the acquisition also shows how many important figures of the financial statements are derived from the estimation and professional </w:t>
      </w:r>
      <w:r w:rsidR="00F50EDE" w:rsidRPr="00F50EDE">
        <w:rPr>
          <w:rFonts w:eastAsiaTheme="minorHAnsi"/>
        </w:rPr>
        <w:t>judgment</w:t>
      </w:r>
      <w:r w:rsidRPr="00F50EDE">
        <w:rPr>
          <w:rFonts w:eastAsiaTheme="minorHAnsi"/>
        </w:rPr>
        <w:t xml:space="preserve"> of management.  In class problems, we are given the estimates and fair values</w:t>
      </w:r>
      <w:r w:rsidR="00306C4A" w:rsidRPr="00F50EDE">
        <w:rPr>
          <w:rFonts w:eastAsiaTheme="minorHAnsi"/>
        </w:rPr>
        <w:t xml:space="preserve"> and work with them. However, in real life, these numbers have to be figured out and poor </w:t>
      </w:r>
      <w:r w:rsidR="00F50EDE" w:rsidRPr="00F50EDE">
        <w:rPr>
          <w:rFonts w:eastAsiaTheme="minorHAnsi"/>
        </w:rPr>
        <w:t>judgment</w:t>
      </w:r>
      <w:r w:rsidR="00306C4A" w:rsidRPr="00F50EDE">
        <w:rPr>
          <w:rFonts w:eastAsiaTheme="minorHAnsi"/>
        </w:rPr>
        <w:t xml:space="preserve"> or mistakes can have severe financial impact on the company. For example, fair value of the acquired assets and liabilities, purchase price allocation and goodwill are all figures that management </w:t>
      </w:r>
      <w:r w:rsidR="00F50EDE" w:rsidRPr="00F50EDE">
        <w:rPr>
          <w:rFonts w:eastAsiaTheme="minorHAnsi"/>
        </w:rPr>
        <w:t>has</w:t>
      </w:r>
      <w:r w:rsidR="00306C4A" w:rsidRPr="00F50EDE">
        <w:rPr>
          <w:rFonts w:eastAsiaTheme="minorHAnsi"/>
        </w:rPr>
        <w:t xml:space="preserve"> to come up with. The disclosures allow us to learn exactly how management came up with these figures and whether there maybe any changes or reversals in the future. </w:t>
      </w:r>
    </w:p>
    <w:p w:rsidR="00306C4A" w:rsidRPr="00F50EDE" w:rsidRDefault="00306C4A" w:rsidP="00F50EDE">
      <w:pPr>
        <w:autoSpaceDE w:val="0"/>
        <w:autoSpaceDN w:val="0"/>
        <w:adjustRightInd w:val="0"/>
        <w:spacing w:line="480" w:lineRule="auto"/>
        <w:rPr>
          <w:rFonts w:eastAsiaTheme="minorHAnsi"/>
        </w:rPr>
      </w:pPr>
      <w:r w:rsidRPr="00F50EDE">
        <w:rPr>
          <w:rFonts w:eastAsiaTheme="minorHAnsi"/>
        </w:rPr>
        <w:tab/>
        <w:t xml:space="preserve">I found that </w:t>
      </w:r>
      <w:r w:rsidR="00F50EDE" w:rsidRPr="00F50EDE">
        <w:rPr>
          <w:rFonts w:eastAsiaTheme="minorHAnsi"/>
        </w:rPr>
        <w:t>overall;</w:t>
      </w:r>
      <w:r w:rsidRPr="00F50EDE">
        <w:rPr>
          <w:rFonts w:eastAsiaTheme="minorHAnsi"/>
        </w:rPr>
        <w:t xml:space="preserve"> the transactions done by GWL in regards to their acquisition of Shopper Drugs Mart were very similar to the methods</w:t>
      </w:r>
      <w:r w:rsidR="00F50EDE" w:rsidRPr="00F50EDE">
        <w:rPr>
          <w:rFonts w:eastAsiaTheme="minorHAnsi"/>
        </w:rPr>
        <w:t xml:space="preserve"> written in the textbook as having</w:t>
      </w:r>
      <w:r w:rsidRPr="00F50EDE">
        <w:rPr>
          <w:rFonts w:eastAsiaTheme="minorHAnsi"/>
        </w:rPr>
        <w:t xml:space="preserve"> to be done according to IFRS. Seeing what was done by the company as </w:t>
      </w:r>
      <w:r w:rsidR="00F50EDE" w:rsidRPr="00F50EDE">
        <w:rPr>
          <w:rFonts w:eastAsiaTheme="minorHAnsi"/>
        </w:rPr>
        <w:t xml:space="preserve">similar to what was in the textbook along with the explanation by management helped give a greater understanding of the accounting principles shown in a real life situation. </w:t>
      </w:r>
    </w:p>
    <w:p w:rsidR="007B3473" w:rsidRPr="00F50EDE" w:rsidRDefault="007B3473" w:rsidP="00F50EDE">
      <w:pPr>
        <w:autoSpaceDE w:val="0"/>
        <w:autoSpaceDN w:val="0"/>
        <w:adjustRightInd w:val="0"/>
        <w:spacing w:line="480" w:lineRule="auto"/>
        <w:rPr>
          <w:rFonts w:eastAsiaTheme="minorHAnsi"/>
        </w:rPr>
      </w:pPr>
    </w:p>
    <w:p w:rsidR="007B3473" w:rsidRPr="00F50EDE" w:rsidRDefault="007B3473" w:rsidP="00F50EDE">
      <w:pPr>
        <w:autoSpaceDE w:val="0"/>
        <w:autoSpaceDN w:val="0"/>
        <w:adjustRightInd w:val="0"/>
        <w:spacing w:line="480" w:lineRule="auto"/>
        <w:rPr>
          <w:rFonts w:eastAsiaTheme="minorHAnsi"/>
        </w:rPr>
      </w:pPr>
    </w:p>
    <w:p w:rsidR="007B3473" w:rsidRPr="00F50EDE" w:rsidRDefault="007B3473" w:rsidP="00F50EDE">
      <w:pPr>
        <w:autoSpaceDE w:val="0"/>
        <w:autoSpaceDN w:val="0"/>
        <w:adjustRightInd w:val="0"/>
        <w:spacing w:line="480" w:lineRule="auto"/>
        <w:rPr>
          <w:rFonts w:eastAsiaTheme="minorHAnsi"/>
        </w:rPr>
      </w:pPr>
    </w:p>
    <w:p w:rsidR="007B3473" w:rsidRDefault="007B3473" w:rsidP="00F50EDE">
      <w:pPr>
        <w:autoSpaceDE w:val="0"/>
        <w:autoSpaceDN w:val="0"/>
        <w:adjustRightInd w:val="0"/>
        <w:spacing w:line="480" w:lineRule="auto"/>
        <w:rPr>
          <w:rFonts w:ascii="Calibri" w:eastAsiaTheme="minorHAnsi" w:hAnsi="Calibri" w:cs="Calibri"/>
          <w:sz w:val="22"/>
          <w:szCs w:val="22"/>
        </w:rPr>
      </w:pPr>
    </w:p>
    <w:p w:rsidR="007B3473" w:rsidRDefault="007B3473" w:rsidP="00F50EDE">
      <w:pPr>
        <w:autoSpaceDE w:val="0"/>
        <w:autoSpaceDN w:val="0"/>
        <w:adjustRightInd w:val="0"/>
        <w:spacing w:line="480" w:lineRule="auto"/>
        <w:rPr>
          <w:rFonts w:ascii="Calibri" w:eastAsiaTheme="minorHAnsi" w:hAnsi="Calibri" w:cs="Calibri"/>
          <w:sz w:val="22"/>
          <w:szCs w:val="22"/>
        </w:rPr>
      </w:pPr>
    </w:p>
    <w:p w:rsidR="007B3473" w:rsidRDefault="007B3473" w:rsidP="00F50EDE">
      <w:pPr>
        <w:autoSpaceDE w:val="0"/>
        <w:autoSpaceDN w:val="0"/>
        <w:adjustRightInd w:val="0"/>
        <w:spacing w:line="480" w:lineRule="auto"/>
        <w:rPr>
          <w:rFonts w:ascii="Calibri" w:eastAsiaTheme="minorHAnsi" w:hAnsi="Calibri" w:cs="Calibri"/>
          <w:sz w:val="22"/>
          <w:szCs w:val="22"/>
        </w:rPr>
      </w:pPr>
    </w:p>
    <w:p w:rsidR="007B3473" w:rsidRDefault="007B3473" w:rsidP="00F50EDE">
      <w:pPr>
        <w:autoSpaceDE w:val="0"/>
        <w:autoSpaceDN w:val="0"/>
        <w:adjustRightInd w:val="0"/>
        <w:spacing w:line="480" w:lineRule="auto"/>
        <w:rPr>
          <w:rFonts w:ascii="Calibri" w:eastAsiaTheme="minorHAnsi" w:hAnsi="Calibri" w:cs="Calibri"/>
          <w:sz w:val="22"/>
          <w:szCs w:val="22"/>
        </w:rPr>
      </w:pPr>
    </w:p>
    <w:p w:rsidR="007B3473" w:rsidRDefault="007B3473" w:rsidP="00F50EDE">
      <w:pPr>
        <w:autoSpaceDE w:val="0"/>
        <w:autoSpaceDN w:val="0"/>
        <w:adjustRightInd w:val="0"/>
        <w:spacing w:line="480" w:lineRule="auto"/>
        <w:rPr>
          <w:rFonts w:ascii="Calibri" w:eastAsiaTheme="minorHAnsi" w:hAnsi="Calibri" w:cs="Calibri"/>
          <w:sz w:val="22"/>
          <w:szCs w:val="22"/>
        </w:rPr>
      </w:pPr>
    </w:p>
    <w:p w:rsidR="007B3473" w:rsidRDefault="007B3473" w:rsidP="00476B64">
      <w:pPr>
        <w:autoSpaceDE w:val="0"/>
        <w:autoSpaceDN w:val="0"/>
        <w:adjustRightInd w:val="0"/>
        <w:rPr>
          <w:rFonts w:ascii="Calibri" w:eastAsiaTheme="minorHAnsi" w:hAnsi="Calibri" w:cs="Calibri"/>
          <w:sz w:val="22"/>
          <w:szCs w:val="22"/>
        </w:rPr>
      </w:pPr>
    </w:p>
    <w:p w:rsidR="007B3473" w:rsidRDefault="007B3473" w:rsidP="00476B64">
      <w:pPr>
        <w:autoSpaceDE w:val="0"/>
        <w:autoSpaceDN w:val="0"/>
        <w:adjustRightInd w:val="0"/>
        <w:rPr>
          <w:rFonts w:ascii="Calibri" w:eastAsiaTheme="minorHAnsi" w:hAnsi="Calibri" w:cs="Calibri"/>
          <w:sz w:val="22"/>
          <w:szCs w:val="22"/>
        </w:rPr>
      </w:pPr>
    </w:p>
    <w:p w:rsidR="007B3473" w:rsidRDefault="007B3473" w:rsidP="00476B64">
      <w:pPr>
        <w:autoSpaceDE w:val="0"/>
        <w:autoSpaceDN w:val="0"/>
        <w:adjustRightInd w:val="0"/>
        <w:rPr>
          <w:rFonts w:ascii="Calibri" w:eastAsiaTheme="minorHAnsi" w:hAnsi="Calibri" w:cs="Calibri"/>
          <w:sz w:val="22"/>
          <w:szCs w:val="22"/>
        </w:rPr>
      </w:pPr>
    </w:p>
    <w:p w:rsidR="007B3473" w:rsidRDefault="007B3473" w:rsidP="00476B64">
      <w:pPr>
        <w:autoSpaceDE w:val="0"/>
        <w:autoSpaceDN w:val="0"/>
        <w:adjustRightInd w:val="0"/>
        <w:rPr>
          <w:rFonts w:ascii="Calibri" w:eastAsiaTheme="minorHAnsi" w:hAnsi="Calibri" w:cs="Calibri"/>
          <w:sz w:val="22"/>
          <w:szCs w:val="22"/>
        </w:rPr>
      </w:pPr>
    </w:p>
    <w:p w:rsidR="007B3473" w:rsidRDefault="007B3473" w:rsidP="00476B64">
      <w:pPr>
        <w:autoSpaceDE w:val="0"/>
        <w:autoSpaceDN w:val="0"/>
        <w:adjustRightInd w:val="0"/>
        <w:rPr>
          <w:rFonts w:ascii="Calibri" w:eastAsiaTheme="minorHAnsi" w:hAnsi="Calibri" w:cs="Calibri"/>
          <w:sz w:val="22"/>
          <w:szCs w:val="22"/>
        </w:rPr>
      </w:pPr>
    </w:p>
    <w:p w:rsidR="007B3473" w:rsidRDefault="007B3473" w:rsidP="00476B64">
      <w:pPr>
        <w:autoSpaceDE w:val="0"/>
        <w:autoSpaceDN w:val="0"/>
        <w:adjustRightInd w:val="0"/>
        <w:rPr>
          <w:rFonts w:ascii="Calibri" w:eastAsiaTheme="minorHAnsi" w:hAnsi="Calibri" w:cs="Calibri"/>
          <w:sz w:val="22"/>
          <w:szCs w:val="22"/>
        </w:rPr>
      </w:pPr>
    </w:p>
    <w:p w:rsidR="007B3473" w:rsidRDefault="007B3473" w:rsidP="00476B64">
      <w:pPr>
        <w:autoSpaceDE w:val="0"/>
        <w:autoSpaceDN w:val="0"/>
        <w:adjustRightInd w:val="0"/>
        <w:rPr>
          <w:rFonts w:ascii="Calibri" w:eastAsiaTheme="minorHAnsi" w:hAnsi="Calibri" w:cs="Calibri"/>
          <w:sz w:val="22"/>
          <w:szCs w:val="22"/>
        </w:rPr>
      </w:pPr>
    </w:p>
    <w:p w:rsidR="007B3473" w:rsidRDefault="007B3473" w:rsidP="00476B64">
      <w:pPr>
        <w:autoSpaceDE w:val="0"/>
        <w:autoSpaceDN w:val="0"/>
        <w:adjustRightInd w:val="0"/>
        <w:rPr>
          <w:rFonts w:ascii="Calibri" w:eastAsiaTheme="minorHAnsi" w:hAnsi="Calibri" w:cs="Calibri"/>
          <w:sz w:val="22"/>
          <w:szCs w:val="22"/>
        </w:rPr>
      </w:pPr>
    </w:p>
    <w:p w:rsidR="007B3473" w:rsidRDefault="007B3473" w:rsidP="00476B64">
      <w:pPr>
        <w:autoSpaceDE w:val="0"/>
        <w:autoSpaceDN w:val="0"/>
        <w:adjustRightInd w:val="0"/>
        <w:rPr>
          <w:rFonts w:ascii="Calibri" w:eastAsiaTheme="minorHAnsi" w:hAnsi="Calibri" w:cs="Calibri"/>
          <w:sz w:val="22"/>
          <w:szCs w:val="22"/>
        </w:rPr>
      </w:pPr>
    </w:p>
    <w:p w:rsidR="007B3473" w:rsidRDefault="007B3473" w:rsidP="00476B64">
      <w:pPr>
        <w:autoSpaceDE w:val="0"/>
        <w:autoSpaceDN w:val="0"/>
        <w:adjustRightInd w:val="0"/>
        <w:rPr>
          <w:rFonts w:ascii="Calibri" w:eastAsiaTheme="minorHAnsi" w:hAnsi="Calibri" w:cs="Calibri"/>
          <w:sz w:val="22"/>
          <w:szCs w:val="22"/>
        </w:rPr>
      </w:pPr>
    </w:p>
    <w:p w:rsidR="007B3473" w:rsidRDefault="007B3473" w:rsidP="00476B64">
      <w:pPr>
        <w:autoSpaceDE w:val="0"/>
        <w:autoSpaceDN w:val="0"/>
        <w:adjustRightInd w:val="0"/>
        <w:rPr>
          <w:rFonts w:ascii="Calibri" w:eastAsiaTheme="minorHAnsi" w:hAnsi="Calibri" w:cs="Calibri"/>
          <w:sz w:val="22"/>
          <w:szCs w:val="22"/>
        </w:rPr>
      </w:pPr>
    </w:p>
    <w:p w:rsidR="007B3473" w:rsidRDefault="007B3473" w:rsidP="00476B64">
      <w:pPr>
        <w:autoSpaceDE w:val="0"/>
        <w:autoSpaceDN w:val="0"/>
        <w:adjustRightInd w:val="0"/>
        <w:rPr>
          <w:rFonts w:ascii="Calibri" w:eastAsiaTheme="minorHAnsi" w:hAnsi="Calibri" w:cs="Calibri"/>
          <w:sz w:val="22"/>
          <w:szCs w:val="22"/>
        </w:rPr>
      </w:pPr>
    </w:p>
    <w:p w:rsidR="007B3473" w:rsidRDefault="007B3473" w:rsidP="00476B64">
      <w:pPr>
        <w:autoSpaceDE w:val="0"/>
        <w:autoSpaceDN w:val="0"/>
        <w:adjustRightInd w:val="0"/>
        <w:rPr>
          <w:rFonts w:ascii="Calibri" w:eastAsiaTheme="minorHAnsi" w:hAnsi="Calibri" w:cs="Calibri"/>
          <w:sz w:val="22"/>
          <w:szCs w:val="22"/>
        </w:rPr>
      </w:pPr>
    </w:p>
    <w:p w:rsidR="007B3473" w:rsidRDefault="007B3473" w:rsidP="00476B64">
      <w:pPr>
        <w:autoSpaceDE w:val="0"/>
        <w:autoSpaceDN w:val="0"/>
        <w:adjustRightInd w:val="0"/>
        <w:rPr>
          <w:rFonts w:ascii="Calibri" w:eastAsiaTheme="minorHAnsi" w:hAnsi="Calibri" w:cs="Calibri"/>
          <w:sz w:val="22"/>
          <w:szCs w:val="22"/>
        </w:rPr>
      </w:pPr>
    </w:p>
    <w:p w:rsidR="007B3473" w:rsidRDefault="007B3473" w:rsidP="00476B64">
      <w:pPr>
        <w:autoSpaceDE w:val="0"/>
        <w:autoSpaceDN w:val="0"/>
        <w:adjustRightInd w:val="0"/>
        <w:rPr>
          <w:rFonts w:ascii="Calibri" w:eastAsiaTheme="minorHAnsi" w:hAnsi="Calibri" w:cs="Calibri"/>
          <w:sz w:val="22"/>
          <w:szCs w:val="22"/>
        </w:rPr>
      </w:pPr>
    </w:p>
    <w:p w:rsidR="007B3473" w:rsidRPr="00476B64" w:rsidRDefault="007B3473" w:rsidP="00476B64">
      <w:pPr>
        <w:autoSpaceDE w:val="0"/>
        <w:autoSpaceDN w:val="0"/>
        <w:adjustRightInd w:val="0"/>
        <w:rPr>
          <w:rFonts w:ascii="Utsaah" w:eastAsiaTheme="minorHAnsi" w:hAnsi="Utsaah" w:cs="Utsaah"/>
          <w:sz w:val="22"/>
          <w:szCs w:val="22"/>
        </w:rPr>
      </w:pPr>
    </w:p>
    <w:sectPr w:rsidR="007B3473" w:rsidRPr="00476B64" w:rsidSect="00946A7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Utsaah">
    <w:panose1 w:val="020B0604020202020204"/>
    <w:charset w:val="00"/>
    <w:family w:val="swiss"/>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30AE6"/>
    <w:multiLevelType w:val="hybridMultilevel"/>
    <w:tmpl w:val="85CC775E"/>
    <w:lvl w:ilvl="0" w:tplc="2466B462">
      <w:start w:val="2"/>
      <w:numFmt w:val="bullet"/>
      <w:lvlText w:val="•"/>
      <w:lvlJc w:val="left"/>
      <w:pPr>
        <w:ind w:left="1080" w:hanging="720"/>
      </w:pPr>
      <w:rPr>
        <w:rFonts w:ascii="Arial Narrow" w:eastAsia="Times New Roman" w:hAnsi="Arial Narrow" w:cs="Arial" w:hint="default"/>
      </w:rPr>
    </w:lvl>
    <w:lvl w:ilvl="1" w:tplc="04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E88257A4">
      <w:numFmt w:val="bullet"/>
      <w:lvlText w:val="-"/>
      <w:lvlJc w:val="left"/>
      <w:pPr>
        <w:ind w:left="2880" w:hanging="360"/>
      </w:pPr>
      <w:rPr>
        <w:rFonts w:ascii="Arial Narrow" w:eastAsia="Times New Roman" w:hAnsi="Arial Narrow" w:cs="Aria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1A66154"/>
    <w:multiLevelType w:val="hybridMultilevel"/>
    <w:tmpl w:val="BD620F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F41CF4"/>
    <w:multiLevelType w:val="hybridMultilevel"/>
    <w:tmpl w:val="5D12F6A0"/>
    <w:lvl w:ilvl="0" w:tplc="084A61F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A179D4"/>
    <w:multiLevelType w:val="hybridMultilevel"/>
    <w:tmpl w:val="B3FE8478"/>
    <w:lvl w:ilvl="0" w:tplc="BD946484">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8009DE"/>
    <w:multiLevelType w:val="hybridMultilevel"/>
    <w:tmpl w:val="5D7A8E2C"/>
    <w:lvl w:ilvl="0" w:tplc="A4642A5C">
      <w:start w:val="1"/>
      <w:numFmt w:val="decimal"/>
      <w:lvlText w:val="%1."/>
      <w:lvlJc w:val="left"/>
      <w:pPr>
        <w:tabs>
          <w:tab w:val="num" w:pos="720"/>
        </w:tabs>
        <w:ind w:left="720" w:hanging="360"/>
      </w:pPr>
    </w:lvl>
    <w:lvl w:ilvl="1" w:tplc="93CA3380" w:tentative="1">
      <w:start w:val="1"/>
      <w:numFmt w:val="decimal"/>
      <w:lvlText w:val="%2."/>
      <w:lvlJc w:val="left"/>
      <w:pPr>
        <w:tabs>
          <w:tab w:val="num" w:pos="1440"/>
        </w:tabs>
        <w:ind w:left="1440" w:hanging="360"/>
      </w:pPr>
    </w:lvl>
    <w:lvl w:ilvl="2" w:tplc="467A4C18" w:tentative="1">
      <w:start w:val="1"/>
      <w:numFmt w:val="decimal"/>
      <w:lvlText w:val="%3."/>
      <w:lvlJc w:val="left"/>
      <w:pPr>
        <w:tabs>
          <w:tab w:val="num" w:pos="2160"/>
        </w:tabs>
        <w:ind w:left="2160" w:hanging="360"/>
      </w:pPr>
    </w:lvl>
    <w:lvl w:ilvl="3" w:tplc="95A2F32E" w:tentative="1">
      <w:start w:val="1"/>
      <w:numFmt w:val="decimal"/>
      <w:lvlText w:val="%4."/>
      <w:lvlJc w:val="left"/>
      <w:pPr>
        <w:tabs>
          <w:tab w:val="num" w:pos="2880"/>
        </w:tabs>
        <w:ind w:left="2880" w:hanging="360"/>
      </w:pPr>
    </w:lvl>
    <w:lvl w:ilvl="4" w:tplc="F0FA3D88" w:tentative="1">
      <w:start w:val="1"/>
      <w:numFmt w:val="decimal"/>
      <w:lvlText w:val="%5."/>
      <w:lvlJc w:val="left"/>
      <w:pPr>
        <w:tabs>
          <w:tab w:val="num" w:pos="3600"/>
        </w:tabs>
        <w:ind w:left="3600" w:hanging="360"/>
      </w:pPr>
    </w:lvl>
    <w:lvl w:ilvl="5" w:tplc="096A9C20" w:tentative="1">
      <w:start w:val="1"/>
      <w:numFmt w:val="decimal"/>
      <w:lvlText w:val="%6."/>
      <w:lvlJc w:val="left"/>
      <w:pPr>
        <w:tabs>
          <w:tab w:val="num" w:pos="4320"/>
        </w:tabs>
        <w:ind w:left="4320" w:hanging="360"/>
      </w:pPr>
    </w:lvl>
    <w:lvl w:ilvl="6" w:tplc="0B2E5120" w:tentative="1">
      <w:start w:val="1"/>
      <w:numFmt w:val="decimal"/>
      <w:lvlText w:val="%7."/>
      <w:lvlJc w:val="left"/>
      <w:pPr>
        <w:tabs>
          <w:tab w:val="num" w:pos="5040"/>
        </w:tabs>
        <w:ind w:left="5040" w:hanging="360"/>
      </w:pPr>
    </w:lvl>
    <w:lvl w:ilvl="7" w:tplc="A9387C1E" w:tentative="1">
      <w:start w:val="1"/>
      <w:numFmt w:val="decimal"/>
      <w:lvlText w:val="%8."/>
      <w:lvlJc w:val="left"/>
      <w:pPr>
        <w:tabs>
          <w:tab w:val="num" w:pos="5760"/>
        </w:tabs>
        <w:ind w:left="5760" w:hanging="360"/>
      </w:pPr>
    </w:lvl>
    <w:lvl w:ilvl="8" w:tplc="FCEE02A6" w:tentative="1">
      <w:start w:val="1"/>
      <w:numFmt w:val="decimal"/>
      <w:lvlText w:val="%9."/>
      <w:lvlJc w:val="left"/>
      <w:pPr>
        <w:tabs>
          <w:tab w:val="num" w:pos="6480"/>
        </w:tabs>
        <w:ind w:left="6480" w:hanging="360"/>
      </w:pPr>
    </w:lvl>
  </w:abstractNum>
  <w:abstractNum w:abstractNumId="5">
    <w:nsid w:val="69E11E16"/>
    <w:multiLevelType w:val="hybridMultilevel"/>
    <w:tmpl w:val="E52C75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3407FA"/>
    <w:multiLevelType w:val="hybridMultilevel"/>
    <w:tmpl w:val="AD8AF8C8"/>
    <w:lvl w:ilvl="0" w:tplc="EBC44F4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20306"/>
    <w:rsid w:val="00016FCC"/>
    <w:rsid w:val="00021562"/>
    <w:rsid w:val="000478B8"/>
    <w:rsid w:val="000A39A9"/>
    <w:rsid w:val="000E2C97"/>
    <w:rsid w:val="000F5B03"/>
    <w:rsid w:val="00121936"/>
    <w:rsid w:val="0016362C"/>
    <w:rsid w:val="0017596A"/>
    <w:rsid w:val="001A2845"/>
    <w:rsid w:val="00306C4A"/>
    <w:rsid w:val="00313CFC"/>
    <w:rsid w:val="00332572"/>
    <w:rsid w:val="003C18B0"/>
    <w:rsid w:val="003D30AA"/>
    <w:rsid w:val="00405797"/>
    <w:rsid w:val="00417C73"/>
    <w:rsid w:val="00424946"/>
    <w:rsid w:val="004349D9"/>
    <w:rsid w:val="00476B64"/>
    <w:rsid w:val="004D223F"/>
    <w:rsid w:val="004F510B"/>
    <w:rsid w:val="00536185"/>
    <w:rsid w:val="00555A93"/>
    <w:rsid w:val="005C7225"/>
    <w:rsid w:val="005D1B34"/>
    <w:rsid w:val="006026D8"/>
    <w:rsid w:val="006065E5"/>
    <w:rsid w:val="00620306"/>
    <w:rsid w:val="006259D9"/>
    <w:rsid w:val="006D2439"/>
    <w:rsid w:val="00707D02"/>
    <w:rsid w:val="00767065"/>
    <w:rsid w:val="007850A0"/>
    <w:rsid w:val="007B3326"/>
    <w:rsid w:val="007B3473"/>
    <w:rsid w:val="007F58B6"/>
    <w:rsid w:val="00800BEC"/>
    <w:rsid w:val="0084196E"/>
    <w:rsid w:val="008500B8"/>
    <w:rsid w:val="008850DF"/>
    <w:rsid w:val="00894BDD"/>
    <w:rsid w:val="008F4B03"/>
    <w:rsid w:val="008F7101"/>
    <w:rsid w:val="00923097"/>
    <w:rsid w:val="00933AE9"/>
    <w:rsid w:val="00942B9E"/>
    <w:rsid w:val="00946A7E"/>
    <w:rsid w:val="009B60CD"/>
    <w:rsid w:val="00A17DBB"/>
    <w:rsid w:val="00A5396F"/>
    <w:rsid w:val="00A60223"/>
    <w:rsid w:val="00A816EB"/>
    <w:rsid w:val="00AC7149"/>
    <w:rsid w:val="00AE056D"/>
    <w:rsid w:val="00B2357C"/>
    <w:rsid w:val="00B4000A"/>
    <w:rsid w:val="00B532D3"/>
    <w:rsid w:val="00BD2CFE"/>
    <w:rsid w:val="00C05377"/>
    <w:rsid w:val="00C11785"/>
    <w:rsid w:val="00C14452"/>
    <w:rsid w:val="00C4108A"/>
    <w:rsid w:val="00C7707D"/>
    <w:rsid w:val="00C825D9"/>
    <w:rsid w:val="00C92238"/>
    <w:rsid w:val="00D25E6F"/>
    <w:rsid w:val="00D436A2"/>
    <w:rsid w:val="00D873BF"/>
    <w:rsid w:val="00E40B17"/>
    <w:rsid w:val="00E61A84"/>
    <w:rsid w:val="00EC5503"/>
    <w:rsid w:val="00EC7A1B"/>
    <w:rsid w:val="00F50EDE"/>
    <w:rsid w:val="00F8764D"/>
    <w:rsid w:val="00FC48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30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0306"/>
    <w:rPr>
      <w:rFonts w:ascii="Tahoma" w:hAnsi="Tahoma" w:cs="Tahoma"/>
      <w:sz w:val="16"/>
      <w:szCs w:val="16"/>
    </w:rPr>
  </w:style>
  <w:style w:type="character" w:customStyle="1" w:styleId="BalloonTextChar">
    <w:name w:val="Balloon Text Char"/>
    <w:basedOn w:val="DefaultParagraphFont"/>
    <w:link w:val="BalloonText"/>
    <w:uiPriority w:val="99"/>
    <w:semiHidden/>
    <w:rsid w:val="00620306"/>
    <w:rPr>
      <w:rFonts w:ascii="Tahoma" w:hAnsi="Tahoma" w:cs="Tahoma"/>
      <w:sz w:val="16"/>
      <w:szCs w:val="16"/>
    </w:rPr>
  </w:style>
  <w:style w:type="paragraph" w:styleId="ListParagraph">
    <w:name w:val="List Paragraph"/>
    <w:basedOn w:val="Normal"/>
    <w:uiPriority w:val="34"/>
    <w:qFormat/>
    <w:rsid w:val="00313CFC"/>
    <w:pPr>
      <w:ind w:left="720"/>
      <w:contextualSpacing/>
    </w:pPr>
  </w:style>
  <w:style w:type="table" w:styleId="TableGrid">
    <w:name w:val="Table Grid"/>
    <w:basedOn w:val="TableNormal"/>
    <w:uiPriority w:val="59"/>
    <w:rsid w:val="009230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B3473"/>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305161395">
      <w:bodyDiv w:val="1"/>
      <w:marLeft w:val="0"/>
      <w:marRight w:val="0"/>
      <w:marTop w:val="0"/>
      <w:marBottom w:val="0"/>
      <w:divBdr>
        <w:top w:val="none" w:sz="0" w:space="0" w:color="auto"/>
        <w:left w:val="none" w:sz="0" w:space="0" w:color="auto"/>
        <w:bottom w:val="none" w:sz="0" w:space="0" w:color="auto"/>
        <w:right w:val="none" w:sz="0" w:space="0" w:color="auto"/>
      </w:divBdr>
      <w:divsChild>
        <w:div w:id="1990479733">
          <w:marLeft w:val="0"/>
          <w:marRight w:val="0"/>
          <w:marTop w:val="154"/>
          <w:marBottom w:val="0"/>
          <w:divBdr>
            <w:top w:val="none" w:sz="0" w:space="0" w:color="auto"/>
            <w:left w:val="none" w:sz="0" w:space="0" w:color="auto"/>
            <w:bottom w:val="none" w:sz="0" w:space="0" w:color="auto"/>
            <w:right w:val="none" w:sz="0" w:space="0" w:color="auto"/>
          </w:divBdr>
        </w:div>
        <w:div w:id="1662853096">
          <w:marLeft w:val="0"/>
          <w:marRight w:val="0"/>
          <w:marTop w:val="154"/>
          <w:marBottom w:val="0"/>
          <w:divBdr>
            <w:top w:val="none" w:sz="0" w:space="0" w:color="auto"/>
            <w:left w:val="none" w:sz="0" w:space="0" w:color="auto"/>
            <w:bottom w:val="none" w:sz="0" w:space="0" w:color="auto"/>
            <w:right w:val="none" w:sz="0" w:space="0" w:color="auto"/>
          </w:divBdr>
        </w:div>
        <w:div w:id="343672891">
          <w:marLeft w:val="0"/>
          <w:marRight w:val="0"/>
          <w:marTop w:val="154"/>
          <w:marBottom w:val="0"/>
          <w:divBdr>
            <w:top w:val="none" w:sz="0" w:space="0" w:color="auto"/>
            <w:left w:val="none" w:sz="0" w:space="0" w:color="auto"/>
            <w:bottom w:val="none" w:sz="0" w:space="0" w:color="auto"/>
            <w:right w:val="none" w:sz="0" w:space="0" w:color="auto"/>
          </w:divBdr>
        </w:div>
        <w:div w:id="1267350818">
          <w:marLeft w:val="0"/>
          <w:marRight w:val="0"/>
          <w:marTop w:val="154"/>
          <w:marBottom w:val="0"/>
          <w:divBdr>
            <w:top w:val="none" w:sz="0" w:space="0" w:color="auto"/>
            <w:left w:val="none" w:sz="0" w:space="0" w:color="auto"/>
            <w:bottom w:val="none" w:sz="0" w:space="0" w:color="auto"/>
            <w:right w:val="none" w:sz="0" w:space="0" w:color="auto"/>
          </w:divBdr>
        </w:div>
        <w:div w:id="1478574340">
          <w:marLeft w:val="0"/>
          <w:marRight w:val="0"/>
          <w:marTop w:val="154"/>
          <w:marBottom w:val="0"/>
          <w:divBdr>
            <w:top w:val="none" w:sz="0" w:space="0" w:color="auto"/>
            <w:left w:val="none" w:sz="0" w:space="0" w:color="auto"/>
            <w:bottom w:val="none" w:sz="0" w:space="0" w:color="auto"/>
            <w:right w:val="none" w:sz="0" w:space="0" w:color="auto"/>
          </w:divBdr>
        </w:div>
      </w:divsChild>
    </w:div>
    <w:div w:id="1426264283">
      <w:bodyDiv w:val="1"/>
      <w:marLeft w:val="0"/>
      <w:marRight w:val="0"/>
      <w:marTop w:val="0"/>
      <w:marBottom w:val="0"/>
      <w:divBdr>
        <w:top w:val="none" w:sz="0" w:space="0" w:color="auto"/>
        <w:left w:val="none" w:sz="0" w:space="0" w:color="auto"/>
        <w:bottom w:val="none" w:sz="0" w:space="0" w:color="auto"/>
        <w:right w:val="none" w:sz="0" w:space="0" w:color="auto"/>
      </w:divBdr>
    </w:div>
    <w:div w:id="1867793634">
      <w:bodyDiv w:val="1"/>
      <w:marLeft w:val="0"/>
      <w:marRight w:val="0"/>
      <w:marTop w:val="0"/>
      <w:marBottom w:val="0"/>
      <w:divBdr>
        <w:top w:val="none" w:sz="0" w:space="0" w:color="auto"/>
        <w:left w:val="none" w:sz="0" w:space="0" w:color="auto"/>
        <w:bottom w:val="none" w:sz="0" w:space="0" w:color="auto"/>
        <w:right w:val="none" w:sz="0" w:space="0" w:color="auto"/>
      </w:divBdr>
      <w:divsChild>
        <w:div w:id="1417827980">
          <w:marLeft w:val="0"/>
          <w:marRight w:val="0"/>
          <w:marTop w:val="154"/>
          <w:marBottom w:val="0"/>
          <w:divBdr>
            <w:top w:val="none" w:sz="0" w:space="0" w:color="auto"/>
            <w:left w:val="none" w:sz="0" w:space="0" w:color="auto"/>
            <w:bottom w:val="none" w:sz="0" w:space="0" w:color="auto"/>
            <w:right w:val="none" w:sz="0" w:space="0" w:color="auto"/>
          </w:divBdr>
        </w:div>
        <w:div w:id="1669138473">
          <w:marLeft w:val="0"/>
          <w:marRight w:val="0"/>
          <w:marTop w:val="154"/>
          <w:marBottom w:val="0"/>
          <w:divBdr>
            <w:top w:val="none" w:sz="0" w:space="0" w:color="auto"/>
            <w:left w:val="none" w:sz="0" w:space="0" w:color="auto"/>
            <w:bottom w:val="none" w:sz="0" w:space="0" w:color="auto"/>
            <w:right w:val="none" w:sz="0" w:space="0" w:color="auto"/>
          </w:divBdr>
        </w:div>
        <w:div w:id="237449026">
          <w:marLeft w:val="0"/>
          <w:marRight w:val="0"/>
          <w:marTop w:val="154"/>
          <w:marBottom w:val="0"/>
          <w:divBdr>
            <w:top w:val="none" w:sz="0" w:space="0" w:color="auto"/>
            <w:left w:val="none" w:sz="0" w:space="0" w:color="auto"/>
            <w:bottom w:val="none" w:sz="0" w:space="0" w:color="auto"/>
            <w:right w:val="none" w:sz="0" w:space="0" w:color="auto"/>
          </w:divBdr>
        </w:div>
        <w:div w:id="317611050">
          <w:marLeft w:val="0"/>
          <w:marRight w:val="0"/>
          <w:marTop w:val="154"/>
          <w:marBottom w:val="0"/>
          <w:divBdr>
            <w:top w:val="none" w:sz="0" w:space="0" w:color="auto"/>
            <w:left w:val="none" w:sz="0" w:space="0" w:color="auto"/>
            <w:bottom w:val="none" w:sz="0" w:space="0" w:color="auto"/>
            <w:right w:val="none" w:sz="0" w:space="0" w:color="auto"/>
          </w:divBdr>
        </w:div>
        <w:div w:id="1679236454">
          <w:marLeft w:val="0"/>
          <w:marRight w:val="0"/>
          <w:marTop w:val="154"/>
          <w:marBottom w:val="0"/>
          <w:divBdr>
            <w:top w:val="none" w:sz="0" w:space="0" w:color="auto"/>
            <w:left w:val="none" w:sz="0" w:space="0" w:color="auto"/>
            <w:bottom w:val="none" w:sz="0" w:space="0" w:color="auto"/>
            <w:right w:val="none" w:sz="0" w:space="0" w:color="auto"/>
          </w:divBdr>
        </w:div>
      </w:divsChild>
    </w:div>
    <w:div w:id="209469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B7E293-BB45-445F-A55E-54A95844F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9</Pages>
  <Words>1695</Words>
  <Characters>9666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8</cp:revision>
  <cp:lastPrinted>2016-06-05T00:57:00Z</cp:lastPrinted>
  <dcterms:created xsi:type="dcterms:W3CDTF">2016-06-04T05:08:00Z</dcterms:created>
  <dcterms:modified xsi:type="dcterms:W3CDTF">2016-08-31T20:54:00Z</dcterms:modified>
</cp:coreProperties>
</file>