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BA1" w:rsidRDefault="00D46593">
      <w:pPr>
        <w:rPr>
          <w:b/>
          <w:u w:val="single"/>
        </w:rPr>
      </w:pPr>
      <w:r>
        <w:rPr>
          <w:b/>
          <w:u w:val="single"/>
        </w:rPr>
        <w:t xml:space="preserve">Therapeutic Drug Monitoring </w:t>
      </w:r>
    </w:p>
    <w:p w:rsidR="00D46593" w:rsidRDefault="00D46593">
      <w:proofErr w:type="gramStart"/>
      <w:r>
        <w:rPr>
          <w:b/>
        </w:rPr>
        <w:t xml:space="preserve">Pharmacokinetics </w:t>
      </w:r>
      <w:r>
        <w:t>– ADME – absorption, distribution, metabolism and excretion.</w:t>
      </w:r>
      <w:proofErr w:type="gramEnd"/>
      <w:r>
        <w:t xml:space="preserve"> </w:t>
      </w:r>
    </w:p>
    <w:p w:rsidR="00D46593" w:rsidRDefault="00D46593">
      <w:r>
        <w:t>After ingestion, most drugs are first passed to the liver via the hepatic portal vein, where they are first pass metabolized by the liver. Bioavailability is the amount of the drug that enters circulation un-</w:t>
      </w:r>
      <w:proofErr w:type="spellStart"/>
      <w:r>
        <w:t>metabliozed</w:t>
      </w:r>
      <w:proofErr w:type="spellEnd"/>
      <w:r>
        <w:t xml:space="preserve"> by the liver. </w:t>
      </w:r>
    </w:p>
    <w:p w:rsidR="00D46593" w:rsidRDefault="00D46593">
      <w:r>
        <w:t xml:space="preserve">Concentration of Drug in the extracellular fluid is proportional to the intensity of its biological effect, because from extracellular fluid they can enter tissue and bind receptors. Concentration in Extracellular fluid is in equilibrium with plasma concentration, therefore plasma concentration is indicative of drug </w:t>
      </w:r>
      <w:proofErr w:type="spellStart"/>
      <w:r>
        <w:t>conc</w:t>
      </w:r>
      <w:proofErr w:type="spellEnd"/>
      <w:r>
        <w:t xml:space="preserve"> at the site of receptor action. </w:t>
      </w:r>
    </w:p>
    <w:p w:rsidR="00D46593" w:rsidRDefault="00D46593">
      <w:r>
        <w:t xml:space="preserve">WE usually use total plasma concentration (unbound and bound) to estimate clinical response </w:t>
      </w:r>
    </w:p>
    <w:p w:rsidR="00D46593" w:rsidRDefault="00D46593">
      <w:r>
        <w:rPr>
          <w:b/>
        </w:rPr>
        <w:t xml:space="preserve">Elimination </w:t>
      </w:r>
      <w:r>
        <w:t xml:space="preserve">by the kidneys begins as soon as the drug enters the blood, blood concentration rises at a rate dependent on the route of administration, peaks depending on the amount of drug taken, and is eliminated depending on distribution and elimination rates. </w:t>
      </w:r>
    </w:p>
    <w:p w:rsidR="00D46593" w:rsidRDefault="00D46593">
      <w:r>
        <w:rPr>
          <w:b/>
        </w:rPr>
        <w:t xml:space="preserve">Dosing </w:t>
      </w:r>
      <w:r>
        <w:t xml:space="preserve">– with each successive dose, mean concentration and rate of elimination both </w:t>
      </w:r>
      <w:proofErr w:type="gramStart"/>
      <w:r>
        <w:t>rise</w:t>
      </w:r>
      <w:proofErr w:type="gramEnd"/>
      <w:r>
        <w:t xml:space="preserve">. With constant oral administration rate, the rate of elimination will rise until it is in equilibrium with the rate of administration, </w:t>
      </w:r>
      <w:proofErr w:type="spellStart"/>
      <w:r>
        <w:t>reffered</w:t>
      </w:r>
      <w:proofErr w:type="spellEnd"/>
      <w:r>
        <w:t xml:space="preserve"> to as </w:t>
      </w:r>
      <w:r>
        <w:rPr>
          <w:b/>
        </w:rPr>
        <w:t xml:space="preserve">Steady State. </w:t>
      </w:r>
      <w:r w:rsidR="00CA608C">
        <w:t xml:space="preserve">The time needed to reach steady state is 5 half lives. </w:t>
      </w:r>
    </w:p>
    <w:p w:rsidR="00CA608C" w:rsidRDefault="00CA608C">
      <w:r>
        <w:t xml:space="preserve">Standard </w:t>
      </w:r>
      <w:r>
        <w:rPr>
          <w:b/>
        </w:rPr>
        <w:t xml:space="preserve">Dosing Interval </w:t>
      </w:r>
      <w:r>
        <w:t xml:space="preserve">is equal to the half life of the drug. Larger doses given less often result in more extreme fluctuations in plasma concentrations, Smaller doses given more often result in more constant levels (IV drip produces smooth curve with minimal </w:t>
      </w:r>
      <w:proofErr w:type="spellStart"/>
      <w:r>
        <w:t>fluctutations</w:t>
      </w:r>
      <w:proofErr w:type="spellEnd"/>
      <w:r>
        <w:t xml:space="preserve">) </w:t>
      </w:r>
    </w:p>
    <w:p w:rsidR="00CA608C" w:rsidRDefault="00CA608C">
      <w:r>
        <w:rPr>
          <w:b/>
        </w:rPr>
        <w:t xml:space="preserve">Loading Dose </w:t>
      </w:r>
      <w:r>
        <w:t xml:space="preserve">is a large </w:t>
      </w:r>
      <w:proofErr w:type="spellStart"/>
      <w:r>
        <w:t>inital</w:t>
      </w:r>
      <w:proofErr w:type="spellEnd"/>
      <w:r>
        <w:t xml:space="preserve"> dose given to speed up the time needed for a drug to reach steady state.</w:t>
      </w:r>
    </w:p>
    <w:p w:rsidR="00CA608C" w:rsidRDefault="00CA608C">
      <w:r>
        <w:t xml:space="preserve">Average concentration at therapeutic level given by: C </w:t>
      </w:r>
      <w:proofErr w:type="gramStart"/>
      <w:r>
        <w:t>=(</w:t>
      </w:r>
      <w:proofErr w:type="gramEnd"/>
      <w:r>
        <w:t xml:space="preserve"> 1.44x half life x D) / (</w:t>
      </w:r>
      <w:proofErr w:type="spellStart"/>
      <w:r>
        <w:t>Vd</w:t>
      </w:r>
      <w:proofErr w:type="spellEnd"/>
      <w:r>
        <w:t xml:space="preserve"> x T) where D is the maintenance dose, and T is the time interval, and </w:t>
      </w:r>
      <w:proofErr w:type="spellStart"/>
      <w:r>
        <w:t>Vd</w:t>
      </w:r>
      <w:proofErr w:type="spellEnd"/>
      <w:r>
        <w:t xml:space="preserve"> is the volume of distribution. </w:t>
      </w:r>
    </w:p>
    <w:p w:rsidR="00CA608C" w:rsidRDefault="00CA608C">
      <w:pPr>
        <w:rPr>
          <w:b/>
          <w:i/>
          <w:u w:val="single"/>
        </w:rPr>
      </w:pPr>
      <w:r>
        <w:t xml:space="preserve">Total amount of Drug in the Body is C x </w:t>
      </w:r>
      <w:proofErr w:type="spellStart"/>
      <w:proofErr w:type="gramStart"/>
      <w:r>
        <w:t>Vd</w:t>
      </w:r>
      <w:proofErr w:type="spellEnd"/>
      <w:proofErr w:type="gramEnd"/>
      <w:r>
        <w:t xml:space="preserve"> = </w:t>
      </w:r>
      <w:r w:rsidRPr="00CA608C">
        <w:rPr>
          <w:b/>
          <w:i/>
          <w:u w:val="single"/>
        </w:rPr>
        <w:t xml:space="preserve">D* (loading dose) = (1.44 x </w:t>
      </w:r>
      <w:proofErr w:type="spellStart"/>
      <w:r w:rsidRPr="00CA608C">
        <w:rPr>
          <w:b/>
          <w:i/>
          <w:u w:val="single"/>
        </w:rPr>
        <w:t>halflife</w:t>
      </w:r>
      <w:proofErr w:type="spellEnd"/>
      <w:r w:rsidRPr="00CA608C">
        <w:rPr>
          <w:b/>
          <w:i/>
          <w:u w:val="single"/>
        </w:rPr>
        <w:t xml:space="preserve"> x D) / T</w:t>
      </w:r>
    </w:p>
    <w:p w:rsidR="005A33DF" w:rsidRDefault="00CA608C">
      <w:r>
        <w:rPr>
          <w:b/>
        </w:rPr>
        <w:t xml:space="preserve">Uses of </w:t>
      </w:r>
      <w:proofErr w:type="gramStart"/>
      <w:r>
        <w:rPr>
          <w:b/>
        </w:rPr>
        <w:t xml:space="preserve">TDM </w:t>
      </w:r>
      <w:r>
        <w:t>:</w:t>
      </w:r>
      <w:proofErr w:type="gramEnd"/>
      <w:r>
        <w:t xml:space="preserve"> </w:t>
      </w:r>
    </w:p>
    <w:p w:rsidR="00CA608C" w:rsidRDefault="005A33DF">
      <w:r>
        <w:t>I</w:t>
      </w:r>
      <w:r w:rsidR="00CA608C">
        <w:t>dentification of patient non-compliance (forgetfulness, won’t take meds properly)</w:t>
      </w:r>
    </w:p>
    <w:p w:rsidR="00CA608C" w:rsidRDefault="00CA608C">
      <w:r>
        <w:t xml:space="preserve">Titration of optimal dose for patient because of: Varying metabolic rates, Presence of Disease, </w:t>
      </w:r>
      <w:r w:rsidR="005A33DF">
        <w:t>Altered Physiological State (young, old, pregnant)</w:t>
      </w:r>
    </w:p>
    <w:p w:rsidR="005A33DF" w:rsidRDefault="005A33DF">
      <w:proofErr w:type="gramStart"/>
      <w:r>
        <w:t>Identification and Quantification of Drug Overdose.</w:t>
      </w:r>
      <w:proofErr w:type="gramEnd"/>
      <w:r>
        <w:t xml:space="preserve"> </w:t>
      </w:r>
    </w:p>
    <w:p w:rsidR="005A33DF" w:rsidRDefault="005A33DF">
      <w:pPr>
        <w:rPr>
          <w:b/>
        </w:rPr>
      </w:pPr>
      <w:r>
        <w:rPr>
          <w:b/>
        </w:rPr>
        <w:t>Criteria for determining necessity of TDM of a drug:</w:t>
      </w:r>
    </w:p>
    <w:p w:rsidR="005A33DF" w:rsidRDefault="005A33DF" w:rsidP="005A33DF">
      <w:pPr>
        <w:pStyle w:val="ListParagraph"/>
        <w:numPr>
          <w:ilvl w:val="0"/>
          <w:numId w:val="1"/>
        </w:numPr>
      </w:pPr>
      <w:r>
        <w:t>Narrow but well defined therapeutic range</w:t>
      </w:r>
    </w:p>
    <w:p w:rsidR="005A33DF" w:rsidRDefault="005A33DF" w:rsidP="005A33DF">
      <w:pPr>
        <w:pStyle w:val="ListParagraph"/>
        <w:numPr>
          <w:ilvl w:val="0"/>
          <w:numId w:val="1"/>
        </w:numPr>
      </w:pPr>
      <w:r>
        <w:t xml:space="preserve">Poor correlation between dosage and serum </w:t>
      </w:r>
      <w:proofErr w:type="spellStart"/>
      <w:r>
        <w:t>conc</w:t>
      </w:r>
      <w:proofErr w:type="spellEnd"/>
    </w:p>
    <w:p w:rsidR="005A33DF" w:rsidRDefault="005A33DF" w:rsidP="005A33DF">
      <w:pPr>
        <w:pStyle w:val="ListParagraph"/>
        <w:numPr>
          <w:ilvl w:val="0"/>
          <w:numId w:val="1"/>
        </w:numPr>
      </w:pPr>
      <w:r>
        <w:lastRenderedPageBreak/>
        <w:t>Good correlation between serum concentration and therapeutic effect</w:t>
      </w:r>
    </w:p>
    <w:p w:rsidR="005A33DF" w:rsidRDefault="005A33DF" w:rsidP="005A33DF">
      <w:pPr>
        <w:pStyle w:val="ListParagraph"/>
        <w:numPr>
          <w:ilvl w:val="0"/>
          <w:numId w:val="1"/>
        </w:numPr>
      </w:pPr>
      <w:r>
        <w:t>Specific, accurate, and reproducible method</w:t>
      </w:r>
    </w:p>
    <w:p w:rsidR="005A33DF" w:rsidRDefault="005A33DF" w:rsidP="005A33DF">
      <w:pPr>
        <w:pStyle w:val="ListParagraph"/>
        <w:numPr>
          <w:ilvl w:val="0"/>
          <w:numId w:val="1"/>
        </w:numPr>
      </w:pPr>
      <w:r>
        <w:t>Pharmacological effect hard to measure</w:t>
      </w:r>
    </w:p>
    <w:p w:rsidR="005A33DF" w:rsidRDefault="005A33DF" w:rsidP="005A33DF">
      <w:r>
        <w:t xml:space="preserve">We should </w:t>
      </w:r>
      <w:r w:rsidRPr="005A33DF">
        <w:rPr>
          <w:b/>
        </w:rPr>
        <w:t>sample</w:t>
      </w:r>
      <w:r>
        <w:t xml:space="preserve"> at steady state, before the next dose is given (1 half-life after previous dose)</w:t>
      </w:r>
    </w:p>
    <w:p w:rsidR="005A33DF" w:rsidRDefault="005A33DF" w:rsidP="005A33DF">
      <w:r>
        <w:t xml:space="preserve">If </w:t>
      </w:r>
      <w:r w:rsidRPr="005A33DF">
        <w:rPr>
          <w:b/>
        </w:rPr>
        <w:t>toxicity is a real concern</w:t>
      </w:r>
      <w:r>
        <w:t xml:space="preserve">, Peak and Trough levels should be monitored. Immunosuppressive drugs, we can measure AUC which will tell us rate of Absorption and Elimination </w:t>
      </w:r>
    </w:p>
    <w:p w:rsidR="005A33DF" w:rsidRDefault="005A33DF" w:rsidP="005A33DF">
      <w:r w:rsidRPr="005A33DF">
        <w:rPr>
          <w:b/>
        </w:rPr>
        <w:t>Random sampling is Useless</w:t>
      </w:r>
      <w:r>
        <w:t xml:space="preserve"> because of fluctuations in drug concentrations, only used in overdose where ballpark levels are sufficient, and in patient non-compliance where time of last dose is unknown. </w:t>
      </w:r>
    </w:p>
    <w:p w:rsidR="005A33DF" w:rsidRDefault="005A33DF" w:rsidP="005A33DF">
      <w:r>
        <w:rPr>
          <w:b/>
        </w:rPr>
        <w:t xml:space="preserve">Free Drug Monitoring </w:t>
      </w:r>
    </w:p>
    <w:p w:rsidR="005A33DF" w:rsidRDefault="00316D05" w:rsidP="005A33DF">
      <w:pPr>
        <w:pStyle w:val="ListParagraph"/>
        <w:numPr>
          <w:ilvl w:val="0"/>
          <w:numId w:val="2"/>
        </w:numPr>
      </w:pPr>
      <w:r>
        <w:t>Each drug has characteristic protein binding pattern dependent on physical and chemical properties</w:t>
      </w:r>
    </w:p>
    <w:p w:rsidR="00316D05" w:rsidRDefault="00316D05" w:rsidP="005A33DF">
      <w:pPr>
        <w:pStyle w:val="ListParagraph"/>
        <w:numPr>
          <w:ilvl w:val="0"/>
          <w:numId w:val="2"/>
        </w:numPr>
      </w:pPr>
      <w:r>
        <w:t xml:space="preserve">Acidic drugs </w:t>
      </w:r>
      <w:proofErr w:type="spellStart"/>
      <w:proofErr w:type="gramStart"/>
      <w:r>
        <w:t>bing</w:t>
      </w:r>
      <w:proofErr w:type="spellEnd"/>
      <w:proofErr w:type="gramEnd"/>
      <w:r>
        <w:t xml:space="preserve"> albumin, and basic drugs bind globulins, particularly alpha 1 acid glycoprotein, some bind both.</w:t>
      </w:r>
    </w:p>
    <w:p w:rsidR="00316D05" w:rsidRDefault="00316D05" w:rsidP="005A33DF">
      <w:pPr>
        <w:pStyle w:val="ListParagraph"/>
        <w:numPr>
          <w:ilvl w:val="0"/>
          <w:numId w:val="2"/>
        </w:numPr>
      </w:pPr>
      <w:r>
        <w:t xml:space="preserve">Free drug level more accurately reflects pharmacological response. </w:t>
      </w:r>
    </w:p>
    <w:p w:rsidR="00316D05" w:rsidRDefault="00316D05" w:rsidP="00316D05">
      <w:pPr>
        <w:ind w:left="360"/>
      </w:pPr>
      <w:r>
        <w:rPr>
          <w:b/>
        </w:rPr>
        <w:t xml:space="preserve">Free Drug Levels </w:t>
      </w:r>
      <w:r>
        <w:t xml:space="preserve">should be monitored when </w:t>
      </w:r>
    </w:p>
    <w:p w:rsidR="00316D05" w:rsidRDefault="00316D05" w:rsidP="00316D05">
      <w:pPr>
        <w:pStyle w:val="ListParagraph"/>
        <w:numPr>
          <w:ilvl w:val="0"/>
          <w:numId w:val="5"/>
        </w:numPr>
      </w:pPr>
      <w:r>
        <w:t>Therapeutic Drug monitoring per se is necessary</w:t>
      </w:r>
    </w:p>
    <w:p w:rsidR="00316D05" w:rsidRDefault="00316D05" w:rsidP="00316D05">
      <w:pPr>
        <w:pStyle w:val="ListParagraph"/>
        <w:numPr>
          <w:ilvl w:val="0"/>
          <w:numId w:val="5"/>
        </w:numPr>
      </w:pPr>
      <w:r>
        <w:t>The drug should normally be highly bound to plasma proteins</w:t>
      </w:r>
    </w:p>
    <w:p w:rsidR="00316D05" w:rsidRDefault="00316D05" w:rsidP="00316D05">
      <w:pPr>
        <w:pStyle w:val="ListParagraph"/>
        <w:numPr>
          <w:ilvl w:val="0"/>
          <w:numId w:val="5"/>
        </w:numPr>
      </w:pPr>
      <w:r>
        <w:t>Free drug concentrations correlate poorly with total concentrations</w:t>
      </w:r>
    </w:p>
    <w:p w:rsidR="00AE2F69" w:rsidRDefault="00AE2F69" w:rsidP="00AE2F69">
      <w:pPr>
        <w:pStyle w:val="ListParagraph"/>
        <w:numPr>
          <w:ilvl w:val="0"/>
          <w:numId w:val="6"/>
        </w:numPr>
      </w:pPr>
      <w:r>
        <w:t xml:space="preserve">Consistently done for anticonvulsant drugs </w:t>
      </w:r>
    </w:p>
    <w:p w:rsidR="00316D05" w:rsidRDefault="00316D05" w:rsidP="00316D05">
      <w:r>
        <w:t>Bound drugs can be displaced from protein by a drug of fatty acid with a greater affinity for the protein</w:t>
      </w:r>
      <w:r w:rsidR="00AE2F69">
        <w:t xml:space="preserve">. </w:t>
      </w:r>
    </w:p>
    <w:p w:rsidR="00AE2F69" w:rsidRDefault="00AE2F69" w:rsidP="00316D05">
      <w:proofErr w:type="spellStart"/>
      <w:r>
        <w:rPr>
          <w:b/>
        </w:rPr>
        <w:t>Phenytoin</w:t>
      </w:r>
      <w:proofErr w:type="spellEnd"/>
      <w:r>
        <w:rPr>
          <w:b/>
        </w:rPr>
        <w:t xml:space="preserve"> </w:t>
      </w:r>
      <w:r>
        <w:t>– anticonvulsant – free drug monitored with low albumin, evidence of toxicity, or if patient is taking more than one drug</w:t>
      </w:r>
    </w:p>
    <w:p w:rsidR="00AE2F69" w:rsidRDefault="00AE2F69" w:rsidP="00316D05">
      <w:proofErr w:type="spellStart"/>
      <w:r>
        <w:rPr>
          <w:b/>
        </w:rPr>
        <w:t>Digoxin</w:t>
      </w:r>
      <w:proofErr w:type="spellEnd"/>
      <w:r>
        <w:rPr>
          <w:b/>
        </w:rPr>
        <w:t xml:space="preserve"> </w:t>
      </w:r>
      <w:r>
        <w:t xml:space="preserve">– </w:t>
      </w:r>
      <w:proofErr w:type="spellStart"/>
      <w:r>
        <w:t>antiarrhythmic</w:t>
      </w:r>
      <w:proofErr w:type="spellEnd"/>
      <w:r>
        <w:t xml:space="preserve"> – narrow therapeutic range – </w:t>
      </w:r>
      <w:r>
        <w:rPr>
          <w:b/>
        </w:rPr>
        <w:t xml:space="preserve">toxic symptoms are the same as disease symptoms (arrhythmia) </w:t>
      </w:r>
      <w:r>
        <w:t xml:space="preserve">making TDM crucial. Overlap in toxic serum levels. 15-30x more </w:t>
      </w:r>
      <w:proofErr w:type="spellStart"/>
      <w:r>
        <w:t>digoxing</w:t>
      </w:r>
      <w:proofErr w:type="spellEnd"/>
      <w:r>
        <w:t xml:space="preserve"> in cardiac tissue vs. serum, peak tissue concentration 3 hrs later than peak serum </w:t>
      </w:r>
      <w:proofErr w:type="spellStart"/>
      <w:r>
        <w:t>ceoncentration</w:t>
      </w:r>
      <w:proofErr w:type="spellEnd"/>
      <w:r>
        <w:t>….</w:t>
      </w:r>
      <w:proofErr w:type="spellStart"/>
      <w:r w:rsidR="005503C7">
        <w:rPr>
          <w:b/>
        </w:rPr>
        <w:t>speciment</w:t>
      </w:r>
      <w:proofErr w:type="spellEnd"/>
      <w:r w:rsidR="005503C7">
        <w:rPr>
          <w:b/>
        </w:rPr>
        <w:t xml:space="preserve"> should be </w:t>
      </w:r>
      <w:proofErr w:type="spellStart"/>
      <w:r w:rsidR="005503C7">
        <w:rPr>
          <w:b/>
        </w:rPr>
        <w:t>collecter</w:t>
      </w:r>
      <w:proofErr w:type="spellEnd"/>
      <w:r w:rsidR="005503C7">
        <w:rPr>
          <w:b/>
        </w:rPr>
        <w:t xml:space="preserve"> 8h after last dose</w:t>
      </w:r>
      <w:r w:rsidR="005503C7">
        <w:t xml:space="preserve">….toxicity more common with renal </w:t>
      </w:r>
      <w:proofErr w:type="spellStart"/>
      <w:r w:rsidR="005503C7">
        <w:t>impoariment</w:t>
      </w:r>
      <w:proofErr w:type="spellEnd"/>
      <w:r w:rsidR="005503C7">
        <w:t>, dose reduced in patients with renal disease</w:t>
      </w:r>
    </w:p>
    <w:p w:rsidR="005503C7" w:rsidRDefault="005503C7" w:rsidP="00316D05">
      <w:proofErr w:type="spellStart"/>
      <w:r>
        <w:rPr>
          <w:b/>
        </w:rPr>
        <w:t>Aminoglycosides</w:t>
      </w:r>
      <w:proofErr w:type="spellEnd"/>
      <w:r>
        <w:rPr>
          <w:b/>
        </w:rPr>
        <w:t xml:space="preserve"> </w:t>
      </w:r>
      <w:r>
        <w:t>– antibiotic for gram negative bacteria – large variation in elimination rates between patients…..</w:t>
      </w:r>
      <w:proofErr w:type="spellStart"/>
      <w:r>
        <w:t>Oto</w:t>
      </w:r>
      <w:proofErr w:type="spellEnd"/>
      <w:r>
        <w:t xml:space="preserve"> and </w:t>
      </w:r>
      <w:proofErr w:type="spellStart"/>
      <w:r>
        <w:t>nephro</w:t>
      </w:r>
      <w:proofErr w:type="spellEnd"/>
      <w:r>
        <w:t xml:space="preserve"> toxicity, variation in </w:t>
      </w:r>
      <w:proofErr w:type="spellStart"/>
      <w:r>
        <w:t>sucesptibility</w:t>
      </w:r>
      <w:proofErr w:type="spellEnd"/>
      <w:r>
        <w:t xml:space="preserve"> though. Known peak and trough concentrations trough measured just before next dose, serum measurement after distribution phase. Peak measured 15-30 </w:t>
      </w:r>
      <w:proofErr w:type="spellStart"/>
      <w:r>
        <w:t>mins</w:t>
      </w:r>
      <w:proofErr w:type="spellEnd"/>
      <w:r>
        <w:t xml:space="preserve"> after dose, or longer in obese or </w:t>
      </w:r>
      <w:proofErr w:type="spellStart"/>
      <w:r>
        <w:t>renally</w:t>
      </w:r>
      <w:proofErr w:type="spellEnd"/>
      <w:r>
        <w:t xml:space="preserve"> impaired patients. </w:t>
      </w:r>
    </w:p>
    <w:p w:rsidR="005503C7" w:rsidRDefault="005503C7" w:rsidP="00316D05">
      <w:proofErr w:type="spellStart"/>
      <w:proofErr w:type="gramStart"/>
      <w:r>
        <w:rPr>
          <w:b/>
        </w:rPr>
        <w:t>Immunosuppresants</w:t>
      </w:r>
      <w:proofErr w:type="spellEnd"/>
      <w:r>
        <w:rPr>
          <w:b/>
        </w:rPr>
        <w:t>.</w:t>
      </w:r>
      <w:proofErr w:type="gramEnd"/>
      <w:r>
        <w:rPr>
          <w:b/>
        </w:rPr>
        <w:t xml:space="preserve"> </w:t>
      </w:r>
      <w:r>
        <w:t>– suppress immune system to prevent rejection of transplanted organ. Low doses of several often administered to reduce toxicity. Immunoassay, UV-HPLC of LC</w:t>
      </w:r>
      <w:proofErr w:type="gramStart"/>
      <w:r>
        <w:t>,MS,MS</w:t>
      </w:r>
      <w:proofErr w:type="gramEnd"/>
      <w:r>
        <w:t xml:space="preserve"> depending on </w:t>
      </w:r>
      <w:r>
        <w:lastRenderedPageBreak/>
        <w:t xml:space="preserve">drug. </w:t>
      </w:r>
      <w:proofErr w:type="spellStart"/>
      <w:r>
        <w:t>Trouh</w:t>
      </w:r>
      <w:proofErr w:type="spellEnd"/>
      <w:r>
        <w:t xml:space="preserve"> sampling sometimes doesn’t correlate with therapeutic effect, and AUC and C2 sampling are not practical because timing and sampling are inconvenient. </w:t>
      </w:r>
    </w:p>
    <w:p w:rsidR="005503C7" w:rsidRDefault="005503C7" w:rsidP="00316D05">
      <w:r>
        <w:rPr>
          <w:i/>
        </w:rPr>
        <w:t xml:space="preserve">Cyclosporine </w:t>
      </w:r>
      <w:r>
        <w:t xml:space="preserve">– most common </w:t>
      </w:r>
      <w:proofErr w:type="spellStart"/>
      <w:r>
        <w:t>immunosuppresent</w:t>
      </w:r>
      <w:proofErr w:type="spellEnd"/>
      <w:r>
        <w:t xml:space="preserve">, immunoassay measures levels. Preferred sampling procedure is AUC, but C2 is used too, however the less ideal Trough measurements is most common (easy). </w:t>
      </w:r>
    </w:p>
    <w:p w:rsidR="005503C7" w:rsidRDefault="005503C7" w:rsidP="00316D05">
      <w:proofErr w:type="spellStart"/>
      <w:r>
        <w:rPr>
          <w:i/>
        </w:rPr>
        <w:t>Tacrolimus</w:t>
      </w:r>
      <w:proofErr w:type="spellEnd"/>
      <w:r>
        <w:rPr>
          <w:i/>
        </w:rPr>
        <w:t xml:space="preserve"> </w:t>
      </w:r>
      <w:r>
        <w:t>– usually combined with ^^ cyclosporine, measure by immunoassay, and LC/MS/MS, and trough sampling (AUC better)</w:t>
      </w:r>
    </w:p>
    <w:p w:rsidR="005503C7" w:rsidRDefault="005503C7" w:rsidP="00316D05">
      <w:proofErr w:type="spellStart"/>
      <w:r>
        <w:rPr>
          <w:i/>
        </w:rPr>
        <w:t>Sirolimus</w:t>
      </w:r>
      <w:proofErr w:type="spellEnd"/>
      <w:r>
        <w:rPr>
          <w:i/>
        </w:rPr>
        <w:t xml:space="preserve"> </w:t>
      </w:r>
      <w:r>
        <w:t xml:space="preserve">– less common </w:t>
      </w:r>
      <w:proofErr w:type="spellStart"/>
      <w:r>
        <w:t>then</w:t>
      </w:r>
      <w:proofErr w:type="spellEnd"/>
      <w:r>
        <w:t xml:space="preserve"> others, less toxic, doesn’t aggravate diabetes, important for pancreatic islet cell transplantation, measured by UV HPLC or LC/MS, discrepancy between the immunoassay and LCMSMS, trough sampling</w:t>
      </w:r>
    </w:p>
    <w:p w:rsidR="005503C7" w:rsidRDefault="005503C7" w:rsidP="00316D05">
      <w:proofErr w:type="spellStart"/>
      <w:r>
        <w:rPr>
          <w:i/>
        </w:rPr>
        <w:t>Mycophenolic</w:t>
      </w:r>
      <w:proofErr w:type="spellEnd"/>
      <w:r>
        <w:rPr>
          <w:i/>
        </w:rPr>
        <w:t xml:space="preserve"> acid </w:t>
      </w:r>
      <w:r>
        <w:t>– more common in Europe, LC/MS/MS monitoring, but immunoassay available, AUC more accurate than trough</w:t>
      </w:r>
    </w:p>
    <w:p w:rsidR="005503C7" w:rsidRPr="005503C7" w:rsidRDefault="005503C7" w:rsidP="00316D05"/>
    <w:sectPr w:rsidR="005503C7" w:rsidRPr="005503C7" w:rsidSect="00CF0BA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C1DDE"/>
    <w:multiLevelType w:val="hybridMultilevel"/>
    <w:tmpl w:val="D9621BB0"/>
    <w:lvl w:ilvl="0" w:tplc="2CFC43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902E20"/>
    <w:multiLevelType w:val="hybridMultilevel"/>
    <w:tmpl w:val="774C3692"/>
    <w:lvl w:ilvl="0" w:tplc="E078008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275E63"/>
    <w:multiLevelType w:val="hybridMultilevel"/>
    <w:tmpl w:val="58B203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122984"/>
    <w:multiLevelType w:val="hybridMultilevel"/>
    <w:tmpl w:val="5D528ED8"/>
    <w:lvl w:ilvl="0" w:tplc="39A28E66">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4">
    <w:nsid w:val="54271884"/>
    <w:multiLevelType w:val="hybridMultilevel"/>
    <w:tmpl w:val="3D5440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347635"/>
    <w:multiLevelType w:val="hybridMultilevel"/>
    <w:tmpl w:val="87881096"/>
    <w:lvl w:ilvl="0" w:tplc="13EA54B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D46593"/>
    <w:rsid w:val="00316D05"/>
    <w:rsid w:val="005503C7"/>
    <w:rsid w:val="005A33DF"/>
    <w:rsid w:val="00AE2F69"/>
    <w:rsid w:val="00CA608C"/>
    <w:rsid w:val="00CF0BA1"/>
    <w:rsid w:val="00D465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B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33D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3</Pages>
  <Words>855</Words>
  <Characters>4875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1</cp:revision>
  <dcterms:created xsi:type="dcterms:W3CDTF">2012-04-12T22:35:00Z</dcterms:created>
  <dcterms:modified xsi:type="dcterms:W3CDTF">2012-04-12T23:36:00Z</dcterms:modified>
</cp:coreProperties>
</file>