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8F5FD" w14:textId="4986009A"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r w:rsidRPr="00F25463">
        <w:rPr>
          <w:rFonts w:hAnsi="Times New Roman" w:cs="Times New Roman"/>
          <w:sz w:val="20"/>
          <w:szCs w:val="20"/>
        </w:rPr>
        <w:t xml:space="preserve">Droit International Public </w:t>
      </w:r>
    </w:p>
    <w:p w14:paraId="7AE1928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3ABFE212" w14:textId="569C9882" w:rsidR="00EC0180" w:rsidRPr="00F25463" w:rsidRDefault="00FF1DAB">
      <w:pPr>
        <w:pStyle w:val="Heading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Pr>
          <w:rFonts w:hAnsi="Times New Roman" w:cs="Times New Roman"/>
          <w:sz w:val="22"/>
          <w:szCs w:val="22"/>
        </w:rPr>
        <w:t xml:space="preserve">Cour 2, le 9 janvier </w:t>
      </w:r>
    </w:p>
    <w:p w14:paraId="6E50A4E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6D22B8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Définition droit international public</w:t>
      </w:r>
      <w:r w:rsidRPr="00F25463">
        <w:rPr>
          <w:rFonts w:hAnsi="Times New Roman" w:cs="Times New Roman"/>
          <w:sz w:val="22"/>
          <w:szCs w:val="22"/>
        </w:rPr>
        <w:t> : ensemble des normes, règles de conduites qui régissent les rapports entre les sujets de droit international public.</w:t>
      </w:r>
    </w:p>
    <w:p w14:paraId="67DB865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BBEBF2E" w14:textId="77777777" w:rsidR="00EC0180" w:rsidRPr="00F25463" w:rsidRDefault="004270F6" w:rsidP="004270F6">
      <w:pPr>
        <w:numPr>
          <w:ilvl w:val="0"/>
          <w:numId w:val="1"/>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Sujets de D.I.P</w:t>
      </w:r>
      <w:r w:rsidRPr="00F25463">
        <w:rPr>
          <w:rFonts w:hAnsi="Times New Roman" w:cs="Times New Roman"/>
          <w:sz w:val="22"/>
          <w:szCs w:val="22"/>
        </w:rPr>
        <w:t> </w:t>
      </w:r>
      <w:proofErr w:type="gramStart"/>
      <w:r w:rsidRPr="00F25463">
        <w:rPr>
          <w:rFonts w:hAnsi="Times New Roman" w:cs="Times New Roman"/>
          <w:sz w:val="22"/>
          <w:szCs w:val="22"/>
        </w:rPr>
        <w:t xml:space="preserve">: </w:t>
      </w:r>
      <w:r w:rsidR="00D205D9" w:rsidRPr="00F25463">
        <w:rPr>
          <w:rFonts w:hAnsi="Times New Roman" w:cs="Times New Roman"/>
          <w:sz w:val="22"/>
          <w:szCs w:val="22"/>
        </w:rPr>
        <w:t xml:space="preserve"> (</w:t>
      </w:r>
      <w:proofErr w:type="gramEnd"/>
      <w:r w:rsidR="00D205D9" w:rsidRPr="00F25463">
        <w:rPr>
          <w:rFonts w:hAnsi="Times New Roman" w:cs="Times New Roman"/>
          <w:sz w:val="22"/>
          <w:szCs w:val="22"/>
        </w:rPr>
        <w:t>ARBOUR, P.1)</w:t>
      </w:r>
    </w:p>
    <w:p w14:paraId="0FB92B4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-Tout État (sujet parfait du droit international), toute autorité, tout organisme et tout groupe susceptible de jouer un rôle sur la scène internationale. Les organisations internationales sont des sujets de DIP seulement dans les cas prévus par les états qui l’ont créer (pouvoir et obligation limité par la charte </w:t>
      </w:r>
      <w:proofErr w:type="spellStart"/>
      <w:r w:rsidRPr="00F25463">
        <w:rPr>
          <w:rFonts w:hAnsi="Times New Roman" w:cs="Times New Roman"/>
          <w:sz w:val="22"/>
          <w:szCs w:val="22"/>
        </w:rPr>
        <w:t>constitutrice</w:t>
      </w:r>
      <w:proofErr w:type="spellEnd"/>
      <w:r w:rsidRPr="00F25463">
        <w:rPr>
          <w:rFonts w:hAnsi="Times New Roman" w:cs="Times New Roman"/>
          <w:sz w:val="22"/>
          <w:szCs w:val="22"/>
        </w:rPr>
        <w:t xml:space="preserve">)   </w:t>
      </w:r>
    </w:p>
    <w:p w14:paraId="4DBE9F2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-À la limite même l’individu</w:t>
      </w:r>
      <w:r w:rsidR="00D205D9" w:rsidRPr="00F25463">
        <w:rPr>
          <w:rFonts w:hAnsi="Times New Roman" w:cs="Times New Roman"/>
          <w:sz w:val="22"/>
          <w:szCs w:val="22"/>
        </w:rPr>
        <w:t xml:space="preserve"> (</w:t>
      </w:r>
      <w:proofErr w:type="spellStart"/>
      <w:r w:rsidR="00D205D9" w:rsidRPr="00F25463">
        <w:rPr>
          <w:rFonts w:hAnsi="Times New Roman" w:cs="Times New Roman"/>
          <w:sz w:val="22"/>
          <w:szCs w:val="22"/>
        </w:rPr>
        <w:t>Arbour</w:t>
      </w:r>
      <w:proofErr w:type="spellEnd"/>
      <w:r w:rsidR="00D205D9" w:rsidRPr="00F25463">
        <w:rPr>
          <w:rFonts w:hAnsi="Times New Roman" w:cs="Times New Roman"/>
          <w:sz w:val="22"/>
          <w:szCs w:val="22"/>
        </w:rPr>
        <w:t>, p.3</w:t>
      </w:r>
      <w:r w:rsidRPr="00F25463">
        <w:rPr>
          <w:rFonts w:hAnsi="Times New Roman" w:cs="Times New Roman"/>
          <w:sz w:val="22"/>
          <w:szCs w:val="22"/>
        </w:rPr>
        <w:t xml:space="preserve"> peu</w:t>
      </w:r>
      <w:r w:rsidR="00D205D9" w:rsidRPr="00F25463">
        <w:rPr>
          <w:rFonts w:hAnsi="Times New Roman" w:cs="Times New Roman"/>
          <w:sz w:val="22"/>
          <w:szCs w:val="22"/>
        </w:rPr>
        <w:t>t</w:t>
      </w:r>
      <w:r w:rsidRPr="00F25463">
        <w:rPr>
          <w:rFonts w:hAnsi="Times New Roman" w:cs="Times New Roman"/>
          <w:sz w:val="22"/>
          <w:szCs w:val="22"/>
        </w:rPr>
        <w:t xml:space="preserve"> être considéré sujet dans certaines situations.  (</w:t>
      </w:r>
      <w:proofErr w:type="gramStart"/>
      <w:r w:rsidRPr="00F25463">
        <w:rPr>
          <w:rFonts w:hAnsi="Times New Roman" w:cs="Times New Roman"/>
          <w:sz w:val="22"/>
          <w:szCs w:val="22"/>
        </w:rPr>
        <w:t>dans</w:t>
      </w:r>
      <w:proofErr w:type="gramEnd"/>
      <w:r w:rsidRPr="00F25463">
        <w:rPr>
          <w:rFonts w:hAnsi="Times New Roman" w:cs="Times New Roman"/>
          <w:sz w:val="22"/>
          <w:szCs w:val="22"/>
        </w:rPr>
        <w:t xml:space="preserve"> sa forme classique, l’individu ne l’est pas, mais certaines conventions lui donne le droit d’être sujet)</w:t>
      </w:r>
    </w:p>
    <w:p w14:paraId="24ECA33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53F2F9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Exemple 1</w:t>
      </w:r>
      <w:r w:rsidRPr="00F25463">
        <w:rPr>
          <w:rFonts w:hAnsi="Times New Roman" w:cs="Times New Roman"/>
          <w:sz w:val="22"/>
          <w:szCs w:val="22"/>
        </w:rPr>
        <w:t> : L’O.N.U. est  un sujet de droit international qui s’est vu reconnaître le droit d’exercer sa protection diplomatique à l’endroit de l’un de ses agents (fonction habituellement réservée à l’État national de l’individu lésé.)</w:t>
      </w:r>
    </w:p>
    <w:p w14:paraId="04121BF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45C861B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Exemple 2</w:t>
      </w:r>
      <w:r w:rsidRPr="00F25463">
        <w:rPr>
          <w:rFonts w:hAnsi="Times New Roman" w:cs="Times New Roman"/>
          <w:sz w:val="22"/>
          <w:szCs w:val="22"/>
        </w:rPr>
        <w:t> : En vertu du Pacte international relatif aux droits civils et politiques (1966), et du protocole, si un É</w:t>
      </w:r>
      <w:r w:rsidR="00044E7E" w:rsidRPr="00F25463">
        <w:rPr>
          <w:rFonts w:hAnsi="Times New Roman" w:cs="Times New Roman"/>
          <w:sz w:val="22"/>
          <w:szCs w:val="22"/>
        </w:rPr>
        <w:t>tat est soumis à</w:t>
      </w:r>
      <w:r w:rsidRPr="00F25463">
        <w:rPr>
          <w:rFonts w:hAnsi="Times New Roman" w:cs="Times New Roman"/>
          <w:sz w:val="22"/>
          <w:szCs w:val="22"/>
        </w:rPr>
        <w:t xml:space="preserve"> ces 2 documents, il est réputé avoir accepter que le comité des droits de l’Homme reç</w:t>
      </w:r>
      <w:r w:rsidR="00044E7E" w:rsidRPr="00F25463">
        <w:rPr>
          <w:rFonts w:hAnsi="Times New Roman" w:cs="Times New Roman"/>
          <w:sz w:val="22"/>
          <w:szCs w:val="22"/>
        </w:rPr>
        <w:t>oive</w:t>
      </w:r>
      <w:r w:rsidRPr="00F25463">
        <w:rPr>
          <w:rFonts w:hAnsi="Times New Roman" w:cs="Times New Roman"/>
          <w:sz w:val="22"/>
          <w:szCs w:val="22"/>
        </w:rPr>
        <w:t xml:space="preserve"> examine des communications émanant de particuliers qui prétendent être victimes d’une violation, par cet État, d’un droit protégé par le Pacte.  Le comité fait part de ses constatations à l’État intéressé ainsi qu’au particulier.  Ceci est un exemple où le particulier est un sujet de droit international public.</w:t>
      </w:r>
    </w:p>
    <w:p w14:paraId="335AB60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3A050121" w14:textId="77777777" w:rsidR="00EC0180" w:rsidRPr="00F25463" w:rsidRDefault="004270F6">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Donc, il est bien entendu que les États peuvent avoir des relations entre eux, mais aussi avec les organisations internationales et que ces dernières peuvent en avoir entre elles.</w:t>
      </w:r>
    </w:p>
    <w:p w14:paraId="6D0934BD" w14:textId="77777777" w:rsidR="00EC0180" w:rsidRPr="00F25463" w:rsidRDefault="00EC0180">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5392A21" w14:textId="77777777" w:rsidR="00EC0180" w:rsidRPr="00F25463" w:rsidRDefault="004270F6">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Exemple 3 : </w:t>
      </w:r>
      <w:r w:rsidRPr="00F25463">
        <w:rPr>
          <w:rFonts w:hAnsi="Times New Roman" w:cs="Times New Roman"/>
          <w:sz w:val="22"/>
          <w:szCs w:val="22"/>
        </w:rPr>
        <w:t>Convention européenne des droits de l’homme de 1903 reconnaît le droit des individus. Ceux-ci peuvent déposer une p</w:t>
      </w:r>
      <w:r w:rsidR="00044E7E" w:rsidRPr="00F25463">
        <w:rPr>
          <w:rFonts w:hAnsi="Times New Roman" w:cs="Times New Roman"/>
          <w:sz w:val="22"/>
          <w:szCs w:val="22"/>
        </w:rPr>
        <w:t>l</w:t>
      </w:r>
      <w:r w:rsidRPr="00F25463">
        <w:rPr>
          <w:rFonts w:hAnsi="Times New Roman" w:cs="Times New Roman"/>
          <w:sz w:val="22"/>
          <w:szCs w:val="22"/>
        </w:rPr>
        <w:t>ainte soit à la Commission Européenne ou au Comité des ministres du Conseil de l’Europe (Art. 25 de la Charte)</w:t>
      </w:r>
    </w:p>
    <w:p w14:paraId="4D11E404" w14:textId="77777777" w:rsidR="00EC0180" w:rsidRPr="00F25463" w:rsidRDefault="00EC0180">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26557DA" w14:textId="77777777" w:rsidR="00EC0180" w:rsidRPr="00F25463" w:rsidRDefault="004270F6">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Synonyme de Droit international public : -droit des gens</w:t>
      </w:r>
    </w:p>
    <w:p w14:paraId="44E81D56" w14:textId="77777777" w:rsidR="00EC0180" w:rsidRPr="00F25463" w:rsidRDefault="004270F6">
      <w:pPr>
        <w:pStyle w:val="Retrait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 xml:space="preserve">  -droit des peuples </w:t>
      </w:r>
      <w:proofErr w:type="spellStart"/>
      <w:r w:rsidRPr="00F25463">
        <w:rPr>
          <w:rFonts w:hAnsi="Times New Roman" w:cs="Times New Roman"/>
          <w:sz w:val="22"/>
          <w:szCs w:val="22"/>
        </w:rPr>
        <w:t>justentrium</w:t>
      </w:r>
      <w:proofErr w:type="spellEnd"/>
      <w:r w:rsidRPr="00F25463">
        <w:rPr>
          <w:rFonts w:hAnsi="Times New Roman" w:cs="Times New Roman"/>
          <w:sz w:val="22"/>
          <w:szCs w:val="22"/>
        </w:rPr>
        <w:tab/>
      </w:r>
    </w:p>
    <w:p w14:paraId="17BA4F9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18C74E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46C9C79" w14:textId="77777777" w:rsidR="00EC0180" w:rsidRPr="00F25463" w:rsidRDefault="004270F6" w:rsidP="004270F6">
      <w:pPr>
        <w:numPr>
          <w:ilvl w:val="0"/>
          <w:numId w:val="1"/>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Objet</w:t>
      </w:r>
      <w:r w:rsidR="00044E7E" w:rsidRPr="00F25463">
        <w:rPr>
          <w:rFonts w:hAnsi="Times New Roman" w:cs="Times New Roman"/>
          <w:b/>
          <w:bCs/>
          <w:sz w:val="22"/>
          <w:szCs w:val="22"/>
        </w:rPr>
        <w:t xml:space="preserve"> (</w:t>
      </w:r>
      <w:proofErr w:type="spellStart"/>
      <w:r w:rsidR="00044E7E" w:rsidRPr="00F25463">
        <w:rPr>
          <w:rFonts w:hAnsi="Times New Roman" w:cs="Times New Roman"/>
          <w:b/>
          <w:bCs/>
          <w:sz w:val="22"/>
          <w:szCs w:val="22"/>
        </w:rPr>
        <w:t>Arbour</w:t>
      </w:r>
      <w:proofErr w:type="spellEnd"/>
      <w:r w:rsidR="00044E7E" w:rsidRPr="00F25463">
        <w:rPr>
          <w:rFonts w:hAnsi="Times New Roman" w:cs="Times New Roman"/>
          <w:b/>
          <w:bCs/>
          <w:sz w:val="22"/>
          <w:szCs w:val="22"/>
        </w:rPr>
        <w:t>, p.5)</w:t>
      </w:r>
    </w:p>
    <w:p w14:paraId="35BBCBC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 droit international public régit une infinité de matière faisant l’objet de rapports internationaux quelconques</w:t>
      </w:r>
    </w:p>
    <w:p w14:paraId="0084D0B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247739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 xml:space="preserve">Exemple : </w:t>
      </w:r>
    </w:p>
    <w:p w14:paraId="0A2943E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droit de la paix et de la guerre</w:t>
      </w:r>
    </w:p>
    <w:p w14:paraId="6C1F3CDC"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droit des communications</w:t>
      </w:r>
    </w:p>
    <w:p w14:paraId="056EB51D"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droit de la mer, aviation espace et environnement</w:t>
      </w:r>
    </w:p>
    <w:p w14:paraId="0326D75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droit pénal et les droits de l’homme</w:t>
      </w:r>
    </w:p>
    <w:p w14:paraId="04206BE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droit des relations économiques et financières</w:t>
      </w:r>
    </w:p>
    <w:p w14:paraId="6AD8D02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AB5E7A3" w14:textId="77777777" w:rsidR="00EC0180" w:rsidRPr="00F25463" w:rsidRDefault="004270F6" w:rsidP="004270F6">
      <w:pPr>
        <w:numPr>
          <w:ilvl w:val="0"/>
          <w:numId w:val="1"/>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Droit international public et droit international privé.</w:t>
      </w:r>
      <w:r w:rsidR="00044E7E" w:rsidRPr="00F25463">
        <w:rPr>
          <w:rFonts w:hAnsi="Times New Roman" w:cs="Times New Roman"/>
          <w:b/>
          <w:bCs/>
          <w:sz w:val="22"/>
          <w:szCs w:val="22"/>
        </w:rPr>
        <w:t xml:space="preserve"> (</w:t>
      </w:r>
      <w:proofErr w:type="spellStart"/>
      <w:r w:rsidR="00044E7E" w:rsidRPr="00F25463">
        <w:rPr>
          <w:rFonts w:hAnsi="Times New Roman" w:cs="Times New Roman"/>
          <w:b/>
          <w:bCs/>
          <w:sz w:val="22"/>
          <w:szCs w:val="22"/>
        </w:rPr>
        <w:t>Arbour</w:t>
      </w:r>
      <w:proofErr w:type="spellEnd"/>
      <w:r w:rsidR="00044E7E" w:rsidRPr="00F25463">
        <w:rPr>
          <w:rFonts w:hAnsi="Times New Roman" w:cs="Times New Roman"/>
          <w:b/>
          <w:bCs/>
          <w:sz w:val="22"/>
          <w:szCs w:val="22"/>
        </w:rPr>
        <w:t>, p.4)</w:t>
      </w:r>
    </w:p>
    <w:p w14:paraId="4F84186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u w:val="single"/>
        </w:rPr>
        <w:t>Définition droit international privé</w:t>
      </w:r>
      <w:r w:rsidRPr="00F25463">
        <w:rPr>
          <w:rFonts w:hAnsi="Times New Roman" w:cs="Times New Roman"/>
          <w:sz w:val="22"/>
          <w:szCs w:val="22"/>
        </w:rPr>
        <w:t> : ensemble de règles qui régissent rapports qui implique des personnes privées (particulier, compagnies) dans des pays différent ou une personne et un état dans deux pays différent.</w:t>
      </w:r>
    </w:p>
    <w:p w14:paraId="19AA00F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9F4B94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u w:val="single"/>
        </w:rPr>
        <w:lastRenderedPageBreak/>
        <w:t>Règle droit international privé</w:t>
      </w:r>
      <w:r w:rsidRPr="00F25463">
        <w:rPr>
          <w:rFonts w:hAnsi="Times New Roman" w:cs="Times New Roman"/>
          <w:sz w:val="22"/>
          <w:szCs w:val="22"/>
        </w:rPr>
        <w:t xml:space="preserve"> dit qu’elle règle va s’appliquer (de quel pays) va dire quel droit le tribunal va appliquer. Règle de références</w:t>
      </w:r>
    </w:p>
    <w:p w14:paraId="2C74008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 xml:space="preserve">Exemple : </w:t>
      </w:r>
    </w:p>
    <w:p w14:paraId="794515EE"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la convention de la Haye</w:t>
      </w:r>
    </w:p>
    <w:p w14:paraId="6A6731F6"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proofErr w:type="spellStart"/>
      <w:r w:rsidRPr="00F25463">
        <w:rPr>
          <w:rFonts w:hAnsi="Times New Roman" w:cs="Times New Roman"/>
          <w:sz w:val="22"/>
          <w:szCs w:val="22"/>
        </w:rPr>
        <w:t>Unidroit</w:t>
      </w:r>
      <w:proofErr w:type="spellEnd"/>
      <w:r w:rsidRPr="00F25463">
        <w:rPr>
          <w:rFonts w:hAnsi="Times New Roman" w:cs="Times New Roman"/>
          <w:sz w:val="22"/>
          <w:szCs w:val="22"/>
        </w:rPr>
        <w:t xml:space="preserve"> (institut pour l’uniformisation du droit privé)</w:t>
      </w:r>
    </w:p>
    <w:p w14:paraId="13F496C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proofErr w:type="spellStart"/>
      <w:r w:rsidRPr="00F25463">
        <w:rPr>
          <w:rFonts w:hAnsi="Times New Roman" w:cs="Times New Roman"/>
          <w:sz w:val="22"/>
          <w:szCs w:val="22"/>
        </w:rPr>
        <w:t>Unicitral</w:t>
      </w:r>
      <w:proofErr w:type="spellEnd"/>
      <w:r w:rsidRPr="00F25463">
        <w:rPr>
          <w:rFonts w:hAnsi="Times New Roman" w:cs="Times New Roman"/>
          <w:sz w:val="22"/>
          <w:szCs w:val="22"/>
        </w:rPr>
        <w:t xml:space="preserve"> (uniformisation du droit privé en matière de relations commerciales internationales)</w:t>
      </w:r>
    </w:p>
    <w:p w14:paraId="294996D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72D1060" w14:textId="77777777" w:rsidR="00EC0180" w:rsidRPr="00F25463" w:rsidRDefault="004270F6">
      <w:pPr>
        <w:pStyle w:val="Heading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Comparaison </w:t>
      </w:r>
    </w:p>
    <w:p w14:paraId="66D9EAE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116347A" w14:textId="77777777" w:rsidR="00EC0180" w:rsidRPr="00F25463" w:rsidRDefault="004270F6" w:rsidP="004270F6">
      <w:pPr>
        <w:numPr>
          <w:ilvl w:val="0"/>
          <w:numId w:val="3"/>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sz w:val="22"/>
          <w:szCs w:val="22"/>
        </w:rPr>
      </w:pPr>
      <w:r w:rsidRPr="00F25463">
        <w:rPr>
          <w:rFonts w:hAnsi="Times New Roman" w:cs="Times New Roman"/>
          <w:sz w:val="22"/>
          <w:szCs w:val="22"/>
        </w:rPr>
        <w:t xml:space="preserve">Droit international public : </w:t>
      </w:r>
    </w:p>
    <w:p w14:paraId="5BE816DE"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Ses sujets sont des entités publiques (état)</w:t>
      </w:r>
    </w:p>
    <w:p w14:paraId="71C227B9"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Ses règles sont des règles de fond</w:t>
      </w:r>
    </w:p>
    <w:p w14:paraId="407AE5AF"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Ses règles ne sont pas nécessairement dans le droit interne (peuvent l’être ou non) mais font parties des conventions</w:t>
      </w:r>
    </w:p>
    <w:p w14:paraId="45CA3F9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Exemple : Le Canada peut ratifier un traité et omettre de l’incorporer dans la législation canadienne.</w:t>
      </w:r>
    </w:p>
    <w:p w14:paraId="7AF7707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1A20D1A" w14:textId="77777777" w:rsidR="00EC0180" w:rsidRPr="00F25463" w:rsidRDefault="004270F6" w:rsidP="004270F6">
      <w:pPr>
        <w:numPr>
          <w:ilvl w:val="0"/>
          <w:numId w:val="3"/>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sz w:val="22"/>
          <w:szCs w:val="22"/>
        </w:rPr>
      </w:pPr>
      <w:r w:rsidRPr="00F25463">
        <w:rPr>
          <w:rFonts w:hAnsi="Times New Roman" w:cs="Times New Roman"/>
          <w:sz w:val="22"/>
          <w:szCs w:val="22"/>
        </w:rPr>
        <w:t xml:space="preserve">Droit international privé : </w:t>
      </w:r>
    </w:p>
    <w:p w14:paraId="40DD54C5"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Nécessité d’au moins un particulier dans la relation internationale</w:t>
      </w:r>
    </w:p>
    <w:p w14:paraId="0609D77F"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Ses règles sont des règles de référence.  Elles ne solutionnent pas le problème de fond mais réfère au bon endroit pour la solution</w:t>
      </w:r>
    </w:p>
    <w:p w14:paraId="429CDE7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 xml:space="preserve">Ses règles sont intégrées dans le droit interne (lois) </w:t>
      </w:r>
    </w:p>
    <w:p w14:paraId="170FE92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6F65A9" w14:textId="77777777" w:rsidR="00EC0180" w:rsidRPr="00F25463" w:rsidRDefault="004270F6" w:rsidP="004270F6">
      <w:pPr>
        <w:numPr>
          <w:ilvl w:val="0"/>
          <w:numId w:val="1"/>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Caractéristiques :</w:t>
      </w:r>
    </w:p>
    <w:p w14:paraId="449BF9F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ED1059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La société internationale est constituée par une multiplicité d’États juxtaposés, souverains et égaux, où chacun jouit du triple monopole de la législation, de la juridiction et de la contrainte sur son propre territoire.</w:t>
      </w:r>
    </w:p>
    <w:p w14:paraId="23D1618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32975DC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Cependant, cette souveraineté des États doit composer avec la réalité des choses et reconnaître les exigences élémentaires qui découlent de la simple coexistence. L’interdépendance croissante des peuples et nations révèle des problèmes communs, des exigences communes, et commande des solutions globales à l’échelle planétaire. </w:t>
      </w:r>
    </w:p>
    <w:p w14:paraId="73F6283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457175E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En conclusion, le droit international est l’expression d’un équilibre des États souverains entre le besoin de s’affirmer et la nécessité de cohabiter dans la paix.</w:t>
      </w:r>
    </w:p>
    <w:p w14:paraId="2CC6354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F5D9E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Différences et similarités entre le droit international public et le droit interne.</w:t>
      </w:r>
    </w:p>
    <w:p w14:paraId="54B4495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236EFFE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b/>
      </w:r>
      <w:r w:rsidRPr="00F25463">
        <w:rPr>
          <w:rFonts w:hAnsi="Times New Roman" w:cs="Times New Roman"/>
          <w:sz w:val="22"/>
          <w:szCs w:val="22"/>
        </w:rPr>
        <w:t xml:space="preserve">Dans </w:t>
      </w:r>
      <w:proofErr w:type="gramStart"/>
      <w:r w:rsidRPr="00F25463">
        <w:rPr>
          <w:rFonts w:hAnsi="Times New Roman" w:cs="Times New Roman"/>
          <w:sz w:val="22"/>
          <w:szCs w:val="22"/>
        </w:rPr>
        <w:t>la société international</w:t>
      </w:r>
      <w:proofErr w:type="gramEnd"/>
      <w:r w:rsidRPr="00F25463">
        <w:rPr>
          <w:rFonts w:hAnsi="Times New Roman" w:cs="Times New Roman"/>
          <w:sz w:val="22"/>
          <w:szCs w:val="22"/>
        </w:rPr>
        <w:t>, le pouvoir y est réparti entre les États.  Cette répartition se manifeste en droit  par la souveraineté.</w:t>
      </w:r>
    </w:p>
    <w:p w14:paraId="745B09B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390AD6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40597FC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Caractéristique d’un système juridique interne</w:t>
      </w:r>
      <w:r w:rsidRPr="00F25463">
        <w:rPr>
          <w:rFonts w:hAnsi="Times New Roman" w:cs="Times New Roman"/>
          <w:sz w:val="22"/>
          <w:szCs w:val="22"/>
        </w:rPr>
        <w:t> :</w:t>
      </w:r>
    </w:p>
    <w:p w14:paraId="44876E4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A9D643F" w14:textId="77777777" w:rsidR="00EC0180" w:rsidRPr="00F25463" w:rsidRDefault="004270F6" w:rsidP="004270F6">
      <w:pPr>
        <w:numPr>
          <w:ilvl w:val="0"/>
          <w:numId w:val="4"/>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Tout tourne autour des lois qui sont adopté par un pouvoir législatif</w:t>
      </w:r>
    </w:p>
    <w:p w14:paraId="231B73F2" w14:textId="77777777" w:rsidR="00EC0180" w:rsidRPr="00F25463" w:rsidRDefault="004270F6" w:rsidP="004270F6">
      <w:pPr>
        <w:numPr>
          <w:ilvl w:val="0"/>
          <w:numId w:val="4"/>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ces lois, sont des lois vagues, on les précises en adoptant des règlements par l’autorité administrative </w:t>
      </w:r>
    </w:p>
    <w:p w14:paraId="6F3BC11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26B4F58" w14:textId="77777777" w:rsidR="00EC0180" w:rsidRPr="00F25463" w:rsidRDefault="004270F6" w:rsidP="004270F6">
      <w:pPr>
        <w:numPr>
          <w:ilvl w:val="0"/>
          <w:numId w:val="4"/>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ces lois et règlement sont interprété, appliqué par les tribunaux</w:t>
      </w:r>
    </w:p>
    <w:p w14:paraId="49CFC19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w:t>
      </w:r>
    </w:p>
    <w:p w14:paraId="42431A9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360176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lastRenderedPageBreak/>
        <w:t>Société juridique interne</w:t>
      </w:r>
      <w:r w:rsidRPr="00F25463">
        <w:rPr>
          <w:rFonts w:hAnsi="Times New Roman" w:cs="Times New Roman"/>
          <w:sz w:val="22"/>
          <w:szCs w:val="22"/>
        </w:rPr>
        <w:t> : droit vient de l’État supérieur.</w:t>
      </w:r>
    </w:p>
    <w:p w14:paraId="386EB09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État centrale : impose sa volonté à tous les autres pouvoir dans la société (ex : centralisation de la fonction normative donc certaine cohérence dans les règles, règle hiérarchique)</w:t>
      </w:r>
    </w:p>
    <w:p w14:paraId="097A945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987EA7"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DIP  caractéristique : système juridique international</w:t>
      </w:r>
    </w:p>
    <w:p w14:paraId="7B3FB25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Principale général</w:t>
      </w:r>
      <w:r w:rsidRPr="00F25463">
        <w:rPr>
          <w:rFonts w:hAnsi="Times New Roman" w:cs="Times New Roman"/>
          <w:sz w:val="22"/>
          <w:szCs w:val="22"/>
        </w:rPr>
        <w:t xml:space="preserve"> : l’État </w:t>
      </w:r>
      <w:r w:rsidR="004271F7" w:rsidRPr="00F25463">
        <w:rPr>
          <w:rFonts w:hAnsi="Times New Roman" w:cs="Times New Roman"/>
          <w:sz w:val="22"/>
          <w:szCs w:val="22"/>
        </w:rPr>
        <w:t>sujet sont souverain (pas soumis</w:t>
      </w:r>
      <w:r w:rsidRPr="00F25463">
        <w:rPr>
          <w:rFonts w:hAnsi="Times New Roman" w:cs="Times New Roman"/>
          <w:sz w:val="22"/>
          <w:szCs w:val="22"/>
        </w:rPr>
        <w:t xml:space="preserve"> à aucune autorité supérieur)</w:t>
      </w:r>
    </w:p>
    <w:p w14:paraId="55A9C67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Conséquence</w:t>
      </w:r>
      <w:r w:rsidRPr="00F25463">
        <w:rPr>
          <w:rFonts w:hAnsi="Times New Roman" w:cs="Times New Roman"/>
          <w:sz w:val="22"/>
          <w:szCs w:val="22"/>
        </w:rPr>
        <w:t xml:space="preserve"> : pas de parlement, pas de pouvoir législatif qui légifère pour les États (les États décident </w:t>
      </w:r>
      <w:proofErr w:type="spellStart"/>
      <w:r w:rsidRPr="00F25463">
        <w:rPr>
          <w:rFonts w:hAnsi="Times New Roman" w:cs="Times New Roman"/>
          <w:sz w:val="22"/>
          <w:szCs w:val="22"/>
        </w:rPr>
        <w:t>eux-même</w:t>
      </w:r>
      <w:proofErr w:type="spellEnd"/>
      <w:r w:rsidR="004271F7" w:rsidRPr="00F25463">
        <w:rPr>
          <w:rFonts w:hAnsi="Times New Roman" w:cs="Times New Roman"/>
          <w:sz w:val="22"/>
          <w:szCs w:val="22"/>
        </w:rPr>
        <w:t>,</w:t>
      </w:r>
      <w:r w:rsidRPr="00F25463">
        <w:rPr>
          <w:rFonts w:hAnsi="Times New Roman" w:cs="Times New Roman"/>
          <w:sz w:val="22"/>
          <w:szCs w:val="22"/>
        </w:rPr>
        <w:t xml:space="preserve"> volontairement de créer des lois qui vont limit</w:t>
      </w:r>
      <w:r w:rsidR="004271F7" w:rsidRPr="00F25463">
        <w:rPr>
          <w:rFonts w:hAnsi="Times New Roman" w:cs="Times New Roman"/>
          <w:sz w:val="22"/>
          <w:szCs w:val="22"/>
        </w:rPr>
        <w:t>er</w:t>
      </w:r>
      <w:r w:rsidRPr="00F25463">
        <w:rPr>
          <w:rFonts w:hAnsi="Times New Roman" w:cs="Times New Roman"/>
          <w:sz w:val="22"/>
          <w:szCs w:val="22"/>
        </w:rPr>
        <w:t xml:space="preserve"> leur souveraineté). </w:t>
      </w:r>
    </w:p>
    <w:p w14:paraId="6D2F9DA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6C08C2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3CE794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30F9E5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9395720" w14:textId="77777777" w:rsidR="00EC0180" w:rsidRPr="00F25463" w:rsidRDefault="004270F6">
      <w:pPr>
        <w:pStyle w:val="Heading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Principe fondamental</w:t>
      </w:r>
      <w:r w:rsidR="004271F7" w:rsidRPr="00F25463">
        <w:rPr>
          <w:rFonts w:hAnsi="Times New Roman" w:cs="Times New Roman"/>
          <w:sz w:val="22"/>
          <w:szCs w:val="22"/>
        </w:rPr>
        <w:t xml:space="preserve"> (</w:t>
      </w:r>
      <w:proofErr w:type="spellStart"/>
      <w:r w:rsidR="004271F7" w:rsidRPr="00F25463">
        <w:rPr>
          <w:rFonts w:hAnsi="Times New Roman" w:cs="Times New Roman"/>
          <w:sz w:val="22"/>
          <w:szCs w:val="22"/>
        </w:rPr>
        <w:t>Arbour</w:t>
      </w:r>
      <w:proofErr w:type="spellEnd"/>
      <w:r w:rsidR="004271F7" w:rsidRPr="00F25463">
        <w:rPr>
          <w:rFonts w:hAnsi="Times New Roman" w:cs="Times New Roman"/>
          <w:sz w:val="22"/>
          <w:szCs w:val="22"/>
        </w:rPr>
        <w:t>, p.44)</w:t>
      </w:r>
    </w:p>
    <w:p w14:paraId="07D04E54" w14:textId="77777777" w:rsidR="00EC0180" w:rsidRPr="00F25463" w:rsidRDefault="004270F6" w:rsidP="004270F6">
      <w:pPr>
        <w:numPr>
          <w:ilvl w:val="0"/>
          <w:numId w:val="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État son souverain : sujet + souverain sans autorité supérieur (</w:t>
      </w:r>
      <w:proofErr w:type="spellStart"/>
      <w:r w:rsidRPr="00F25463">
        <w:rPr>
          <w:rFonts w:hAnsi="Times New Roman" w:cs="Times New Roman"/>
          <w:sz w:val="22"/>
          <w:szCs w:val="22"/>
        </w:rPr>
        <w:t>dr.international</w:t>
      </w:r>
      <w:proofErr w:type="spellEnd"/>
      <w:r w:rsidRPr="00F25463">
        <w:rPr>
          <w:rFonts w:hAnsi="Times New Roman" w:cs="Times New Roman"/>
          <w:sz w:val="22"/>
          <w:szCs w:val="22"/>
        </w:rPr>
        <w:t>)</w:t>
      </w:r>
    </w:p>
    <w:p w14:paraId="5D59AEFA" w14:textId="77777777" w:rsidR="00EC0180" w:rsidRPr="00F25463" w:rsidRDefault="004270F6" w:rsidP="004270F6">
      <w:pPr>
        <w:numPr>
          <w:ilvl w:val="0"/>
          <w:numId w:val="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Pas de parlement : crée le droit international : État</w:t>
      </w:r>
    </w:p>
    <w:p w14:paraId="549A8B14" w14:textId="77777777" w:rsidR="00EC0180" w:rsidRPr="00F25463" w:rsidRDefault="004270F6" w:rsidP="004270F6">
      <w:pPr>
        <w:numPr>
          <w:ilvl w:val="0"/>
          <w:numId w:val="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Pas de recourt judiciaire obligatoire contre les États : doivent accepter d’être jugé et de se soumettre à une procédure judiciaire</w:t>
      </w:r>
    </w:p>
    <w:p w14:paraId="47D66B7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7E4741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Ex : A et B pas d’entente sur leur frontière</w:t>
      </w:r>
    </w:p>
    <w:p w14:paraId="624760D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Ils devront signé un traité (accord) et se soumettre à un tribunal international</w:t>
      </w:r>
    </w:p>
    <w:p w14:paraId="675BE07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4ABE26F1" w14:textId="77777777" w:rsidR="00EC0180" w:rsidRPr="00F25463" w:rsidRDefault="004270F6">
      <w:pPr>
        <w:pStyle w:val="Heading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Cour International de justice</w:t>
      </w:r>
    </w:p>
    <w:p w14:paraId="7BE8C7D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p>
    <w:p w14:paraId="2C483AB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b/>
          <w:bCs/>
          <w:sz w:val="22"/>
          <w:szCs w:val="22"/>
        </w:rPr>
        <w:t xml:space="preserve">Art. 36 al. 2 : </w:t>
      </w:r>
      <w:r w:rsidRPr="00F25463">
        <w:rPr>
          <w:rFonts w:hAnsi="Times New Roman" w:cs="Times New Roman"/>
          <w:sz w:val="22"/>
          <w:szCs w:val="22"/>
        </w:rPr>
        <w:t>permet à l’état à l’avance d’accepter la juridiction de la compétence obligatoire de la cour avec un deuxième état</w:t>
      </w:r>
    </w:p>
    <w:p w14:paraId="6A0202D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p>
    <w:p w14:paraId="6A346D1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b/>
          <w:bCs/>
          <w:sz w:val="22"/>
          <w:szCs w:val="22"/>
        </w:rPr>
        <w:t>Art 36 al. 1</w:t>
      </w:r>
      <w:r w:rsidRPr="00F25463">
        <w:rPr>
          <w:rFonts w:hAnsi="Times New Roman" w:cs="Times New Roman"/>
          <w:sz w:val="22"/>
          <w:szCs w:val="22"/>
        </w:rPr>
        <w:t xml:space="preserve"> : seul moyen s’il n’y a pas d’acceptation entre les deux états par rapport à la juridiction, c’Est un compromis pour enfin le </w:t>
      </w:r>
      <w:proofErr w:type="spellStart"/>
      <w:r w:rsidRPr="00F25463">
        <w:rPr>
          <w:rFonts w:hAnsi="Times New Roman" w:cs="Times New Roman"/>
          <w:sz w:val="22"/>
          <w:szCs w:val="22"/>
        </w:rPr>
        <w:t>remttre</w:t>
      </w:r>
      <w:proofErr w:type="spellEnd"/>
      <w:r w:rsidRPr="00F25463">
        <w:rPr>
          <w:rFonts w:hAnsi="Times New Roman" w:cs="Times New Roman"/>
          <w:sz w:val="22"/>
          <w:szCs w:val="22"/>
        </w:rPr>
        <w:t xml:space="preserve"> à la cour international de justice</w:t>
      </w:r>
    </w:p>
    <w:p w14:paraId="784ADE6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B4312B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 seulement 66 états peuvent accepter ou </w:t>
      </w:r>
      <w:proofErr w:type="spellStart"/>
      <w:r w:rsidRPr="00F25463">
        <w:rPr>
          <w:rFonts w:hAnsi="Times New Roman" w:cs="Times New Roman"/>
          <w:sz w:val="22"/>
          <w:szCs w:val="22"/>
        </w:rPr>
        <w:t>reffuser</w:t>
      </w:r>
      <w:proofErr w:type="spellEnd"/>
      <w:r w:rsidRPr="00F25463">
        <w:rPr>
          <w:rFonts w:hAnsi="Times New Roman" w:cs="Times New Roman"/>
          <w:sz w:val="22"/>
          <w:szCs w:val="22"/>
        </w:rPr>
        <w:t xml:space="preserve"> n’importe quand sa juridiction de la cour international de </w:t>
      </w:r>
      <w:proofErr w:type="spellStart"/>
      <w:r w:rsidRPr="00F25463">
        <w:rPr>
          <w:rFonts w:hAnsi="Times New Roman" w:cs="Times New Roman"/>
          <w:sz w:val="22"/>
          <w:szCs w:val="22"/>
        </w:rPr>
        <w:t>justeive</w:t>
      </w:r>
      <w:proofErr w:type="spellEnd"/>
      <w:r w:rsidRPr="00F25463">
        <w:rPr>
          <w:rFonts w:hAnsi="Times New Roman" w:cs="Times New Roman"/>
          <w:sz w:val="22"/>
          <w:szCs w:val="22"/>
        </w:rPr>
        <w:t xml:space="preserve"> </w:t>
      </w:r>
      <w:proofErr w:type="gramStart"/>
      <w:r w:rsidRPr="00F25463">
        <w:rPr>
          <w:rFonts w:hAnsi="Times New Roman" w:cs="Times New Roman"/>
          <w:sz w:val="22"/>
          <w:szCs w:val="22"/>
        </w:rPr>
        <w:t>( tout</w:t>
      </w:r>
      <w:proofErr w:type="gramEnd"/>
      <w:r w:rsidRPr="00F25463">
        <w:rPr>
          <w:rFonts w:hAnsi="Times New Roman" w:cs="Times New Roman"/>
          <w:sz w:val="22"/>
          <w:szCs w:val="22"/>
        </w:rPr>
        <w:t xml:space="preserve"> en respectant le devoir de donner un préavis et en le faisant dans un délai raisonnable. </w:t>
      </w:r>
    </w:p>
    <w:p w14:paraId="07312B7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r>
    </w:p>
    <w:p w14:paraId="045DC80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La Cour international justice (PJI)</w:t>
      </w:r>
    </w:p>
    <w:p w14:paraId="1CD087A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r w:rsidRPr="00F25463">
        <w:rPr>
          <w:rFonts w:hAnsi="Times New Roman" w:cs="Times New Roman"/>
          <w:sz w:val="22"/>
          <w:szCs w:val="22"/>
        </w:rPr>
        <w:t xml:space="preserve">-15 membres élu pour 9 ans par l’Assemblée générale et le Statut de  </w:t>
      </w:r>
    </w:p>
    <w:p w14:paraId="06F1890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sécurité</w:t>
      </w:r>
      <w:proofErr w:type="gramEnd"/>
    </w:p>
    <w:p w14:paraId="7B21DC0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r w:rsidRPr="00F25463">
        <w:rPr>
          <w:rFonts w:hAnsi="Times New Roman" w:cs="Times New Roman"/>
          <w:sz w:val="22"/>
          <w:szCs w:val="22"/>
        </w:rPr>
        <w:t>-l’organe judiciaire primordial au niveau international</w:t>
      </w:r>
    </w:p>
    <w:p w14:paraId="5D03E61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tbl>
      <w:tblPr>
        <w:tblStyle w:val="TableNormal1"/>
        <w:tblW w:w="8145"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145"/>
      </w:tblGrid>
      <w:tr w:rsidR="00EC0180" w:rsidRPr="00F25463" w14:paraId="07B12355" w14:textId="77777777">
        <w:trPr>
          <w:trHeight w:val="410"/>
        </w:trPr>
        <w:tc>
          <w:tcPr>
            <w:tcW w:w="8145"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799FEF6D" w14:textId="28D0FDBA" w:rsidR="00EC0180" w:rsidRPr="00F25463" w:rsidRDefault="00FF1DAB">
            <w:pPr>
              <w:pStyle w:val="FreeForm"/>
              <w:keepNex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pPr>
            <w:r>
              <w:rPr>
                <w:b/>
                <w:bCs/>
                <w:sz w:val="22"/>
                <w:szCs w:val="22"/>
                <w:lang w:val="fr-FR"/>
              </w:rPr>
              <w:t>Cour 3, le 11 janvier</w:t>
            </w:r>
          </w:p>
        </w:tc>
      </w:tr>
    </w:tbl>
    <w:p w14:paraId="31A53BBD" w14:textId="77777777" w:rsidR="00EC0180" w:rsidRPr="00F25463" w:rsidRDefault="00EC0180">
      <w:pPr>
        <w:pStyle w:val="FreeForm"/>
        <w:ind w:left="108"/>
        <w:rPr>
          <w:sz w:val="22"/>
          <w:szCs w:val="22"/>
        </w:rPr>
      </w:pPr>
    </w:p>
    <w:p w14:paraId="2AF17C8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83"/>
        <w:rPr>
          <w:rFonts w:hAnsi="Times New Roman" w:cs="Times New Roman"/>
          <w:sz w:val="22"/>
          <w:szCs w:val="22"/>
        </w:rPr>
      </w:pPr>
    </w:p>
    <w:p w14:paraId="0D442496" w14:textId="77777777" w:rsidR="00CD34D4" w:rsidRPr="00F25463" w:rsidRDefault="00CD34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83"/>
        <w:rPr>
          <w:rFonts w:hAnsi="Times New Roman" w:cs="Times New Roman"/>
          <w:b/>
          <w:szCs w:val="22"/>
          <w:u w:val="single"/>
        </w:rPr>
      </w:pPr>
      <w:r w:rsidRPr="00F25463">
        <w:rPr>
          <w:rFonts w:hAnsi="Times New Roman" w:cs="Times New Roman"/>
          <w:b/>
          <w:szCs w:val="22"/>
          <w:u w:val="single"/>
        </w:rPr>
        <w:t>Interdiction du recours à la force dans les relations internationales : (</w:t>
      </w:r>
      <w:proofErr w:type="spellStart"/>
      <w:r w:rsidRPr="00F25463">
        <w:rPr>
          <w:rFonts w:hAnsi="Times New Roman" w:cs="Times New Roman"/>
          <w:b/>
          <w:szCs w:val="22"/>
          <w:u w:val="single"/>
        </w:rPr>
        <w:t>Arbour</w:t>
      </w:r>
      <w:proofErr w:type="spellEnd"/>
      <w:r w:rsidRPr="00F25463">
        <w:rPr>
          <w:rFonts w:hAnsi="Times New Roman" w:cs="Times New Roman"/>
          <w:b/>
          <w:szCs w:val="22"/>
          <w:u w:val="single"/>
        </w:rPr>
        <w:t>, p.650)</w:t>
      </w:r>
    </w:p>
    <w:p w14:paraId="0A3C4F89" w14:textId="77777777" w:rsidR="00CD34D4" w:rsidRPr="00F25463" w:rsidRDefault="00CD34D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83"/>
        <w:rPr>
          <w:rFonts w:hAnsi="Times New Roman" w:cs="Times New Roman"/>
          <w:b/>
          <w:szCs w:val="22"/>
          <w:u w:val="single"/>
        </w:rPr>
      </w:pPr>
    </w:p>
    <w:p w14:paraId="46C3E15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3A94EC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-Il n’y as de police en droit international</w:t>
      </w:r>
    </w:p>
    <w:p w14:paraId="7140FA2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-Il n’y a aucune sanction comme telle qui est appliquée</w:t>
      </w:r>
    </w:p>
    <w:p w14:paraId="64C937F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-Les tribunaux ne sont pas obligatoires</w:t>
      </w:r>
    </w:p>
    <w:p w14:paraId="167475A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0CD2D56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Dans qu’elle mesure l’Assemblée général ainsi que le Conseil de sécurité peuvent-il être </w:t>
      </w:r>
      <w:proofErr w:type="spellStart"/>
      <w:r w:rsidRPr="00F25463">
        <w:rPr>
          <w:rFonts w:hAnsi="Times New Roman" w:cs="Times New Roman"/>
          <w:sz w:val="22"/>
          <w:szCs w:val="22"/>
        </w:rPr>
        <w:t>concidérés</w:t>
      </w:r>
      <w:proofErr w:type="spellEnd"/>
      <w:r w:rsidRPr="00F25463">
        <w:rPr>
          <w:rFonts w:hAnsi="Times New Roman" w:cs="Times New Roman"/>
          <w:sz w:val="22"/>
          <w:szCs w:val="22"/>
        </w:rPr>
        <w:t xml:space="preserve"> similaires à une police interne ?</w:t>
      </w:r>
    </w:p>
    <w:p w14:paraId="0F5261D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67FFAC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Le Conseil de sécurité : création après la Deuxième Guerre mondial.</w:t>
      </w:r>
    </w:p>
    <w:p w14:paraId="56C55CD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b/>
          <w:bCs/>
          <w:sz w:val="22"/>
          <w:szCs w:val="22"/>
        </w:rPr>
        <w:lastRenderedPageBreak/>
        <w:t xml:space="preserve">Art. 7 Charte des Nations Unies: </w:t>
      </w:r>
      <w:r w:rsidRPr="00F25463">
        <w:rPr>
          <w:rFonts w:hAnsi="Times New Roman" w:cs="Times New Roman"/>
          <w:sz w:val="22"/>
          <w:szCs w:val="22"/>
        </w:rPr>
        <w:t>organe principale de l’O.N.U.</w:t>
      </w:r>
    </w:p>
    <w:p w14:paraId="6C86AFA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060E02A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Art 23 Charte des Nations Unis :</w:t>
      </w:r>
      <w:r w:rsidRPr="00F25463">
        <w:rPr>
          <w:rFonts w:hAnsi="Times New Roman" w:cs="Times New Roman"/>
          <w:sz w:val="22"/>
          <w:szCs w:val="22"/>
        </w:rPr>
        <w:t xml:space="preserve"> le conseil de Sécurité est composé de 5 membres permanents (Chine, USA, France, Russie et E.U. donc les gagnants de la Guerre) et de 10 autres membres élus pour un mandat de 2 ans. Ils ne sont pas automatiquement </w:t>
      </w:r>
      <w:proofErr w:type="gramStart"/>
      <w:r w:rsidRPr="00F25463">
        <w:rPr>
          <w:rFonts w:hAnsi="Times New Roman" w:cs="Times New Roman"/>
          <w:sz w:val="22"/>
          <w:szCs w:val="22"/>
        </w:rPr>
        <w:t>éligible .</w:t>
      </w:r>
      <w:proofErr w:type="gramEnd"/>
      <w:r w:rsidRPr="00F25463">
        <w:rPr>
          <w:rFonts w:hAnsi="Times New Roman" w:cs="Times New Roman"/>
          <w:sz w:val="22"/>
          <w:szCs w:val="22"/>
        </w:rPr>
        <w:t xml:space="preserve">  Chaque État membre à un représentant au conseil.</w:t>
      </w:r>
    </w:p>
    <w:p w14:paraId="62875CF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u w:val="single"/>
        </w:rPr>
      </w:pPr>
    </w:p>
    <w:p w14:paraId="7E0622F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u w:val="single"/>
        </w:rPr>
      </w:pPr>
      <w:r w:rsidRPr="00F25463">
        <w:rPr>
          <w:rFonts w:hAnsi="Times New Roman" w:cs="Times New Roman"/>
          <w:sz w:val="22"/>
          <w:szCs w:val="22"/>
          <w:u w:val="single"/>
        </w:rPr>
        <w:t>En vertu de la Charte des N.U, le Conseil de Sécurité a certains pouvoirs :</w:t>
      </w:r>
    </w:p>
    <w:p w14:paraId="4C78DA5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535C14E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Art 39-42 :</w:t>
      </w:r>
      <w:r w:rsidRPr="00F25463">
        <w:rPr>
          <w:rFonts w:hAnsi="Times New Roman" w:cs="Times New Roman"/>
          <w:sz w:val="22"/>
          <w:szCs w:val="22"/>
        </w:rPr>
        <w:t xml:space="preserve"> En vertu de ces 2 articles, le conseil de sécurité à le pouvoir de décider d’envoyer des forces armées pour maintenir la paix sur un territoire même sans son consentement. </w:t>
      </w:r>
    </w:p>
    <w:p w14:paraId="0E9A42E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F0543C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 xml:space="preserve">Art 43 : </w:t>
      </w:r>
      <w:r w:rsidRPr="00F25463">
        <w:rPr>
          <w:rFonts w:hAnsi="Times New Roman" w:cs="Times New Roman"/>
          <w:sz w:val="22"/>
          <w:szCs w:val="22"/>
        </w:rPr>
        <w:t xml:space="preserve">Aux fin des art 39 et 42, cet article prévoit une obligation pour les États membres de l’ONU de se mettre à la disposition du Conseil de sécurité, par voie d’accords donné à l’avance mais qui n’ont jamais été signé ou consentis, des forces armées visant à assurer le maintien de la paix et de la sécurité international.  Ces forces armées seraient permanentes des Nations-Unies.  </w:t>
      </w:r>
    </w:p>
    <w:p w14:paraId="1805008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12F31F5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 xml:space="preserve">Art 47 : </w:t>
      </w:r>
      <w:r w:rsidRPr="00F25463">
        <w:rPr>
          <w:rFonts w:hAnsi="Times New Roman" w:cs="Times New Roman"/>
          <w:sz w:val="22"/>
          <w:szCs w:val="22"/>
        </w:rPr>
        <w:t>De plus, cet article crée un comité d’État-Major composé des chefs d’État-major, des membres permanents du conseil de Sécurité et des membres des N.U. dont la participation s’avère nécessaire au bon fonctionnement et au contrôle de ce comité.  Ce comité a pour mission d’aviser le conseil sur les moyens d’ordre militaire nécessaire pour maintenir la paix internationale.</w:t>
      </w:r>
    </w:p>
    <w:p w14:paraId="1405A7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3806AF8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***En pratique, les tensions politiques est-ouest (ex : la Guerre froide) ont rendu impossible la création du comité d’État-major prévu à l’art 47 CNU.  De même, les accords prévus à art 43 sur l’obligation de mettre des forces armées à la disposition du Conseil n’ont jamais été conclu. Ainsi, l’établissement d’une force permanente n’a jamais pu se réaliser.</w:t>
      </w:r>
    </w:p>
    <w:p w14:paraId="7388450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DCDE55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 xml:space="preserve">Dans certain cas, l’ONU a donné le feu vert aux USA pour intervenir </w:t>
      </w:r>
    </w:p>
    <w:p w14:paraId="6EE4A19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ab/>
        <w:t>Ex : Irak (1991), Corée du Nord (1950)</w:t>
      </w:r>
    </w:p>
    <w:p w14:paraId="5418B76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53420E8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Exemple</w:t>
      </w:r>
      <w:r w:rsidRPr="00F25463">
        <w:rPr>
          <w:rFonts w:hAnsi="Times New Roman" w:cs="Times New Roman"/>
          <w:sz w:val="22"/>
          <w:szCs w:val="22"/>
        </w:rPr>
        <w:t> : La Corée du Nord envahie la Corée du Sud en 1950 : le Conseil de sécurité agit mais pas entièrement selon ces deux conditions. Il y a détournement des articles parc</w:t>
      </w:r>
      <w:r w:rsidR="00FB62AB" w:rsidRPr="00F25463">
        <w:rPr>
          <w:rFonts w:hAnsi="Times New Roman" w:cs="Times New Roman"/>
          <w:sz w:val="22"/>
          <w:szCs w:val="22"/>
        </w:rPr>
        <w:t xml:space="preserve">e </w:t>
      </w:r>
      <w:r w:rsidRPr="00F25463">
        <w:rPr>
          <w:rFonts w:hAnsi="Times New Roman" w:cs="Times New Roman"/>
          <w:sz w:val="22"/>
          <w:szCs w:val="22"/>
        </w:rPr>
        <w:t xml:space="preserve">qu’il n’y avait pas de forces permanentes. Il y avait recommandation pour de l’aide incluant des forces militaires pour repousser la Corée du Nord. 16 membres ont répondu sous l’ordre des Etats-Unis parce que le </w:t>
      </w:r>
      <w:proofErr w:type="spellStart"/>
      <w:r w:rsidRPr="00F25463">
        <w:rPr>
          <w:rFonts w:hAnsi="Times New Roman" w:cs="Times New Roman"/>
          <w:sz w:val="22"/>
          <w:szCs w:val="22"/>
        </w:rPr>
        <w:t>Sonseil</w:t>
      </w:r>
      <w:proofErr w:type="spellEnd"/>
      <w:r w:rsidRPr="00F25463">
        <w:rPr>
          <w:rFonts w:hAnsi="Times New Roman" w:cs="Times New Roman"/>
          <w:sz w:val="22"/>
          <w:szCs w:val="22"/>
        </w:rPr>
        <w:t xml:space="preserve"> de Sécurité n’avait pas le pouvoir d’agir  parce que les conditions de l’Art. 43 n’étaient pas remplis. </w:t>
      </w:r>
    </w:p>
    <w:p w14:paraId="2834AF9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0840ACB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342F9EA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21E7791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 xml:space="preserve">***critique de la crédibilité du Conseil de sécurité parce que les Etats-Unis agit comme son bras droit. Donc si les Etats-Unis accepte, le Conseil de </w:t>
      </w:r>
      <w:proofErr w:type="gramStart"/>
      <w:r w:rsidRPr="00F25463">
        <w:rPr>
          <w:rFonts w:hAnsi="Times New Roman" w:cs="Times New Roman"/>
          <w:sz w:val="22"/>
          <w:szCs w:val="22"/>
        </w:rPr>
        <w:t>sécurité  devra</w:t>
      </w:r>
      <w:proofErr w:type="gramEnd"/>
      <w:r w:rsidRPr="00F25463">
        <w:rPr>
          <w:rFonts w:hAnsi="Times New Roman" w:cs="Times New Roman"/>
          <w:sz w:val="22"/>
          <w:szCs w:val="22"/>
        </w:rPr>
        <w:t xml:space="preserve"> négocier avec les autres membres et les Etats-Unis ne pourra plus diriger lui-même de façon unilatéral</w:t>
      </w:r>
    </w:p>
    <w:p w14:paraId="481E29B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8327B8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Les forces dépêchées par l’ONU et les membres ne peuvent utiliser la force que pour la légitime défense.</w:t>
      </w:r>
    </w:p>
    <w:p w14:paraId="53BA29D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ab/>
        <w:t>Exception : Congo (1960), Irak (1991)</w:t>
      </w:r>
    </w:p>
    <w:p w14:paraId="27E4B6C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0C44288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Synthèse des pouvoirs du conseil de sécurité :</w:t>
      </w:r>
    </w:p>
    <w:p w14:paraId="2DD302F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13262569" w14:textId="77777777" w:rsidR="00EC0180" w:rsidRPr="00F25463" w:rsidRDefault="004270F6" w:rsidP="004270F6">
      <w:pPr>
        <w:numPr>
          <w:ilvl w:val="2"/>
          <w:numId w:val="6"/>
        </w:numPr>
        <w:tabs>
          <w:tab w:val="clear" w:pos="1050"/>
          <w:tab w:val="num" w:pos="1080"/>
          <w:tab w:val="left" w:pos="2688"/>
          <w:tab w:val="left" w:pos="2832"/>
          <w:tab w:val="left" w:pos="3540"/>
          <w:tab w:val="left" w:pos="4248"/>
          <w:tab w:val="left" w:pos="4956"/>
          <w:tab w:val="left" w:pos="5664"/>
          <w:tab w:val="left" w:pos="6372"/>
          <w:tab w:val="left" w:pos="7080"/>
          <w:tab w:val="left" w:pos="7788"/>
          <w:tab w:val="left" w:pos="8496"/>
          <w:tab w:val="left" w:pos="9204"/>
          <w:tab w:val="left" w:pos="9472"/>
        </w:tabs>
        <w:ind w:left="1080" w:hanging="360"/>
        <w:jc w:val="both"/>
        <w:rPr>
          <w:rFonts w:hAnsi="Times New Roman" w:cs="Times New Roman"/>
          <w:b/>
          <w:bCs/>
          <w:sz w:val="22"/>
          <w:szCs w:val="22"/>
        </w:rPr>
      </w:pPr>
      <w:r w:rsidRPr="00F25463">
        <w:rPr>
          <w:rFonts w:hAnsi="Times New Roman" w:cs="Times New Roman"/>
          <w:b/>
          <w:bCs/>
          <w:sz w:val="22"/>
          <w:szCs w:val="22"/>
        </w:rPr>
        <w:t>Pouvoir de Décision</w:t>
      </w:r>
    </w:p>
    <w:p w14:paraId="3975F8E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7DDA5B8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b/>
          <w:bCs/>
          <w:sz w:val="22"/>
          <w:szCs w:val="22"/>
        </w:rPr>
        <w:t>Art 39 et 42 :</w:t>
      </w:r>
      <w:r w:rsidRPr="00F25463">
        <w:rPr>
          <w:rFonts w:hAnsi="Times New Roman" w:cs="Times New Roman"/>
          <w:sz w:val="22"/>
          <w:szCs w:val="22"/>
        </w:rPr>
        <w:t xml:space="preserve"> Il peut décider d’envoyer, SANS le consentement de l’État visé, des forces armées pour établir la paix. </w:t>
      </w:r>
    </w:p>
    <w:p w14:paraId="3CF6514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5099587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b/>
          <w:bCs/>
          <w:sz w:val="22"/>
          <w:szCs w:val="22"/>
        </w:rPr>
        <w:t>Art 39 et 41</w:t>
      </w:r>
      <w:r w:rsidRPr="00F25463">
        <w:rPr>
          <w:rFonts w:hAnsi="Times New Roman" w:cs="Times New Roman"/>
          <w:sz w:val="22"/>
          <w:szCs w:val="22"/>
        </w:rPr>
        <w:t xml:space="preserve"> : Il peut décider d’adopter des sanctions économiques et/ou politiques dans le but de rétablir la paix contre un état. </w:t>
      </w:r>
    </w:p>
    <w:p w14:paraId="25E41CE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lastRenderedPageBreak/>
        <w:tab/>
        <w:t>Ex : résolution 660 prise contre l’Irak.</w:t>
      </w:r>
    </w:p>
    <w:p w14:paraId="3B36C3C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3F01AA0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 xml:space="preserve">Il semble que le Canada veuille souffler l’application de l’art 43 et 47 pour l’envoie de force armée mais que les </w:t>
      </w:r>
      <w:proofErr w:type="spellStart"/>
      <w:r w:rsidRPr="00F25463">
        <w:rPr>
          <w:rFonts w:hAnsi="Times New Roman" w:cs="Times New Roman"/>
          <w:sz w:val="22"/>
          <w:szCs w:val="22"/>
        </w:rPr>
        <w:t>États-Unions</w:t>
      </w:r>
      <w:proofErr w:type="spellEnd"/>
      <w:r w:rsidRPr="00F25463">
        <w:rPr>
          <w:rFonts w:hAnsi="Times New Roman" w:cs="Times New Roman"/>
          <w:sz w:val="22"/>
          <w:szCs w:val="22"/>
        </w:rPr>
        <w:t xml:space="preserve"> veulent pas.</w:t>
      </w:r>
    </w:p>
    <w:p w14:paraId="3DE45DE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7CF349D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b/>
          <w:bCs/>
          <w:sz w:val="22"/>
          <w:szCs w:val="22"/>
        </w:rPr>
        <w:t>Art. 44 al. 2</w:t>
      </w:r>
      <w:r w:rsidRPr="00F25463">
        <w:rPr>
          <w:rFonts w:hAnsi="Times New Roman" w:cs="Times New Roman"/>
          <w:sz w:val="22"/>
          <w:szCs w:val="22"/>
        </w:rPr>
        <w:t xml:space="preserve"> : il peut décider de prendre des mesures afin de respecter les décisions de la Cour international de Justice </w:t>
      </w:r>
    </w:p>
    <w:p w14:paraId="1C63F48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41A7AC0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b/>
          <w:bCs/>
          <w:sz w:val="22"/>
          <w:szCs w:val="22"/>
        </w:rPr>
        <w:t>Art. 25</w:t>
      </w:r>
      <w:r w:rsidRPr="00F25463">
        <w:rPr>
          <w:rFonts w:hAnsi="Times New Roman" w:cs="Times New Roman"/>
          <w:sz w:val="22"/>
          <w:szCs w:val="22"/>
        </w:rPr>
        <w:t> : les membres des Nations-Unis doivent appliquer les décisions pris par le Conseil sinon il peut y avoir expulsion</w:t>
      </w:r>
    </w:p>
    <w:p w14:paraId="587FD7C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3B86709F"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 xml:space="preserve">Art 94(2) : </w:t>
      </w:r>
      <w:r w:rsidRPr="00F25463">
        <w:rPr>
          <w:rFonts w:hAnsi="Times New Roman" w:cs="Times New Roman"/>
          <w:sz w:val="22"/>
          <w:szCs w:val="22"/>
        </w:rPr>
        <w:t>Il peut décider des mesures à prendre pour faire exécuter un arrêt rendu par la Cour International de Justice.</w:t>
      </w:r>
    </w:p>
    <w:p w14:paraId="2F9B507D"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746BA53F"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Art 41 et 94(2)</w:t>
      </w:r>
      <w:r w:rsidRPr="00F25463">
        <w:rPr>
          <w:rFonts w:hAnsi="Times New Roman" w:cs="Times New Roman"/>
          <w:sz w:val="22"/>
          <w:szCs w:val="22"/>
        </w:rPr>
        <w:t> : Dans les cas de ces deux articles, les décisions du Conseil sont obligatoires pour les membres de l’ONU en vertu de l’art 25.</w:t>
      </w:r>
    </w:p>
    <w:p w14:paraId="60AF59EC"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42198C46"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Art 6</w:t>
      </w:r>
      <w:r w:rsidRPr="00F25463">
        <w:rPr>
          <w:rFonts w:hAnsi="Times New Roman" w:cs="Times New Roman"/>
          <w:sz w:val="22"/>
          <w:szCs w:val="22"/>
        </w:rPr>
        <w:t> : Cet article permet au Conseil de recommander l’expulsion par l’Assemblée Générale de l’État qui ne se conformerait pas à l’une de ces décisions obligatoires.  C’est une sanction à l’art 25.  Par contre, cet article n’est pas mis en œuvre car on juge prudent de garder un État dans les Nations que de l’en expulser.</w:t>
      </w:r>
    </w:p>
    <w:p w14:paraId="69273597"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 Cet article n’est jamais mis en œuvre pour une question de prudence.</w:t>
      </w:r>
    </w:p>
    <w:p w14:paraId="203FCBBB"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4A7791A9"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Art 27(3)</w:t>
      </w:r>
      <w:r w:rsidRPr="00F25463">
        <w:rPr>
          <w:rFonts w:hAnsi="Times New Roman" w:cs="Times New Roman"/>
          <w:sz w:val="22"/>
          <w:szCs w:val="22"/>
        </w:rPr>
        <w:t> : Ces pouvoirs de décision du Conseil sont limités par art 27(3) car les décisions de Conseil sur des questions autres que procédurales doivent être prises par un vote majoritaire de 9/15, incluant le vote positif des membres permanents.  Les permanents ont également un droit de veto.  Cependant, l’abstention de l’un de ces membres n’équivaut pas à un vote négatif (coutume).</w:t>
      </w:r>
    </w:p>
    <w:p w14:paraId="681BDA3B"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F900179"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840"/>
        <w:jc w:val="both"/>
        <w:rPr>
          <w:rFonts w:hAnsi="Times New Roman" w:cs="Times New Roman"/>
          <w:b/>
          <w:bCs/>
          <w:sz w:val="22"/>
          <w:szCs w:val="22"/>
        </w:rPr>
      </w:pPr>
      <w:r w:rsidRPr="00F25463">
        <w:rPr>
          <w:rFonts w:hAnsi="Times New Roman" w:cs="Times New Roman"/>
          <w:sz w:val="22"/>
          <w:szCs w:val="22"/>
        </w:rPr>
        <w:t xml:space="preserve">2. </w:t>
      </w: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b/>
          <w:bCs/>
          <w:sz w:val="22"/>
          <w:szCs w:val="22"/>
        </w:rPr>
        <w:t>Pouvoir de Recommandation</w:t>
      </w:r>
    </w:p>
    <w:p w14:paraId="229531FC"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840"/>
        <w:jc w:val="both"/>
        <w:rPr>
          <w:rFonts w:hAnsi="Times New Roman" w:cs="Times New Roman"/>
          <w:sz w:val="22"/>
          <w:szCs w:val="22"/>
        </w:rPr>
      </w:pPr>
    </w:p>
    <w:p w14:paraId="50AB5EC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84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b/>
          <w:bCs/>
          <w:sz w:val="22"/>
          <w:szCs w:val="22"/>
        </w:rPr>
        <w:t>Art 38-39</w:t>
      </w:r>
      <w:r w:rsidRPr="00F25463">
        <w:rPr>
          <w:rFonts w:hAnsi="Times New Roman" w:cs="Times New Roman"/>
          <w:sz w:val="22"/>
          <w:szCs w:val="22"/>
        </w:rPr>
        <w:t xml:space="preserve"> : Il peut recommander l’envoi de forces armées avec le consentement de l’État visé dans le but de maintenir ou rétablir la paix. </w:t>
      </w:r>
    </w:p>
    <w:p w14:paraId="595F9DAE"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84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Ex : Chypre (1964), Liban (1968)</w:t>
      </w:r>
    </w:p>
    <w:p w14:paraId="44310E8D"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hanging="840"/>
        <w:jc w:val="both"/>
        <w:rPr>
          <w:rFonts w:hAnsi="Times New Roman" w:cs="Times New Roman"/>
          <w:sz w:val="22"/>
          <w:szCs w:val="22"/>
        </w:rPr>
      </w:pPr>
      <w:r w:rsidRPr="00F25463">
        <w:rPr>
          <w:rFonts w:hAnsi="Times New Roman" w:cs="Times New Roman"/>
          <w:sz w:val="22"/>
          <w:szCs w:val="22"/>
        </w:rPr>
        <w:tab/>
        <w:t>Ex2 : casque bleu ont le droit d’utiliser la force uniquement en cas de légitime défense.</w:t>
      </w:r>
    </w:p>
    <w:p w14:paraId="2908181B"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36919854" w14:textId="77777777" w:rsidR="00EC0180" w:rsidRPr="00F25463" w:rsidRDefault="004270F6" w:rsidP="004270F6">
      <w:pPr>
        <w:numPr>
          <w:ilvl w:val="0"/>
          <w:numId w:val="7"/>
        </w:numPr>
        <w:tabs>
          <w:tab w:val="clear" w:pos="1770"/>
          <w:tab w:val="num"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r w:rsidRPr="00F25463">
        <w:rPr>
          <w:rFonts w:hAnsi="Times New Roman" w:cs="Times New Roman"/>
          <w:sz w:val="22"/>
          <w:szCs w:val="22"/>
        </w:rPr>
        <w:t>traditionnellement : seulement utilisé pour se défendre et pour arrêter la guerre</w:t>
      </w:r>
    </w:p>
    <w:p w14:paraId="0A8DA42A" w14:textId="77777777" w:rsidR="00EC0180" w:rsidRPr="00F25463" w:rsidRDefault="004270F6" w:rsidP="004270F6">
      <w:pPr>
        <w:numPr>
          <w:ilvl w:val="0"/>
          <w:numId w:val="7"/>
        </w:numPr>
        <w:tabs>
          <w:tab w:val="clear" w:pos="1770"/>
          <w:tab w:val="num"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r w:rsidRPr="00F25463">
        <w:rPr>
          <w:rFonts w:hAnsi="Times New Roman" w:cs="Times New Roman"/>
          <w:sz w:val="22"/>
          <w:szCs w:val="22"/>
        </w:rPr>
        <w:t>maintenant : ils peuvent se battre afin d’apporter une aide humanitaire tout en respectant le mandat du Conseil de sécurité</w:t>
      </w:r>
    </w:p>
    <w:p w14:paraId="76DF83F8"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 xml:space="preserve">  Ex : Congo en 1960</w:t>
      </w:r>
    </w:p>
    <w:p w14:paraId="77D6C171"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04C8121A"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Art 36-37</w:t>
      </w:r>
      <w:r w:rsidRPr="00F25463">
        <w:rPr>
          <w:rFonts w:hAnsi="Times New Roman" w:cs="Times New Roman"/>
          <w:sz w:val="22"/>
          <w:szCs w:val="22"/>
        </w:rPr>
        <w:t> : Il peut recommander l’adoption de sanctions économiques et politiques pour établir la paix</w:t>
      </w:r>
    </w:p>
    <w:p w14:paraId="0A6B2147"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Ex : pour protester contre le régime en Afrique de Sud.</w:t>
      </w:r>
    </w:p>
    <w:p w14:paraId="4AE84C40"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Ex2 : embargo.</w:t>
      </w:r>
      <w:r w:rsidRPr="00F25463">
        <w:rPr>
          <w:rFonts w:hAnsi="Times New Roman" w:cs="Times New Roman"/>
          <w:sz w:val="22"/>
          <w:szCs w:val="22"/>
        </w:rPr>
        <w:tab/>
      </w:r>
    </w:p>
    <w:p w14:paraId="4CC21A93"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4D8265C0"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b/>
          <w:bCs/>
          <w:sz w:val="22"/>
          <w:szCs w:val="22"/>
        </w:rPr>
        <w:t>Art 94(2)</w:t>
      </w:r>
      <w:r w:rsidRPr="00F25463">
        <w:rPr>
          <w:rFonts w:hAnsi="Times New Roman" w:cs="Times New Roman"/>
          <w:sz w:val="22"/>
          <w:szCs w:val="22"/>
        </w:rPr>
        <w:t xml:space="preserve"> : Il peut recommander des mesures à prendre pour faire exécuter un arrêt de la Cour International de Justice.  (Cela n’a jamais été fait.) </w:t>
      </w:r>
    </w:p>
    <w:p w14:paraId="1E864341"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r>
    </w:p>
    <w:p w14:paraId="1FCED98D"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Art. 27 al.2</w:t>
      </w:r>
      <w:r w:rsidRPr="00F25463">
        <w:rPr>
          <w:rFonts w:hAnsi="Times New Roman" w:cs="Times New Roman"/>
          <w:sz w:val="22"/>
          <w:szCs w:val="22"/>
        </w:rPr>
        <w:t xml:space="preserve"> : Il peut recommander des mesures à prendre afin   </w:t>
      </w:r>
    </w:p>
    <w:p w14:paraId="5D7CADE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jc w:val="both"/>
        <w:rPr>
          <w:rFonts w:hAnsi="Times New Roman" w:cs="Times New Roman"/>
          <w:sz w:val="22"/>
          <w:szCs w:val="22"/>
        </w:rPr>
      </w:pPr>
      <w:r w:rsidRPr="00F25463">
        <w:rPr>
          <w:rFonts w:hAnsi="Times New Roman" w:cs="Times New Roman"/>
          <w:b/>
          <w:bCs/>
          <w:sz w:val="22"/>
          <w:szCs w:val="22"/>
        </w:rPr>
        <w:t xml:space="preserve">   </w:t>
      </w:r>
      <w:proofErr w:type="gramStart"/>
      <w:r w:rsidRPr="00F25463">
        <w:rPr>
          <w:rFonts w:hAnsi="Times New Roman" w:cs="Times New Roman"/>
          <w:sz w:val="22"/>
          <w:szCs w:val="22"/>
        </w:rPr>
        <w:t>d’assurer</w:t>
      </w:r>
      <w:proofErr w:type="gramEnd"/>
      <w:r w:rsidRPr="00F25463">
        <w:rPr>
          <w:rFonts w:hAnsi="Times New Roman" w:cs="Times New Roman"/>
          <w:sz w:val="22"/>
          <w:szCs w:val="22"/>
        </w:rPr>
        <w:t xml:space="preserve"> une décision d’une cour de justice</w:t>
      </w:r>
    </w:p>
    <w:p w14:paraId="13280276"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tbl>
      <w:tblPr>
        <w:tblStyle w:val="TableNormal1"/>
        <w:tblW w:w="840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400"/>
      </w:tblGrid>
      <w:tr w:rsidR="00EC0180" w:rsidRPr="00F25463" w14:paraId="096AEF74" w14:textId="77777777">
        <w:trPr>
          <w:trHeight w:val="310"/>
        </w:trPr>
        <w:tc>
          <w:tcPr>
            <w:tcW w:w="8400" w:type="dxa"/>
            <w:tcBorders>
              <w:top w:val="single" w:sz="28" w:space="0" w:color="000000"/>
              <w:left w:val="single" w:sz="28" w:space="0" w:color="000000"/>
              <w:bottom w:val="single" w:sz="28" w:space="0" w:color="000000"/>
              <w:right w:val="single" w:sz="28" w:space="0" w:color="000000"/>
            </w:tcBorders>
            <w:shd w:val="clear" w:color="auto" w:fill="FEFFFF"/>
            <w:tcMar>
              <w:top w:w="0" w:type="dxa"/>
              <w:left w:w="0" w:type="dxa"/>
              <w:bottom w:w="0" w:type="dxa"/>
              <w:right w:w="0" w:type="dxa"/>
            </w:tcMar>
          </w:tcPr>
          <w:p w14:paraId="00F31B4C" w14:textId="377B6101" w:rsidR="00EC0180" w:rsidRPr="00F25463" w:rsidRDefault="004270F6" w:rsidP="0016291B">
            <w:pPr>
              <w:pStyle w:val="FreeForm"/>
              <w:keepNext/>
              <w:tabs>
                <w:tab w:val="left" w:pos="3165"/>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lastRenderedPageBreak/>
              <w:t xml:space="preserve">Cour 4, le 16 janvier </w:t>
            </w:r>
          </w:p>
        </w:tc>
      </w:tr>
    </w:tbl>
    <w:p w14:paraId="6670FB7F" w14:textId="77777777" w:rsidR="00EC0180" w:rsidRPr="00F25463" w:rsidRDefault="00EC0180">
      <w:pPr>
        <w:pStyle w:val="FreeForm"/>
        <w:ind w:left="108"/>
        <w:rPr>
          <w:sz w:val="22"/>
          <w:szCs w:val="22"/>
        </w:rPr>
      </w:pPr>
    </w:p>
    <w:p w14:paraId="176D31F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5"/>
        <w:rPr>
          <w:rFonts w:hAnsi="Times New Roman" w:cs="Times New Roman"/>
          <w:sz w:val="22"/>
          <w:szCs w:val="22"/>
        </w:rPr>
      </w:pPr>
    </w:p>
    <w:p w14:paraId="53234F7C"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CAD3811"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6C4CACDB"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Les pouvoirs de l’Assemblée Générale des Nations Unies.</w:t>
      </w:r>
    </w:p>
    <w:p w14:paraId="54902EBD"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A5DF921" w14:textId="77777777" w:rsidR="00EC0180" w:rsidRPr="00F25463" w:rsidRDefault="004270F6" w:rsidP="004270F6">
      <w:pPr>
        <w:numPr>
          <w:ilvl w:val="0"/>
          <w:numId w:val="8"/>
        </w:numPr>
        <w:tabs>
          <w:tab w:val="clear" w:pos="1770"/>
          <w:tab w:val="num"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b/>
          <w:bCs/>
          <w:sz w:val="22"/>
          <w:szCs w:val="22"/>
        </w:rPr>
      </w:pPr>
      <w:r w:rsidRPr="00F25463">
        <w:rPr>
          <w:rFonts w:hAnsi="Times New Roman" w:cs="Times New Roman"/>
          <w:b/>
          <w:bCs/>
          <w:sz w:val="22"/>
          <w:szCs w:val="22"/>
        </w:rPr>
        <w:t>Pouvoir et Décision</w:t>
      </w:r>
    </w:p>
    <w:p w14:paraId="422B331E"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E54CE5C" w14:textId="77777777" w:rsidR="00EC0180" w:rsidRPr="00F25463" w:rsidRDefault="004270F6">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 xml:space="preserve">Résolution 377 : </w:t>
      </w:r>
      <w:r w:rsidRPr="00F25463">
        <w:rPr>
          <w:rFonts w:hAnsi="Times New Roman" w:cs="Times New Roman"/>
          <w:sz w:val="22"/>
          <w:szCs w:val="22"/>
        </w:rPr>
        <w:t>Elle peut prendre l’initiative d’une opération pour le maintient de la paix quand le conseil ne peu agir par suite de l’exercice du droit de veto.  Cet envoi de forces armées se fait avec le consentement de l’État concerné.</w:t>
      </w:r>
    </w:p>
    <w:p w14:paraId="667D455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r>
    </w:p>
    <w:p w14:paraId="6ED9CAA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1</w:t>
      </w:r>
      <w:r w:rsidRPr="00F25463">
        <w:rPr>
          <w:rFonts w:hAnsi="Times New Roman" w:cs="Times New Roman"/>
          <w:b/>
          <w:bCs/>
          <w:sz w:val="22"/>
          <w:szCs w:val="22"/>
          <w:vertAlign w:val="superscript"/>
        </w:rPr>
        <w:t>er</w:t>
      </w:r>
      <w:r w:rsidRPr="00F25463">
        <w:rPr>
          <w:rFonts w:hAnsi="Times New Roman" w:cs="Times New Roman"/>
          <w:b/>
          <w:bCs/>
          <w:sz w:val="22"/>
          <w:szCs w:val="22"/>
        </w:rPr>
        <w:t xml:space="preserve"> cas : (exemple</w:t>
      </w:r>
      <w:r w:rsidRPr="00F25463">
        <w:rPr>
          <w:rFonts w:hAnsi="Times New Roman" w:cs="Times New Roman"/>
          <w:sz w:val="22"/>
          <w:szCs w:val="22"/>
        </w:rPr>
        <w:t>)</w:t>
      </w:r>
      <w:proofErr w:type="gramStart"/>
      <w:r w:rsidRPr="00F25463">
        <w:rPr>
          <w:rFonts w:hAnsi="Times New Roman" w:cs="Times New Roman"/>
          <w:sz w:val="22"/>
          <w:szCs w:val="22"/>
        </w:rPr>
        <w:t> :Nationalisation</w:t>
      </w:r>
      <w:proofErr w:type="gramEnd"/>
      <w:r w:rsidRPr="00F25463">
        <w:rPr>
          <w:rFonts w:hAnsi="Times New Roman" w:cs="Times New Roman"/>
          <w:sz w:val="22"/>
          <w:szCs w:val="22"/>
        </w:rPr>
        <w:t xml:space="preserve"> canal de Suez (voie d’eau International) en 1956 en Égypte. Intervention militaire entraîné par la France et l’Angleterre. Intervention de l’assemblé pour la paix sous les art. 10-11-14.</w:t>
      </w:r>
    </w:p>
    <w:p w14:paraId="343F9340"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600D565"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90740AE" w14:textId="77777777" w:rsidR="00EC0180" w:rsidRPr="00F25463" w:rsidRDefault="004270F6" w:rsidP="004270F6">
      <w:pPr>
        <w:numPr>
          <w:ilvl w:val="0"/>
          <w:numId w:val="8"/>
        </w:numPr>
        <w:tabs>
          <w:tab w:val="clear" w:pos="1770"/>
          <w:tab w:val="num"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b/>
          <w:bCs/>
          <w:sz w:val="22"/>
          <w:szCs w:val="22"/>
        </w:rPr>
      </w:pPr>
      <w:r w:rsidRPr="00F25463">
        <w:rPr>
          <w:rFonts w:hAnsi="Times New Roman" w:cs="Times New Roman"/>
          <w:b/>
          <w:bCs/>
          <w:sz w:val="22"/>
          <w:szCs w:val="22"/>
        </w:rPr>
        <w:t>Pouvoir de recommandation</w:t>
      </w:r>
    </w:p>
    <w:p w14:paraId="56494DD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553D24C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Art 10</w:t>
      </w:r>
      <w:r w:rsidRPr="00F25463">
        <w:rPr>
          <w:rFonts w:hAnsi="Times New Roman" w:cs="Times New Roman"/>
          <w:sz w:val="22"/>
          <w:szCs w:val="22"/>
        </w:rPr>
        <w:t> : Elle peut recommander des sanctions économiques et/ou politiques pour maintenir ou rétablir la paix.</w:t>
      </w:r>
    </w:p>
    <w:p w14:paraId="25B7B13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p>
    <w:p w14:paraId="13157DA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Art 11</w:t>
      </w:r>
      <w:r w:rsidRPr="00F25463">
        <w:rPr>
          <w:rFonts w:hAnsi="Times New Roman" w:cs="Times New Roman"/>
          <w:sz w:val="22"/>
          <w:szCs w:val="22"/>
        </w:rPr>
        <w:t> : Elle peut recommander l’envoi de forces armées avec le consentement de l’État concerné pour maintenir ou rétablir la paix en cas de décolonisation.</w:t>
      </w:r>
    </w:p>
    <w:p w14:paraId="3A82CCE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sz w:val="22"/>
          <w:szCs w:val="22"/>
        </w:rPr>
        <w:tab/>
      </w:r>
    </w:p>
    <w:p w14:paraId="46FCAF1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2</w:t>
      </w:r>
      <w:r w:rsidRPr="00F25463">
        <w:rPr>
          <w:rFonts w:hAnsi="Times New Roman" w:cs="Times New Roman"/>
          <w:b/>
          <w:bCs/>
          <w:sz w:val="22"/>
          <w:szCs w:val="22"/>
          <w:vertAlign w:val="superscript"/>
        </w:rPr>
        <w:t>e</w:t>
      </w:r>
      <w:r w:rsidRPr="00F25463">
        <w:rPr>
          <w:rFonts w:hAnsi="Times New Roman" w:cs="Times New Roman"/>
          <w:b/>
          <w:bCs/>
          <w:sz w:val="22"/>
          <w:szCs w:val="22"/>
        </w:rPr>
        <w:t xml:space="preserve"> cas : (exemple)</w:t>
      </w:r>
      <w:r w:rsidRPr="00F25463">
        <w:rPr>
          <w:rFonts w:hAnsi="Times New Roman" w:cs="Times New Roman"/>
          <w:sz w:val="22"/>
          <w:szCs w:val="22"/>
        </w:rPr>
        <w:t xml:space="preserve"> Indonésie devenu indépendante en 1959 de la Hollande. Les deux pays veulent la souveraineté d’une île. Peu pas tranché jusqu’en 1962. On a donc par référendum, décider d’envoyer </w:t>
      </w:r>
      <w:proofErr w:type="gramStart"/>
      <w:r w:rsidRPr="00F25463">
        <w:rPr>
          <w:rFonts w:hAnsi="Times New Roman" w:cs="Times New Roman"/>
          <w:sz w:val="22"/>
          <w:szCs w:val="22"/>
        </w:rPr>
        <w:t>des casques bleu</w:t>
      </w:r>
      <w:proofErr w:type="gramEnd"/>
      <w:r w:rsidRPr="00F25463">
        <w:rPr>
          <w:rFonts w:hAnsi="Times New Roman" w:cs="Times New Roman"/>
          <w:sz w:val="22"/>
          <w:szCs w:val="22"/>
        </w:rPr>
        <w:t xml:space="preserve"> et des dirigeant pour le territoire en question sous la permission des deux pays.  L’Indonésie a finalement eu la Nouvelle-Guinée. (</w:t>
      </w:r>
      <w:r w:rsidRPr="00F25463">
        <w:rPr>
          <w:rFonts w:hAnsi="Times New Roman" w:cs="Times New Roman"/>
          <w:sz w:val="22"/>
          <w:szCs w:val="22"/>
          <w:u w:val="single"/>
        </w:rPr>
        <w:t>On a veillé à la décolonisation</w:t>
      </w:r>
      <w:r w:rsidRPr="00F25463">
        <w:rPr>
          <w:rFonts w:hAnsi="Times New Roman" w:cs="Times New Roman"/>
          <w:sz w:val="22"/>
          <w:szCs w:val="22"/>
        </w:rPr>
        <w:t>)</w:t>
      </w:r>
    </w:p>
    <w:p w14:paraId="66D4C22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p>
    <w:p w14:paraId="0B29BEC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p>
    <w:p w14:paraId="5B893D0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sz w:val="22"/>
          <w:szCs w:val="22"/>
        </w:rPr>
        <w:t>En pratique, on doit admettre que ces organes exécutifs que sont le Conseil de Sécurité et l’Assemblée Générale n’ont qu’un pouvoir assez faible dans l’ordre international.</w:t>
      </w:r>
    </w:p>
    <w:p w14:paraId="3AF7E44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2FC64DC" w14:textId="77777777" w:rsidR="00EC0180" w:rsidRPr="00F25463" w:rsidRDefault="004270F6">
      <w:pPr>
        <w:pStyle w:val="Heading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Réflexion su l’existence du droit international public</w:t>
      </w:r>
    </w:p>
    <w:p w14:paraId="37B61E3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0B1289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076E630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 : droit de vote des femmes, le droit est le reflet de la société.</w:t>
      </w:r>
    </w:p>
    <w:p w14:paraId="30D9ABE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29A59FA1" w14:textId="77777777" w:rsidR="00EC0180" w:rsidRPr="00F25463" w:rsidRDefault="004270F6" w:rsidP="004270F6">
      <w:pPr>
        <w:numPr>
          <w:ilvl w:val="0"/>
          <w:numId w:val="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Tout système de droit est le produit d’une évolution socio-historique.  Les règles de droit sont donc le reflet de l’évolution de la société que le sécrète.  Le droit international en est un de coopération et nécessite une flexibilité.</w:t>
      </w:r>
    </w:p>
    <w:p w14:paraId="51E9B8F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E6A58B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Comparaison</w:t>
      </w:r>
    </w:p>
    <w:p w14:paraId="20D93A2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99627B" w14:textId="77777777" w:rsidR="00EC0180" w:rsidRPr="00F25463" w:rsidRDefault="004270F6" w:rsidP="004270F6">
      <w:pPr>
        <w:numPr>
          <w:ilvl w:val="1"/>
          <w:numId w:val="10"/>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Droit interne :</w:t>
      </w:r>
    </w:p>
    <w:p w14:paraId="3F63E0E0"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A autorité sur une société homogènes (personnes morales et physiques)</w:t>
      </w:r>
    </w:p>
    <w:p w14:paraId="75B6C332"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Constitue un droit de subordination des personnes aux règles de droit des États.</w:t>
      </w:r>
    </w:p>
    <w:p w14:paraId="7F6B3C7D"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Les règles juridiques sont plus souples</w:t>
      </w:r>
    </w:p>
    <w:p w14:paraId="4FFC73D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2F485ED" w14:textId="77777777" w:rsidR="00EC0180" w:rsidRPr="00F25463" w:rsidRDefault="004270F6" w:rsidP="004270F6">
      <w:pPr>
        <w:numPr>
          <w:ilvl w:val="1"/>
          <w:numId w:val="10"/>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lastRenderedPageBreak/>
        <w:t>Droit International</w:t>
      </w:r>
    </w:p>
    <w:p w14:paraId="19C29CE2"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Est pratiqué par une société hétérogène (les États)</w:t>
      </w:r>
    </w:p>
    <w:p w14:paraId="5A093E07"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Aucune subordination</w:t>
      </w:r>
    </w:p>
    <w:p w14:paraId="2F9D67AA"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 xml:space="preserve">Est un système de coopération dont les règles se doivent d’être flexibles puisqu’elles visent 2 buts : </w:t>
      </w:r>
    </w:p>
    <w:p w14:paraId="449EA56C" w14:textId="77777777" w:rsidR="00EC0180" w:rsidRPr="00F25463" w:rsidRDefault="004270F6" w:rsidP="004270F6">
      <w:pPr>
        <w:numPr>
          <w:ilvl w:val="2"/>
          <w:numId w:val="11"/>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Promouvoir les intérêts de la société internationale.</w:t>
      </w:r>
    </w:p>
    <w:p w14:paraId="153CF0B6" w14:textId="77777777" w:rsidR="00EC0180" w:rsidRPr="00F25463" w:rsidRDefault="004270F6" w:rsidP="004270F6">
      <w:pPr>
        <w:numPr>
          <w:ilvl w:val="2"/>
          <w:numId w:val="11"/>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Promouvoir les intérêts des États.</w:t>
      </w:r>
    </w:p>
    <w:p w14:paraId="5DEB2CB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220387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firstLine="708"/>
        <w:jc w:val="both"/>
        <w:rPr>
          <w:rFonts w:hAnsi="Times New Roman" w:cs="Times New Roman"/>
          <w:sz w:val="22"/>
          <w:szCs w:val="22"/>
        </w:rPr>
      </w:pPr>
      <w:r w:rsidRPr="00F25463">
        <w:rPr>
          <w:rFonts w:hAnsi="Times New Roman" w:cs="Times New Roman"/>
          <w:sz w:val="22"/>
          <w:szCs w:val="22"/>
        </w:rPr>
        <w:t>Ex : Société des Nations (ancêtre le L’ONU)</w:t>
      </w:r>
    </w:p>
    <w:p w14:paraId="4922CCA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5710F41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070C14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C’est d’ailleurs cette différence d’intérêt entre les divers États qui a fait disparaître la Société des Nations qui prenait </w:t>
      </w:r>
      <w:proofErr w:type="gramStart"/>
      <w:r w:rsidRPr="00F25463">
        <w:rPr>
          <w:rFonts w:hAnsi="Times New Roman" w:cs="Times New Roman"/>
          <w:sz w:val="22"/>
          <w:szCs w:val="22"/>
        </w:rPr>
        <w:t>ses décision</w:t>
      </w:r>
      <w:proofErr w:type="gramEnd"/>
      <w:r w:rsidRPr="00F25463">
        <w:rPr>
          <w:rFonts w:hAnsi="Times New Roman" w:cs="Times New Roman"/>
          <w:sz w:val="22"/>
          <w:szCs w:val="22"/>
        </w:rPr>
        <w:t xml:space="preserve"> sur des votes unanimes.</w:t>
      </w:r>
    </w:p>
    <w:p w14:paraId="40B410C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6F51E93" w14:textId="77777777" w:rsidR="00EC0180" w:rsidRPr="00F25463" w:rsidRDefault="004270F6" w:rsidP="004270F6">
      <w:pPr>
        <w:numPr>
          <w:ilvl w:val="0"/>
          <w:numId w:val="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Les tribunaux et la jurisprudence internes des États reconnaissent l’existence du droit international (dont le droit coutumier) et l’applique.</w:t>
      </w:r>
    </w:p>
    <w:p w14:paraId="14A2DDA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La plupart des États ont des tribunaux qui reconnaissent le droit public. Un état ne peut pas apporter un autre état devant ses propres tribunaux en cas de souveraineté (seulement s’il agit comme commerçant, il peut l’être)</w:t>
      </w:r>
    </w:p>
    <w:p w14:paraId="471DE08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03B6FDC" w14:textId="77777777" w:rsidR="00EC0180" w:rsidRPr="00F25463" w:rsidRDefault="004270F6" w:rsidP="004270F6">
      <w:pPr>
        <w:numPr>
          <w:ilvl w:val="0"/>
          <w:numId w:val="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Le droit international public n’est pas complètement </w:t>
      </w:r>
      <w:proofErr w:type="gramStart"/>
      <w:r w:rsidRPr="00F25463">
        <w:rPr>
          <w:rFonts w:hAnsi="Times New Roman" w:cs="Times New Roman"/>
          <w:sz w:val="22"/>
          <w:szCs w:val="22"/>
        </w:rPr>
        <w:t>dépourvue</w:t>
      </w:r>
      <w:proofErr w:type="gramEnd"/>
      <w:r w:rsidRPr="00F25463">
        <w:rPr>
          <w:rFonts w:hAnsi="Times New Roman" w:cs="Times New Roman"/>
          <w:sz w:val="22"/>
          <w:szCs w:val="22"/>
        </w:rPr>
        <w:t xml:space="preserve"> de sanction</w:t>
      </w:r>
    </w:p>
    <w:p w14:paraId="633F3C70"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Obligation de réparation</w:t>
      </w:r>
    </w:p>
    <w:p w14:paraId="0BFE75A6"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Expulsion d’une organisation</w:t>
      </w:r>
    </w:p>
    <w:p w14:paraId="3BF4166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1E0D4B7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Les cautions ne sont pas parfaite mais il y en a 2.</w:t>
      </w:r>
    </w:p>
    <w:p w14:paraId="7F159F7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 Sanctions non-</w:t>
      </w:r>
      <w:proofErr w:type="spellStart"/>
      <w:r w:rsidRPr="00F25463">
        <w:rPr>
          <w:rFonts w:hAnsi="Times New Roman" w:cs="Times New Roman"/>
          <w:sz w:val="22"/>
          <w:szCs w:val="22"/>
        </w:rPr>
        <w:t>spontannées</w:t>
      </w:r>
      <w:proofErr w:type="spellEnd"/>
      <w:r w:rsidRPr="00F25463">
        <w:rPr>
          <w:rFonts w:hAnsi="Times New Roman" w:cs="Times New Roman"/>
          <w:sz w:val="22"/>
          <w:szCs w:val="22"/>
        </w:rPr>
        <w:t xml:space="preserve"> (prévue d’avance dans un texte)</w:t>
      </w:r>
    </w:p>
    <w:p w14:paraId="7B94C7F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Exemple :</w:t>
      </w:r>
    </w:p>
    <w:p w14:paraId="15C84040"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La nullité des traités est prévue dans certains cas.</w:t>
      </w:r>
    </w:p>
    <w:p w14:paraId="3E5591EB"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Un État qui commet un acte illicite est alors responsable des dommages et doit réparer</w:t>
      </w:r>
    </w:p>
    <w:p w14:paraId="73CBC6D3"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Un membre de l’ONU qui enfreint les règles peut être expulsé de l’Assemblée Générale sur recommandation du Conseil de Sécurité (art.6 CNU)</w:t>
      </w:r>
    </w:p>
    <w:p w14:paraId="6B97806A"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Un État qui enfreint une disposition de FMI peut être expulsé.</w:t>
      </w:r>
    </w:p>
    <w:p w14:paraId="2E2654C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F8F09E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Ces sanctions ne sont pas toujours mises en œuvre pour plusieurs motifs :</w:t>
      </w:r>
    </w:p>
    <w:p w14:paraId="7D7C5BF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E17D55" w14:textId="77777777" w:rsidR="00EC0180" w:rsidRPr="00F25463" w:rsidRDefault="004270F6" w:rsidP="004270F6">
      <w:pPr>
        <w:numPr>
          <w:ilvl w:val="0"/>
          <w:numId w:val="12"/>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sz w:val="22"/>
          <w:szCs w:val="22"/>
        </w:rPr>
      </w:pPr>
      <w:r w:rsidRPr="00F25463">
        <w:rPr>
          <w:rFonts w:hAnsi="Times New Roman" w:cs="Times New Roman"/>
          <w:sz w:val="22"/>
          <w:szCs w:val="22"/>
        </w:rPr>
        <w:t xml:space="preserve">Un État doit consentir à une procédure d’adjudication (doit se soumettre devant les tribunaux </w:t>
      </w:r>
      <w:proofErr w:type="spellStart"/>
      <w:r w:rsidRPr="00F25463">
        <w:rPr>
          <w:rFonts w:hAnsi="Times New Roman" w:cs="Times New Roman"/>
          <w:sz w:val="22"/>
          <w:szCs w:val="22"/>
        </w:rPr>
        <w:t>parcqu’il</w:t>
      </w:r>
      <w:proofErr w:type="spellEnd"/>
      <w:r w:rsidRPr="00F25463">
        <w:rPr>
          <w:rFonts w:hAnsi="Times New Roman" w:cs="Times New Roman"/>
          <w:sz w:val="22"/>
          <w:szCs w:val="22"/>
        </w:rPr>
        <w:t xml:space="preserve"> n’y a pas de </w:t>
      </w:r>
      <w:proofErr w:type="spellStart"/>
      <w:r w:rsidRPr="00F25463">
        <w:rPr>
          <w:rFonts w:hAnsi="Times New Roman" w:cs="Times New Roman"/>
          <w:sz w:val="22"/>
          <w:szCs w:val="22"/>
        </w:rPr>
        <w:t>reccours</w:t>
      </w:r>
      <w:proofErr w:type="spellEnd"/>
      <w:r w:rsidRPr="00F25463">
        <w:rPr>
          <w:rFonts w:hAnsi="Times New Roman" w:cs="Times New Roman"/>
          <w:sz w:val="22"/>
          <w:szCs w:val="22"/>
        </w:rPr>
        <w:t xml:space="preserve"> obligatoires)</w:t>
      </w:r>
    </w:p>
    <w:p w14:paraId="3391F4EE" w14:textId="77777777" w:rsidR="00EC0180" w:rsidRPr="00F25463" w:rsidRDefault="004270F6" w:rsidP="004270F6">
      <w:pPr>
        <w:numPr>
          <w:ilvl w:val="0"/>
          <w:numId w:val="12"/>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sz w:val="22"/>
          <w:szCs w:val="22"/>
        </w:rPr>
      </w:pPr>
      <w:r w:rsidRPr="00F25463">
        <w:rPr>
          <w:rFonts w:hAnsi="Times New Roman" w:cs="Times New Roman"/>
          <w:sz w:val="22"/>
          <w:szCs w:val="22"/>
        </w:rPr>
        <w:t xml:space="preserve">L’organisation internationale préfère tenter de convaincre un État plutôt que de l’expulser (afin de ne pas perdre son contrôle sur l’état) </w:t>
      </w:r>
    </w:p>
    <w:p w14:paraId="016E1A25" w14:textId="77777777" w:rsidR="00EC0180" w:rsidRPr="00F25463" w:rsidRDefault="004270F6" w:rsidP="004270F6">
      <w:pPr>
        <w:numPr>
          <w:ilvl w:val="0"/>
          <w:numId w:val="12"/>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sz w:val="22"/>
          <w:szCs w:val="22"/>
        </w:rPr>
      </w:pPr>
      <w:r w:rsidRPr="00F25463">
        <w:rPr>
          <w:rFonts w:hAnsi="Times New Roman" w:cs="Times New Roman"/>
          <w:sz w:val="22"/>
          <w:szCs w:val="22"/>
        </w:rPr>
        <w:t>En droit International, un État ne peut se faire gendarme et appliquer le droit ou les sanctions car il violerait ainsi d’autres règles de droit international, notamment le droit de souveraineté des États.</w:t>
      </w:r>
    </w:p>
    <w:p w14:paraId="77ED9C16" w14:textId="77777777" w:rsidR="00EC0180" w:rsidRPr="00F25463" w:rsidRDefault="004270F6" w:rsidP="004270F6">
      <w:pPr>
        <w:numPr>
          <w:ilvl w:val="0"/>
          <w:numId w:val="12"/>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sz w:val="22"/>
          <w:szCs w:val="22"/>
        </w:rPr>
      </w:pPr>
      <w:r w:rsidRPr="00F25463">
        <w:rPr>
          <w:rFonts w:hAnsi="Times New Roman" w:cs="Times New Roman"/>
          <w:sz w:val="22"/>
          <w:szCs w:val="22"/>
        </w:rPr>
        <w:t>De plus, l’art 2(4) CNU empêche les membres d’utiliser la force dans les relations internationales.</w:t>
      </w:r>
    </w:p>
    <w:p w14:paraId="7189DCF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0F00252" w14:textId="77777777" w:rsidR="00EC0180" w:rsidRPr="00F25463" w:rsidRDefault="004270F6" w:rsidP="004270F6">
      <w:pPr>
        <w:numPr>
          <w:ilvl w:val="2"/>
          <w:numId w:val="13"/>
        </w:numPr>
        <w:tabs>
          <w:tab w:val="clear" w:pos="1410"/>
          <w:tab w:val="num" w:pos="1440"/>
          <w:tab w:val="left" w:pos="1680"/>
          <w:tab w:val="left" w:pos="2685"/>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Spontané : un état peut lui-même appliqué une sanction s’il est affecté par un traité et au non-respect des règles.</w:t>
      </w:r>
    </w:p>
    <w:p w14:paraId="2295DBFB" w14:textId="77777777" w:rsidR="00EC0180" w:rsidRPr="00F25463" w:rsidRDefault="00EC0180">
      <w:pPr>
        <w:pStyle w:val="Heading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p>
    <w:p w14:paraId="6A24FE01" w14:textId="77777777" w:rsidR="00EC0180" w:rsidRPr="00F25463" w:rsidRDefault="004270F6">
      <w:pPr>
        <w:pStyle w:val="Heading6"/>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sz w:val="22"/>
          <w:szCs w:val="22"/>
        </w:rPr>
        <w:t>Exemples</w:t>
      </w:r>
    </w:p>
    <w:p w14:paraId="283153B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764734A" w14:textId="77777777" w:rsidR="00EC0180" w:rsidRPr="00F25463" w:rsidRDefault="004270F6" w:rsidP="004270F6">
      <w:pPr>
        <w:pStyle w:val="Retraitcorpsdetexte21"/>
        <w:numPr>
          <w:ilvl w:val="0"/>
          <w:numId w:val="14"/>
        </w:num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b/>
          <w:bCs/>
          <w:sz w:val="22"/>
          <w:szCs w:val="22"/>
        </w:rPr>
        <w:t>La légitime défense</w:t>
      </w:r>
      <w:r w:rsidRPr="00F25463">
        <w:rPr>
          <w:rFonts w:hAnsi="Times New Roman" w:cs="Times New Roman"/>
          <w:sz w:val="22"/>
          <w:szCs w:val="22"/>
        </w:rPr>
        <w:t> : Un État ou un groupe d’États qui est victime d’une agression armée peut lui aussi répondre par la force de façon proportionnel.</w:t>
      </w:r>
    </w:p>
    <w:p w14:paraId="33A78406" w14:textId="77777777" w:rsidR="00EC0180" w:rsidRPr="00F25463" w:rsidRDefault="00EC0180">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b/>
          <w:bCs/>
          <w:sz w:val="22"/>
          <w:szCs w:val="22"/>
        </w:rPr>
      </w:pPr>
    </w:p>
    <w:p w14:paraId="3C809F1D" w14:textId="77777777" w:rsidR="00EC0180" w:rsidRPr="00F25463" w:rsidRDefault="00EC0180">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p>
    <w:p w14:paraId="2D64F992" w14:textId="77777777" w:rsidR="00EC0180" w:rsidRPr="00F25463" w:rsidRDefault="004270F6">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b/>
          <w:bCs/>
          <w:sz w:val="22"/>
          <w:szCs w:val="22"/>
        </w:rPr>
        <w:lastRenderedPageBreak/>
        <w:t>*Art 51 Charte des N-U</w:t>
      </w:r>
      <w:r w:rsidRPr="00F25463">
        <w:rPr>
          <w:rFonts w:hAnsi="Times New Roman" w:cs="Times New Roman"/>
          <w:sz w:val="22"/>
          <w:szCs w:val="22"/>
        </w:rPr>
        <w:t> : En vertu de cet article, la mesure de légitime défense doit être portée immédiatement à la connaissance du conseil de sécurité. La légitime défense reste valable tant que l’ONU ne se soit occupé de la situation.</w:t>
      </w:r>
    </w:p>
    <w:p w14:paraId="15C72E4F" w14:textId="77777777" w:rsidR="00EC0180" w:rsidRPr="00F25463" w:rsidRDefault="00EC0180">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p>
    <w:p w14:paraId="15483F21" w14:textId="77777777" w:rsidR="00EC0180" w:rsidRPr="00F25463" w:rsidRDefault="004270F6">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sz w:val="22"/>
          <w:szCs w:val="22"/>
        </w:rPr>
        <w:t>* L’attaque nucléaire porte problème</w:t>
      </w:r>
    </w:p>
    <w:p w14:paraId="0FAA91D5" w14:textId="77777777" w:rsidR="00EC0180" w:rsidRPr="00F25463" w:rsidRDefault="004270F6">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sz w:val="22"/>
          <w:szCs w:val="22"/>
        </w:rPr>
        <w:t>* Dans le cas d’une insurrection interne, un État ne peut intervenir pour un groupe à moins qu’un autre État n’ait appuyé l’un des groupes en présence.</w:t>
      </w:r>
    </w:p>
    <w:p w14:paraId="1DA95EBD" w14:textId="77777777" w:rsidR="00EC0180" w:rsidRPr="00F25463" w:rsidRDefault="00EC0180">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p>
    <w:p w14:paraId="05A441A5" w14:textId="77777777" w:rsidR="00EC0180" w:rsidRPr="00F25463" w:rsidRDefault="004270F6">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sz w:val="22"/>
          <w:szCs w:val="22"/>
        </w:rPr>
        <w:t>*Cette notion fut élaborée dans l’Affaire du Nicaragua.</w:t>
      </w:r>
    </w:p>
    <w:p w14:paraId="09770746" w14:textId="77777777" w:rsidR="00EC0180" w:rsidRPr="00F25463" w:rsidRDefault="00EC0180">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p>
    <w:p w14:paraId="365EC1FA" w14:textId="77777777" w:rsidR="00EC0180" w:rsidRPr="00F25463" w:rsidRDefault="004270F6">
      <w:pPr>
        <w:pStyle w:val="Retrait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0"/>
        <w:rPr>
          <w:rFonts w:hAnsi="Times New Roman" w:cs="Times New Roman"/>
          <w:sz w:val="22"/>
          <w:szCs w:val="22"/>
        </w:rPr>
      </w:pPr>
      <w:r w:rsidRPr="00F25463">
        <w:rPr>
          <w:rFonts w:hAnsi="Times New Roman" w:cs="Times New Roman"/>
          <w:sz w:val="22"/>
          <w:szCs w:val="22"/>
        </w:rPr>
        <w:t>Droit coopération, règles flexible avec deux forces ou idées en présence. C’est le reflet de la société qui s’occupe des intérêt partie de l’État.</w:t>
      </w:r>
    </w:p>
    <w:p w14:paraId="6C445A7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54FDF2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43187B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firstLine="360"/>
        <w:jc w:val="both"/>
        <w:rPr>
          <w:rFonts w:hAnsi="Times New Roman" w:cs="Times New Roman"/>
          <w:sz w:val="22"/>
          <w:szCs w:val="22"/>
        </w:rPr>
      </w:pPr>
      <w:r w:rsidRPr="00F25463">
        <w:rPr>
          <w:rFonts w:hAnsi="Times New Roman" w:cs="Times New Roman"/>
          <w:sz w:val="22"/>
          <w:szCs w:val="22"/>
        </w:rPr>
        <w:t>Peut-on exploiter une mer territoriale ?</w:t>
      </w:r>
    </w:p>
    <w:p w14:paraId="6B2FF3B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r w:rsidRPr="00F25463">
        <w:rPr>
          <w:rFonts w:hAnsi="Times New Roman" w:cs="Times New Roman"/>
          <w:sz w:val="22"/>
          <w:szCs w:val="22"/>
        </w:rPr>
        <w:t>Droit international reconnaît la mer territorial de 12 miles à partir des côtes.</w:t>
      </w:r>
    </w:p>
    <w:p w14:paraId="29A649F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r w:rsidRPr="00F25463">
        <w:rPr>
          <w:rFonts w:hAnsi="Times New Roman" w:cs="Times New Roman"/>
          <w:sz w:val="22"/>
          <w:szCs w:val="22"/>
        </w:rPr>
        <w:t>Ex : Au Canada ; État fédéral est propriétaire du lit de la mer territorial (décision C.S = concept droit international)</w:t>
      </w:r>
    </w:p>
    <w:p w14:paraId="6B714EE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r w:rsidRPr="00F25463">
        <w:rPr>
          <w:rFonts w:hAnsi="Times New Roman" w:cs="Times New Roman"/>
          <w:sz w:val="22"/>
          <w:szCs w:val="22"/>
        </w:rPr>
        <w:t xml:space="preserve">Ex2 : Terre-Neuve réclamait </w:t>
      </w:r>
      <w:proofErr w:type="gramStart"/>
      <w:r w:rsidRPr="00F25463">
        <w:rPr>
          <w:rFonts w:hAnsi="Times New Roman" w:cs="Times New Roman"/>
          <w:sz w:val="22"/>
          <w:szCs w:val="22"/>
        </w:rPr>
        <w:t>son plateau continentale</w:t>
      </w:r>
      <w:proofErr w:type="gramEnd"/>
    </w:p>
    <w:p w14:paraId="74EC74D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ab/>
      </w:r>
    </w:p>
    <w:p w14:paraId="2E4A56A9" w14:textId="77777777" w:rsidR="00EC0180" w:rsidRPr="00F25463" w:rsidRDefault="004270F6" w:rsidP="004270F6">
      <w:pPr>
        <w:numPr>
          <w:ilvl w:val="0"/>
          <w:numId w:val="1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 xml:space="preserve">La rétorsion : </w:t>
      </w:r>
      <w:r w:rsidRPr="00F25463">
        <w:rPr>
          <w:rFonts w:hAnsi="Times New Roman" w:cs="Times New Roman"/>
          <w:sz w:val="22"/>
          <w:szCs w:val="22"/>
        </w:rPr>
        <w:t xml:space="preserve">Mesure légale prise par un État pour nuire à un autre État délinquant qui a commis un acte illicite. </w:t>
      </w:r>
    </w:p>
    <w:p w14:paraId="74EB580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hanging="600"/>
        <w:jc w:val="both"/>
        <w:rPr>
          <w:rFonts w:hAnsi="Times New Roman" w:cs="Times New Roman"/>
          <w:sz w:val="22"/>
          <w:szCs w:val="22"/>
        </w:rPr>
      </w:pPr>
      <w:r w:rsidRPr="00F25463">
        <w:rPr>
          <w:rFonts w:hAnsi="Times New Roman" w:cs="Times New Roman"/>
          <w:b/>
          <w:bCs/>
          <w:sz w:val="22"/>
          <w:szCs w:val="22"/>
        </w:rPr>
        <w:t xml:space="preserve">Ex : </w:t>
      </w:r>
      <w:r w:rsidRPr="00F25463">
        <w:rPr>
          <w:rFonts w:hAnsi="Times New Roman" w:cs="Times New Roman"/>
          <w:sz w:val="22"/>
          <w:szCs w:val="22"/>
        </w:rPr>
        <w:tab/>
        <w:t>A et B lié par convention de non détournement d’avion. De plus, lié par un traité d’extradition (criminel jugé sur le territoire autre ou renvoyé à son État) Dans une telle situation le citoyen de A à tué un de B dû à un détournement d’avion.  Des réfugiés vont chez B.</w:t>
      </w:r>
    </w:p>
    <w:p w14:paraId="039DCF9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hanging="600"/>
        <w:jc w:val="both"/>
        <w:rPr>
          <w:rFonts w:hAnsi="Times New Roman" w:cs="Times New Roman"/>
          <w:sz w:val="22"/>
          <w:szCs w:val="22"/>
        </w:rPr>
      </w:pPr>
      <w:r w:rsidRPr="00F25463">
        <w:rPr>
          <w:rFonts w:hAnsi="Times New Roman" w:cs="Times New Roman"/>
          <w:sz w:val="22"/>
          <w:szCs w:val="22"/>
        </w:rPr>
        <w:tab/>
        <w:t>B ne veut pas jugé ni renvoyer les réfugiés</w:t>
      </w:r>
    </w:p>
    <w:p w14:paraId="5831271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jc w:val="both"/>
        <w:rPr>
          <w:rFonts w:hAnsi="Times New Roman" w:cs="Times New Roman"/>
          <w:sz w:val="22"/>
          <w:szCs w:val="22"/>
        </w:rPr>
      </w:pPr>
      <w:r w:rsidRPr="00F25463">
        <w:rPr>
          <w:rFonts w:hAnsi="Times New Roman" w:cs="Times New Roman"/>
          <w:sz w:val="22"/>
          <w:szCs w:val="22"/>
        </w:rPr>
        <w:t>Donc, A décide de mettre fin à l’aide fourni à l’État de B.</w:t>
      </w:r>
    </w:p>
    <w:p w14:paraId="70B6BF9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jc w:val="both"/>
        <w:rPr>
          <w:rFonts w:hAnsi="Times New Roman" w:cs="Times New Roman"/>
          <w:sz w:val="22"/>
          <w:szCs w:val="22"/>
        </w:rPr>
      </w:pPr>
      <w:r w:rsidRPr="00F25463">
        <w:rPr>
          <w:rFonts w:hAnsi="Times New Roman" w:cs="Times New Roman"/>
          <w:sz w:val="22"/>
          <w:szCs w:val="22"/>
        </w:rPr>
        <w:t>A= acte légal parce que l’aide fourni n’était pas une obligation (pas un traité de signé – pas légal) en réponse  (rétorsion) à l’acte illégale de B.</w:t>
      </w:r>
    </w:p>
    <w:p w14:paraId="2DE1740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D2C03FC" w14:textId="77777777" w:rsidR="00EC0180" w:rsidRPr="00F25463" w:rsidRDefault="004270F6" w:rsidP="004270F6">
      <w:pPr>
        <w:numPr>
          <w:ilvl w:val="0"/>
          <w:numId w:val="1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 xml:space="preserve">La </w:t>
      </w:r>
      <w:proofErr w:type="spellStart"/>
      <w:r w:rsidRPr="00F25463">
        <w:rPr>
          <w:rFonts w:hAnsi="Times New Roman" w:cs="Times New Roman"/>
          <w:b/>
          <w:bCs/>
          <w:sz w:val="22"/>
          <w:szCs w:val="22"/>
        </w:rPr>
        <w:t>représaille</w:t>
      </w:r>
      <w:proofErr w:type="spellEnd"/>
      <w:r w:rsidRPr="00F25463">
        <w:rPr>
          <w:rFonts w:hAnsi="Times New Roman" w:cs="Times New Roman"/>
          <w:b/>
          <w:bCs/>
          <w:sz w:val="22"/>
          <w:szCs w:val="22"/>
        </w:rPr>
        <w:t xml:space="preserve"> : </w:t>
      </w:r>
      <w:r w:rsidRPr="00F25463">
        <w:rPr>
          <w:rFonts w:hAnsi="Times New Roman" w:cs="Times New Roman"/>
          <w:sz w:val="22"/>
          <w:szCs w:val="22"/>
        </w:rPr>
        <w:t xml:space="preserve">C’est un acte illégal commis par un État en réponse à un acte illégal d’un autre État à son endroit. L’acte est illégal mais devient en quelque sorte permis s’il est en réponse à l’acte illégale d’un autre État. </w:t>
      </w:r>
    </w:p>
    <w:p w14:paraId="5CA1A82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                -Légitime seulement à certaines conditions :</w:t>
      </w:r>
    </w:p>
    <w:p w14:paraId="40BD80B8" w14:textId="77777777" w:rsidR="00EC0180" w:rsidRPr="00F25463" w:rsidRDefault="004270F6" w:rsidP="004270F6">
      <w:pPr>
        <w:numPr>
          <w:ilvl w:val="0"/>
          <w:numId w:val="16"/>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b/>
          <w:bCs/>
          <w:sz w:val="22"/>
          <w:szCs w:val="22"/>
        </w:rPr>
      </w:pPr>
      <w:r w:rsidRPr="00F25463">
        <w:rPr>
          <w:rFonts w:hAnsi="Times New Roman" w:cs="Times New Roman"/>
          <w:sz w:val="22"/>
          <w:szCs w:val="22"/>
        </w:rPr>
        <w:t>Elle doit être provoquée par un acte illicite</w:t>
      </w:r>
    </w:p>
    <w:p w14:paraId="40FFD96D" w14:textId="77777777" w:rsidR="00EC0180" w:rsidRPr="00F25463" w:rsidRDefault="004270F6" w:rsidP="004270F6">
      <w:pPr>
        <w:numPr>
          <w:ilvl w:val="0"/>
          <w:numId w:val="16"/>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b/>
          <w:bCs/>
          <w:sz w:val="22"/>
          <w:szCs w:val="22"/>
        </w:rPr>
      </w:pPr>
      <w:r w:rsidRPr="00F25463">
        <w:rPr>
          <w:rFonts w:hAnsi="Times New Roman" w:cs="Times New Roman"/>
          <w:sz w:val="22"/>
          <w:szCs w:val="22"/>
        </w:rPr>
        <w:t>Avant d’exécuter les représailles, l’État doit demander la cessation de l’acte illégale et des réparations</w:t>
      </w:r>
    </w:p>
    <w:p w14:paraId="3245087C" w14:textId="77777777" w:rsidR="00EC0180" w:rsidRPr="00F25463" w:rsidRDefault="004270F6" w:rsidP="004270F6">
      <w:pPr>
        <w:numPr>
          <w:ilvl w:val="0"/>
          <w:numId w:val="16"/>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b/>
          <w:bCs/>
          <w:sz w:val="22"/>
          <w:szCs w:val="22"/>
        </w:rPr>
      </w:pPr>
      <w:r w:rsidRPr="00F25463">
        <w:rPr>
          <w:rFonts w:hAnsi="Times New Roman" w:cs="Times New Roman"/>
          <w:sz w:val="22"/>
          <w:szCs w:val="22"/>
        </w:rPr>
        <w:t xml:space="preserve">La </w:t>
      </w:r>
      <w:proofErr w:type="spellStart"/>
      <w:r w:rsidRPr="00F25463">
        <w:rPr>
          <w:rFonts w:hAnsi="Times New Roman" w:cs="Times New Roman"/>
          <w:sz w:val="22"/>
          <w:szCs w:val="22"/>
        </w:rPr>
        <w:t>représaille</w:t>
      </w:r>
      <w:proofErr w:type="spellEnd"/>
      <w:r w:rsidRPr="00F25463">
        <w:rPr>
          <w:rFonts w:hAnsi="Times New Roman" w:cs="Times New Roman"/>
          <w:sz w:val="22"/>
          <w:szCs w:val="22"/>
        </w:rPr>
        <w:t xml:space="preserve"> doit être proportionnelle à l’acte qui a provoqué la </w:t>
      </w:r>
      <w:proofErr w:type="spellStart"/>
      <w:r w:rsidRPr="00F25463">
        <w:rPr>
          <w:rFonts w:hAnsi="Times New Roman" w:cs="Times New Roman"/>
          <w:sz w:val="22"/>
          <w:szCs w:val="22"/>
        </w:rPr>
        <w:t>représaille</w:t>
      </w:r>
      <w:proofErr w:type="spellEnd"/>
      <w:r w:rsidRPr="00F25463">
        <w:rPr>
          <w:rFonts w:hAnsi="Times New Roman" w:cs="Times New Roman"/>
          <w:sz w:val="22"/>
          <w:szCs w:val="22"/>
        </w:rPr>
        <w:t>.</w:t>
      </w:r>
    </w:p>
    <w:p w14:paraId="1D634761" w14:textId="77777777" w:rsidR="00EC0180" w:rsidRPr="00F25463" w:rsidRDefault="004270F6" w:rsidP="004270F6">
      <w:pPr>
        <w:numPr>
          <w:ilvl w:val="0"/>
          <w:numId w:val="16"/>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b/>
          <w:bCs/>
          <w:sz w:val="22"/>
          <w:szCs w:val="22"/>
        </w:rPr>
      </w:pPr>
      <w:r w:rsidRPr="00F25463">
        <w:rPr>
          <w:rFonts w:hAnsi="Times New Roman" w:cs="Times New Roman"/>
          <w:sz w:val="22"/>
          <w:szCs w:val="22"/>
        </w:rPr>
        <w:t>Elle n’a pas à être de même nature.</w:t>
      </w:r>
    </w:p>
    <w:p w14:paraId="04B60EE9" w14:textId="77777777" w:rsidR="00EC0180" w:rsidRPr="00F25463" w:rsidRDefault="004270F6" w:rsidP="004270F6">
      <w:pPr>
        <w:numPr>
          <w:ilvl w:val="0"/>
          <w:numId w:val="16"/>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b/>
          <w:bCs/>
          <w:sz w:val="22"/>
          <w:szCs w:val="22"/>
        </w:rPr>
      </w:pPr>
      <w:r w:rsidRPr="00F25463">
        <w:rPr>
          <w:rFonts w:hAnsi="Times New Roman" w:cs="Times New Roman"/>
          <w:sz w:val="22"/>
          <w:szCs w:val="22"/>
        </w:rPr>
        <w:t>Aucune force est acceptable</w:t>
      </w:r>
    </w:p>
    <w:p w14:paraId="5766BCB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jc w:val="both"/>
        <w:rPr>
          <w:rFonts w:hAnsi="Times New Roman" w:cs="Times New Roman"/>
          <w:b/>
          <w:bCs/>
          <w:sz w:val="22"/>
          <w:szCs w:val="22"/>
        </w:rPr>
      </w:pPr>
    </w:p>
    <w:p w14:paraId="1B636C1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xml:space="preserve"> : </w:t>
      </w:r>
      <w:r w:rsidRPr="00F25463">
        <w:rPr>
          <w:rFonts w:hAnsi="Times New Roman" w:cs="Times New Roman"/>
          <w:b/>
          <w:bCs/>
          <w:sz w:val="22"/>
          <w:szCs w:val="22"/>
        </w:rPr>
        <w:t>Embargo :</w:t>
      </w:r>
      <w:r w:rsidRPr="00F25463">
        <w:rPr>
          <w:rFonts w:hAnsi="Times New Roman" w:cs="Times New Roman"/>
          <w:sz w:val="22"/>
          <w:szCs w:val="22"/>
        </w:rPr>
        <w:t xml:space="preserve"> pas vouloir faire de commerce du tout avec un État.</w:t>
      </w:r>
    </w:p>
    <w:p w14:paraId="50356DA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b/>
          <w:bCs/>
          <w:sz w:val="22"/>
          <w:szCs w:val="22"/>
        </w:rPr>
        <w:tab/>
      </w:r>
      <w:r w:rsidRPr="00F25463">
        <w:rPr>
          <w:rFonts w:hAnsi="Times New Roman" w:cs="Times New Roman"/>
          <w:sz w:val="22"/>
          <w:szCs w:val="22"/>
        </w:rPr>
        <w:t>Si embargo, Art 103 dit Conseil de Sécurité s’en charge.</w:t>
      </w:r>
    </w:p>
    <w:p w14:paraId="2CBBFF8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firstLine="336"/>
        <w:jc w:val="both"/>
        <w:rPr>
          <w:rFonts w:hAnsi="Times New Roman" w:cs="Times New Roman"/>
          <w:sz w:val="22"/>
          <w:szCs w:val="22"/>
        </w:rPr>
      </w:pPr>
      <w:r w:rsidRPr="00F25463">
        <w:rPr>
          <w:rFonts w:hAnsi="Times New Roman" w:cs="Times New Roman"/>
          <w:sz w:val="22"/>
          <w:szCs w:val="22"/>
        </w:rPr>
        <w:t>Si petit pays = difficile de gagner sur une puissance mondial</w:t>
      </w:r>
    </w:p>
    <w:p w14:paraId="4346947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firstLine="336"/>
        <w:jc w:val="both"/>
        <w:rPr>
          <w:rFonts w:hAnsi="Times New Roman" w:cs="Times New Roman"/>
          <w:sz w:val="22"/>
          <w:szCs w:val="22"/>
        </w:rPr>
      </w:pPr>
      <w:r w:rsidRPr="00F25463">
        <w:rPr>
          <w:rFonts w:hAnsi="Times New Roman" w:cs="Times New Roman"/>
          <w:sz w:val="22"/>
          <w:szCs w:val="22"/>
        </w:rPr>
        <w:t>Ex : USA contre La Grenade</w:t>
      </w:r>
    </w:p>
    <w:p w14:paraId="05B987F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jc w:val="both"/>
        <w:rPr>
          <w:rFonts w:hAnsi="Times New Roman" w:cs="Times New Roman"/>
          <w:sz w:val="22"/>
          <w:szCs w:val="22"/>
        </w:rPr>
      </w:pPr>
    </w:p>
    <w:p w14:paraId="39A1210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jc w:val="both"/>
        <w:rPr>
          <w:rFonts w:hAnsi="Times New Roman" w:cs="Times New Roman"/>
          <w:sz w:val="22"/>
          <w:szCs w:val="22"/>
        </w:rPr>
      </w:pPr>
      <w:r w:rsidRPr="00F25463">
        <w:rPr>
          <w:rFonts w:hAnsi="Times New Roman" w:cs="Times New Roman"/>
          <w:b/>
          <w:bCs/>
          <w:sz w:val="22"/>
          <w:szCs w:val="22"/>
        </w:rPr>
        <w:t>Ex2 </w:t>
      </w:r>
      <w:r w:rsidRPr="00F25463">
        <w:rPr>
          <w:rFonts w:hAnsi="Times New Roman" w:cs="Times New Roman"/>
          <w:sz w:val="22"/>
          <w:szCs w:val="22"/>
        </w:rPr>
        <w:t>: saisi, refuser l’extradition d’un réfugié.</w:t>
      </w:r>
    </w:p>
    <w:p w14:paraId="757D331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p>
    <w:p w14:paraId="5F1E6EA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r w:rsidRPr="00F25463">
        <w:rPr>
          <w:rFonts w:hAnsi="Times New Roman" w:cs="Times New Roman"/>
          <w:sz w:val="22"/>
          <w:szCs w:val="22"/>
        </w:rPr>
        <w:t>Note : L’effet des représailles est minime lorsqu’elles sont exercées par des États de moindre puissance.</w:t>
      </w:r>
    </w:p>
    <w:p w14:paraId="2D888AA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r>
    </w:p>
    <w:p w14:paraId="6A3B53FF" w14:textId="77777777" w:rsidR="00EC0180" w:rsidRPr="00F25463" w:rsidRDefault="004270F6">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jc w:val="both"/>
        <w:rPr>
          <w:rFonts w:hAnsi="Times New Roman" w:cs="Times New Roman"/>
          <w:sz w:val="22"/>
          <w:szCs w:val="22"/>
        </w:rPr>
      </w:pPr>
      <w:r w:rsidRPr="00F25463">
        <w:rPr>
          <w:rFonts w:hAnsi="Times New Roman" w:cs="Times New Roman"/>
          <w:b/>
          <w:bCs/>
          <w:sz w:val="22"/>
          <w:szCs w:val="22"/>
        </w:rPr>
        <w:t>Ex2 :</w:t>
      </w:r>
      <w:r w:rsidRPr="00F25463">
        <w:rPr>
          <w:rFonts w:hAnsi="Times New Roman" w:cs="Times New Roman"/>
          <w:sz w:val="22"/>
          <w:szCs w:val="22"/>
        </w:rPr>
        <w:t xml:space="preserve"> USA : essaie de se justifié avec une doctrine préventive mais, celle-ci est inventé, pas accepté de personne internationalement.</w:t>
      </w:r>
    </w:p>
    <w:p w14:paraId="0112541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r>
    </w:p>
    <w:p w14:paraId="3731239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b/>
          <w:bCs/>
          <w:sz w:val="22"/>
          <w:szCs w:val="22"/>
        </w:rPr>
        <w:lastRenderedPageBreak/>
        <w:t xml:space="preserve">4. </w:t>
      </w:r>
      <w:r w:rsidRPr="00F25463">
        <w:rPr>
          <w:rFonts w:hAnsi="Times New Roman" w:cs="Times New Roman"/>
          <w:b/>
          <w:bCs/>
          <w:sz w:val="22"/>
          <w:szCs w:val="22"/>
        </w:rPr>
        <w:tab/>
      </w:r>
      <w:r w:rsidRPr="00F25463">
        <w:rPr>
          <w:rFonts w:hAnsi="Times New Roman" w:cs="Times New Roman"/>
          <w:b/>
          <w:bCs/>
          <w:sz w:val="22"/>
          <w:szCs w:val="22"/>
          <w:highlight w:val="yellow"/>
        </w:rPr>
        <w:t>La réciprocité des avantages</w:t>
      </w:r>
      <w:r w:rsidRPr="00F25463">
        <w:rPr>
          <w:rFonts w:hAnsi="Times New Roman" w:cs="Times New Roman"/>
          <w:b/>
          <w:bCs/>
          <w:sz w:val="22"/>
          <w:szCs w:val="22"/>
        </w:rPr>
        <w:t xml:space="preserve"> : </w:t>
      </w:r>
      <w:r w:rsidRPr="00F25463">
        <w:rPr>
          <w:rFonts w:hAnsi="Times New Roman" w:cs="Times New Roman"/>
          <w:sz w:val="22"/>
          <w:szCs w:val="22"/>
        </w:rPr>
        <w:t>C’est la cessation par un État A de se conformer à un traité en raison de la violation de celui-ci par un État B.</w:t>
      </w:r>
    </w:p>
    <w:p w14:paraId="732F2F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744D59E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 droit international n’est pas fondé sur le recours à la force pour le faire sanctionner.  On ne peut recourir à l’exécution forcée.</w:t>
      </w:r>
    </w:p>
    <w:p w14:paraId="567EDA8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Les rapports politiques entre les États sont régis par les règles du droit international.</w:t>
      </w:r>
    </w:p>
    <w:p w14:paraId="5B92E86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r>
    </w:p>
    <w:p w14:paraId="2DEB86F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b/>
          <w:bCs/>
          <w:sz w:val="22"/>
          <w:szCs w:val="22"/>
        </w:rPr>
        <w:t>Ex </w:t>
      </w:r>
      <w:r w:rsidRPr="00F25463">
        <w:rPr>
          <w:rFonts w:hAnsi="Times New Roman" w:cs="Times New Roman"/>
          <w:sz w:val="22"/>
          <w:szCs w:val="22"/>
        </w:rPr>
        <w:t xml:space="preserve">: </w:t>
      </w:r>
      <w:proofErr w:type="gramStart"/>
      <w:r w:rsidRPr="00F25463">
        <w:rPr>
          <w:rFonts w:hAnsi="Times New Roman" w:cs="Times New Roman"/>
          <w:sz w:val="22"/>
          <w:szCs w:val="22"/>
        </w:rPr>
        <w:t>Canada importe pas</w:t>
      </w:r>
      <w:proofErr w:type="gramEnd"/>
      <w:r w:rsidRPr="00F25463">
        <w:rPr>
          <w:rFonts w:hAnsi="Times New Roman" w:cs="Times New Roman"/>
          <w:sz w:val="22"/>
          <w:szCs w:val="22"/>
        </w:rPr>
        <w:t xml:space="preserve"> de soulier venant de la France. Impose une restriction quantitative = acte illégale du Canada. Donc, la France décide de ne plus importer de viande du Canada.</w:t>
      </w:r>
    </w:p>
    <w:p w14:paraId="3FA4DA9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La réciprocité = qu’elle répond à l’action illégale du Canada proportionnellement</w:t>
      </w:r>
    </w:p>
    <w:p w14:paraId="3262A32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Mais, avant que la France n’agisse il faut qu’elle fasse :</w:t>
      </w:r>
    </w:p>
    <w:p w14:paraId="0D1AEAC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firstLine="696"/>
        <w:jc w:val="both"/>
        <w:rPr>
          <w:rFonts w:hAnsi="Times New Roman" w:cs="Times New Roman"/>
          <w:sz w:val="22"/>
          <w:szCs w:val="22"/>
        </w:rPr>
      </w:pPr>
      <w:r w:rsidRPr="00F25463">
        <w:rPr>
          <w:rFonts w:hAnsi="Times New Roman" w:cs="Times New Roman"/>
          <w:sz w:val="22"/>
          <w:szCs w:val="22"/>
        </w:rPr>
        <w:t>Accord des différents commerciaux :</w:t>
      </w:r>
    </w:p>
    <w:p w14:paraId="5CAD0684" w14:textId="77777777" w:rsidR="00EC0180" w:rsidRPr="00F25463" w:rsidRDefault="004270F6" w:rsidP="004270F6">
      <w:pPr>
        <w:numPr>
          <w:ilvl w:val="0"/>
          <w:numId w:val="17"/>
        </w:numPr>
        <w:tabs>
          <w:tab w:val="clear" w:pos="1050"/>
          <w:tab w:val="num"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hanging="360"/>
        <w:jc w:val="both"/>
        <w:rPr>
          <w:rFonts w:hAnsi="Times New Roman" w:cs="Times New Roman"/>
          <w:sz w:val="22"/>
          <w:szCs w:val="22"/>
        </w:rPr>
      </w:pPr>
      <w:r w:rsidRPr="00F25463">
        <w:rPr>
          <w:rFonts w:hAnsi="Times New Roman" w:cs="Times New Roman"/>
          <w:sz w:val="22"/>
          <w:szCs w:val="22"/>
        </w:rPr>
        <w:t>amène à un système judiciaire (tribunal) – système de règlement de l’OMC obligatoire.</w:t>
      </w:r>
    </w:p>
    <w:p w14:paraId="74DFE153" w14:textId="77777777" w:rsidR="00EC0180" w:rsidRPr="00F25463" w:rsidRDefault="004270F6" w:rsidP="004270F6">
      <w:pPr>
        <w:numPr>
          <w:ilvl w:val="0"/>
          <w:numId w:val="18"/>
        </w:numPr>
        <w:tabs>
          <w:tab w:val="clear" w:pos="1050"/>
          <w:tab w:val="num"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hanging="360"/>
        <w:jc w:val="both"/>
        <w:rPr>
          <w:rFonts w:hAnsi="Times New Roman" w:cs="Times New Roman"/>
          <w:b/>
          <w:bCs/>
          <w:sz w:val="22"/>
          <w:szCs w:val="22"/>
        </w:rPr>
      </w:pPr>
      <w:r w:rsidRPr="00F25463">
        <w:rPr>
          <w:rFonts w:hAnsi="Times New Roman" w:cs="Times New Roman"/>
          <w:sz w:val="22"/>
          <w:szCs w:val="22"/>
        </w:rPr>
        <w:t xml:space="preserve">Tribunal va faire une résolution = donne un délai au Canada pour mettre fin à l’acte illégale. Si l’État ne fait rien dans le délai, l’État en désavantage peu agir </w:t>
      </w:r>
      <w:r w:rsidRPr="00F25463">
        <w:rPr>
          <w:rFonts w:hAnsi="Times New Roman" w:cs="Times New Roman"/>
          <w:b/>
          <w:bCs/>
          <w:sz w:val="22"/>
          <w:szCs w:val="22"/>
        </w:rPr>
        <w:t>en vertu de la violation de l’Art 11</w:t>
      </w:r>
    </w:p>
    <w:p w14:paraId="4BD4122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1C95CA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40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400"/>
      </w:tblGrid>
      <w:tr w:rsidR="00EC0180" w:rsidRPr="00F25463" w14:paraId="0D8C7CC7" w14:textId="77777777">
        <w:trPr>
          <w:trHeight w:val="310"/>
        </w:trPr>
        <w:tc>
          <w:tcPr>
            <w:tcW w:w="8400" w:type="dxa"/>
            <w:tcBorders>
              <w:top w:val="single" w:sz="28" w:space="0" w:color="000000"/>
              <w:left w:val="single" w:sz="28" w:space="0" w:color="000000"/>
              <w:bottom w:val="single" w:sz="28" w:space="0" w:color="000000"/>
              <w:right w:val="single" w:sz="28" w:space="0" w:color="000000"/>
            </w:tcBorders>
            <w:shd w:val="clear" w:color="auto" w:fill="FEFFFF"/>
            <w:tcMar>
              <w:top w:w="0" w:type="dxa"/>
              <w:left w:w="0" w:type="dxa"/>
              <w:bottom w:w="0" w:type="dxa"/>
              <w:right w:w="0" w:type="dxa"/>
            </w:tcMar>
          </w:tcPr>
          <w:p w14:paraId="44F53203" w14:textId="1BD7BBE1" w:rsidR="00EC0180" w:rsidRPr="00F25463" w:rsidRDefault="004270F6" w:rsidP="00D37A64">
            <w:pPr>
              <w:pStyle w:val="FreeForm"/>
              <w:keepNext/>
              <w:tabs>
                <w:tab w:val="left" w:pos="3165"/>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Cour 5, le 18 janvier</w:t>
            </w:r>
            <w:r w:rsidRPr="00F25463">
              <w:rPr>
                <w:b/>
                <w:bCs/>
                <w:sz w:val="22"/>
                <w:szCs w:val="22"/>
                <w:lang w:val="fr-FR"/>
              </w:rPr>
              <w:tab/>
            </w:r>
          </w:p>
        </w:tc>
      </w:tr>
    </w:tbl>
    <w:p w14:paraId="619B900B" w14:textId="77777777" w:rsidR="00EC0180" w:rsidRPr="00F25463" w:rsidRDefault="00EC0180">
      <w:pPr>
        <w:pStyle w:val="FreeForm"/>
        <w:ind w:left="108"/>
        <w:rPr>
          <w:sz w:val="22"/>
          <w:szCs w:val="22"/>
        </w:rPr>
      </w:pPr>
    </w:p>
    <w:p w14:paraId="27F1E73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5"/>
        <w:rPr>
          <w:rFonts w:hAnsi="Times New Roman" w:cs="Times New Roman"/>
          <w:sz w:val="22"/>
          <w:szCs w:val="22"/>
        </w:rPr>
      </w:pPr>
    </w:p>
    <w:p w14:paraId="063FEE1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D9CC7C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On parle beaucoup du négatif mais les État veulent surtout la paix.</w:t>
      </w:r>
    </w:p>
    <w:p w14:paraId="62A93A0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Donc, l’élément permet </w:t>
      </w:r>
      <w:proofErr w:type="gramStart"/>
      <w:r w:rsidRPr="00F25463">
        <w:rPr>
          <w:rFonts w:hAnsi="Times New Roman" w:cs="Times New Roman"/>
          <w:sz w:val="22"/>
          <w:szCs w:val="22"/>
        </w:rPr>
        <w:t>une meilleur observation</w:t>
      </w:r>
      <w:proofErr w:type="gramEnd"/>
      <w:r w:rsidRPr="00F25463">
        <w:rPr>
          <w:rFonts w:hAnsi="Times New Roman" w:cs="Times New Roman"/>
          <w:sz w:val="22"/>
          <w:szCs w:val="22"/>
        </w:rPr>
        <w:t xml:space="preserve"> du droit. Mais, pas une partie de la définition du droit.</w:t>
      </w:r>
    </w:p>
    <w:p w14:paraId="1124918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2F010E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État dans leur pratique : sont réglementé par des règles de droit international.</w:t>
      </w:r>
    </w:p>
    <w:p w14:paraId="0EC6645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0403F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-L’exécution et l’utilisation de la force peut être utilisé contre un particulier mais non pas contre la couronne.</w:t>
      </w:r>
    </w:p>
    <w:p w14:paraId="71191AE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B2B149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 État viole une règle de droit international, il sera accusé par la communauté international. Par contre, celui-ci tentera d’élaborer une excuse avec celui-ci.</w:t>
      </w:r>
    </w:p>
    <w:p w14:paraId="6EC1057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DFBC41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 : 1</w:t>
      </w:r>
      <w:r w:rsidRPr="00F25463">
        <w:rPr>
          <w:rFonts w:hAnsi="Times New Roman" w:cs="Times New Roman"/>
          <w:sz w:val="22"/>
          <w:szCs w:val="22"/>
        </w:rPr>
        <w:t xml:space="preserve">. 1970 : Canada veut, unilatéralement déclarer une zone de préservation de la pollution dans les eaux arctique (confirmé par une loi) de 100 miles. Les </w:t>
      </w:r>
      <w:proofErr w:type="spellStart"/>
      <w:r w:rsidRPr="00F25463">
        <w:rPr>
          <w:rFonts w:hAnsi="Times New Roman" w:cs="Times New Roman"/>
          <w:sz w:val="22"/>
          <w:szCs w:val="22"/>
        </w:rPr>
        <w:t>États-Unies</w:t>
      </w:r>
      <w:proofErr w:type="spellEnd"/>
      <w:r w:rsidRPr="00F25463">
        <w:rPr>
          <w:rFonts w:hAnsi="Times New Roman" w:cs="Times New Roman"/>
          <w:sz w:val="22"/>
          <w:szCs w:val="22"/>
        </w:rPr>
        <w:t xml:space="preserve"> s’oppose parce qu’il disent que le Canada viole la liberté en Haute-mer développé au début par les puissance maritimes.</w:t>
      </w:r>
    </w:p>
    <w:p w14:paraId="3E9F0ED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709D9A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Canada en réponse, dit oui en principe mais pour l’écosystème fragile en arctique c’est mieux ainsi pour protéger la terre et les </w:t>
      </w:r>
      <w:proofErr w:type="spellStart"/>
      <w:r w:rsidRPr="00F25463">
        <w:rPr>
          <w:rFonts w:hAnsi="Times New Roman" w:cs="Times New Roman"/>
          <w:sz w:val="22"/>
          <w:szCs w:val="22"/>
        </w:rPr>
        <w:t>easux</w:t>
      </w:r>
      <w:proofErr w:type="spellEnd"/>
      <w:r w:rsidRPr="00F25463">
        <w:rPr>
          <w:rFonts w:hAnsi="Times New Roman" w:cs="Times New Roman"/>
          <w:sz w:val="22"/>
          <w:szCs w:val="22"/>
        </w:rPr>
        <w:t xml:space="preserve"> de l’Atlantique et des Inuits.  Donc passe un acte en vue de bien faire.  Le Canada croit que les autres État vont </w:t>
      </w:r>
      <w:proofErr w:type="spellStart"/>
      <w:r w:rsidRPr="00F25463">
        <w:rPr>
          <w:rFonts w:hAnsi="Times New Roman" w:cs="Times New Roman"/>
          <w:sz w:val="22"/>
          <w:szCs w:val="22"/>
        </w:rPr>
        <w:t>suivre.Dû</w:t>
      </w:r>
      <w:proofErr w:type="spellEnd"/>
      <w:r w:rsidRPr="00F25463">
        <w:rPr>
          <w:rFonts w:hAnsi="Times New Roman" w:cs="Times New Roman"/>
          <w:sz w:val="22"/>
          <w:szCs w:val="22"/>
        </w:rPr>
        <w:t xml:space="preserve"> à cet acte, les autre États on embarqués comme prévue par le Canada. </w:t>
      </w:r>
    </w:p>
    <w:p w14:paraId="4FF08DD3" w14:textId="77777777" w:rsidR="00EC0180" w:rsidRPr="00F25463" w:rsidRDefault="004270F6">
      <w:pPr>
        <w:pStyle w:val="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Canada à donc utilisé les règles de droit international en incluant une autre règle sans nier l’existence du droit international pour créer unilatéralement une nouvelle règle de droit international.</w:t>
      </w:r>
    </w:p>
    <w:p w14:paraId="5A7DB8A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422F40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Ex2 </w:t>
      </w:r>
      <w:r w:rsidRPr="00F25463">
        <w:rPr>
          <w:rFonts w:hAnsi="Times New Roman" w:cs="Times New Roman"/>
          <w:sz w:val="22"/>
          <w:szCs w:val="22"/>
        </w:rPr>
        <w:t>: Union Soviétique a descendu un avion Coréen (civil).</w:t>
      </w:r>
    </w:p>
    <w:p w14:paraId="6BF8A44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L’aviation civil international est par convention et siège à Montréal. La Convention de Chicago dit que l’aviation international doit être sécuritaire et les règles établit (technique) sont pour les avions civils</w:t>
      </w:r>
    </w:p>
    <w:p w14:paraId="3CC4368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Reconnaît :</w:t>
      </w:r>
      <w:r w:rsidRPr="00F25463">
        <w:rPr>
          <w:rFonts w:hAnsi="Times New Roman" w:cs="Times New Roman"/>
          <w:sz w:val="22"/>
          <w:szCs w:val="22"/>
        </w:rPr>
        <w:t xml:space="preserve"> permet aux avion d’un État membres de survoler, sans demander, le territoire d’un pays membres. MAIS seulement les avions civil pas militaire (besoin d’une permission)</w:t>
      </w:r>
    </w:p>
    <w:p w14:paraId="4E6CABF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Motifs :</w:t>
      </w:r>
      <w:r w:rsidRPr="00F25463">
        <w:rPr>
          <w:rFonts w:hAnsi="Times New Roman" w:cs="Times New Roman"/>
          <w:sz w:val="22"/>
          <w:szCs w:val="22"/>
        </w:rPr>
        <w:t xml:space="preserve"> avion avait survolé sans lumière, sans contact radio avec les soviet donc ceux-ci ont cru en un avion espion ou militaire ennemi.</w:t>
      </w:r>
    </w:p>
    <w:p w14:paraId="3A0EE5A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Critique </w:t>
      </w:r>
      <w:r w:rsidRPr="00F25463">
        <w:rPr>
          <w:rFonts w:hAnsi="Times New Roman" w:cs="Times New Roman"/>
          <w:sz w:val="22"/>
          <w:szCs w:val="22"/>
        </w:rPr>
        <w:t xml:space="preserve">: Article ajouté à l’effet qu’un avion civil peu importe la raison ne doit sous aucun prétexte être abattu.  Le pays survolé peut seulement demander à l’avion d’atterrir dans la place la plus proche ou s’il ne le fait pas, s’adresser à l’État qu’appartient </w:t>
      </w:r>
      <w:proofErr w:type="gramStart"/>
      <w:r w:rsidRPr="00F25463">
        <w:rPr>
          <w:rFonts w:hAnsi="Times New Roman" w:cs="Times New Roman"/>
          <w:sz w:val="22"/>
          <w:szCs w:val="22"/>
        </w:rPr>
        <w:t>l’avion .</w:t>
      </w:r>
      <w:proofErr w:type="gramEnd"/>
    </w:p>
    <w:p w14:paraId="688DCC6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lastRenderedPageBreak/>
        <w:t>Note :</w:t>
      </w:r>
      <w:r w:rsidRPr="00F25463">
        <w:rPr>
          <w:rFonts w:hAnsi="Times New Roman" w:cs="Times New Roman"/>
          <w:sz w:val="22"/>
          <w:szCs w:val="22"/>
        </w:rPr>
        <w:t xml:space="preserve"> Le conseil de l’Aviation Civile Internationale a condamné ce geste, l’URSS ayant refusé qu’il fasse enquête et empêchant l’obtention de preuve.</w:t>
      </w:r>
    </w:p>
    <w:p w14:paraId="22E6775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E7DE14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377CD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 3 :</w:t>
      </w:r>
      <w:r w:rsidRPr="00F25463">
        <w:rPr>
          <w:rFonts w:hAnsi="Times New Roman" w:cs="Times New Roman"/>
          <w:sz w:val="22"/>
          <w:szCs w:val="22"/>
        </w:rPr>
        <w:t xml:space="preserve"> La Grenade en 1979 et 1983</w:t>
      </w:r>
    </w:p>
    <w:p w14:paraId="71BD124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1</w:t>
      </w:r>
      <w:r w:rsidRPr="00F25463">
        <w:rPr>
          <w:rFonts w:hAnsi="Times New Roman" w:cs="Times New Roman"/>
          <w:sz w:val="22"/>
          <w:szCs w:val="22"/>
          <w:vertAlign w:val="superscript"/>
        </w:rPr>
        <w:t>er</w:t>
      </w:r>
      <w:r w:rsidRPr="00F25463">
        <w:rPr>
          <w:rFonts w:hAnsi="Times New Roman" w:cs="Times New Roman"/>
          <w:sz w:val="22"/>
          <w:szCs w:val="22"/>
        </w:rPr>
        <w:t xml:space="preserve"> Coup d’État en 1979 par les Hommes de </w:t>
      </w:r>
      <w:proofErr w:type="spellStart"/>
      <w:r w:rsidRPr="00F25463">
        <w:rPr>
          <w:rFonts w:hAnsi="Times New Roman" w:cs="Times New Roman"/>
          <w:sz w:val="22"/>
          <w:szCs w:val="22"/>
        </w:rPr>
        <w:t>Béchop</w:t>
      </w:r>
      <w:proofErr w:type="spellEnd"/>
      <w:r w:rsidRPr="00F25463">
        <w:rPr>
          <w:rFonts w:hAnsi="Times New Roman" w:cs="Times New Roman"/>
          <w:sz w:val="22"/>
          <w:szCs w:val="22"/>
        </w:rPr>
        <w:t xml:space="preserve"> (communistes)</w:t>
      </w:r>
    </w:p>
    <w:p w14:paraId="7D7232C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2</w:t>
      </w:r>
      <w:r w:rsidRPr="00F25463">
        <w:rPr>
          <w:rFonts w:hAnsi="Times New Roman" w:cs="Times New Roman"/>
          <w:sz w:val="22"/>
          <w:szCs w:val="22"/>
          <w:vertAlign w:val="superscript"/>
        </w:rPr>
        <w:t>e</w:t>
      </w:r>
      <w:r w:rsidRPr="00F25463">
        <w:rPr>
          <w:rFonts w:hAnsi="Times New Roman" w:cs="Times New Roman"/>
          <w:sz w:val="22"/>
          <w:szCs w:val="22"/>
        </w:rPr>
        <w:t xml:space="preserve"> Coup d’État en 1983 par des partisans de </w:t>
      </w:r>
      <w:proofErr w:type="spellStart"/>
      <w:r w:rsidRPr="00F25463">
        <w:rPr>
          <w:rFonts w:hAnsi="Times New Roman" w:cs="Times New Roman"/>
          <w:sz w:val="22"/>
          <w:szCs w:val="22"/>
        </w:rPr>
        <w:t>Béchop</w:t>
      </w:r>
      <w:proofErr w:type="spellEnd"/>
      <w:r w:rsidRPr="00F25463">
        <w:rPr>
          <w:rFonts w:hAnsi="Times New Roman" w:cs="Times New Roman"/>
          <w:sz w:val="22"/>
          <w:szCs w:val="22"/>
        </w:rPr>
        <w:t xml:space="preserve"> : ce nouveau gouvernement fit en sorte de mettre un couvre feu de 24 heures par jours </w:t>
      </w:r>
      <w:proofErr w:type="spellStart"/>
      <w:r w:rsidRPr="00F25463">
        <w:rPr>
          <w:rFonts w:hAnsi="Times New Roman" w:cs="Times New Roman"/>
          <w:sz w:val="22"/>
          <w:szCs w:val="22"/>
        </w:rPr>
        <w:t>fesant</w:t>
      </w:r>
      <w:proofErr w:type="spellEnd"/>
      <w:r w:rsidRPr="00F25463">
        <w:rPr>
          <w:rFonts w:hAnsi="Times New Roman" w:cs="Times New Roman"/>
          <w:sz w:val="22"/>
          <w:szCs w:val="22"/>
        </w:rPr>
        <w:t xml:space="preserve"> en sorte de bloquer toute les personnes chez soi sous peine d’être abattue.  </w:t>
      </w:r>
    </w:p>
    <w:p w14:paraId="2112331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Il y avait des étudiant USA prisonnier donc les USA voulurent les aider.</w:t>
      </w:r>
    </w:p>
    <w:p w14:paraId="523EC18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Reprend la légitime défense (citoyens menacé)</w:t>
      </w:r>
    </w:p>
    <w:p w14:paraId="4C92955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b/>
          <w:bCs/>
          <w:sz w:val="22"/>
          <w:szCs w:val="22"/>
        </w:rPr>
      </w:pPr>
    </w:p>
    <w:p w14:paraId="2E78AAF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b/>
          <w:bCs/>
          <w:sz w:val="22"/>
          <w:szCs w:val="22"/>
        </w:rPr>
      </w:pPr>
      <w:r w:rsidRPr="00F25463">
        <w:rPr>
          <w:rFonts w:hAnsi="Times New Roman" w:cs="Times New Roman"/>
          <w:b/>
          <w:bCs/>
          <w:sz w:val="22"/>
          <w:szCs w:val="22"/>
        </w:rPr>
        <w:t>Conditions de l’intervention (légitime défense)</w:t>
      </w:r>
    </w:p>
    <w:p w14:paraId="66427BB9" w14:textId="77777777" w:rsidR="00EC0180" w:rsidRPr="00F25463" w:rsidRDefault="004270F6" w:rsidP="004270F6">
      <w:pPr>
        <w:numPr>
          <w:ilvl w:val="0"/>
          <w:numId w:val="19"/>
        </w:numPr>
        <w:tabs>
          <w:tab w:val="clear" w:pos="1740"/>
          <w:tab w:val="num" w:pos="177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0" w:hanging="360"/>
        <w:jc w:val="both"/>
        <w:rPr>
          <w:rFonts w:hAnsi="Times New Roman" w:cs="Times New Roman"/>
          <w:sz w:val="22"/>
          <w:szCs w:val="22"/>
        </w:rPr>
      </w:pPr>
      <w:r w:rsidRPr="00F25463">
        <w:rPr>
          <w:rFonts w:hAnsi="Times New Roman" w:cs="Times New Roman"/>
          <w:sz w:val="22"/>
          <w:szCs w:val="22"/>
        </w:rPr>
        <w:t xml:space="preserve">Le danger doit être vrai, imminent, substantiel </w:t>
      </w:r>
      <w:proofErr w:type="gramStart"/>
      <w:r w:rsidRPr="00F25463">
        <w:rPr>
          <w:rFonts w:hAnsi="Times New Roman" w:cs="Times New Roman"/>
          <w:sz w:val="22"/>
          <w:szCs w:val="22"/>
        </w:rPr>
        <w:t>( important</w:t>
      </w:r>
      <w:proofErr w:type="gramEnd"/>
      <w:r w:rsidRPr="00F25463">
        <w:rPr>
          <w:rFonts w:hAnsi="Times New Roman" w:cs="Times New Roman"/>
          <w:sz w:val="22"/>
          <w:szCs w:val="22"/>
        </w:rPr>
        <w:t>)</w:t>
      </w:r>
    </w:p>
    <w:p w14:paraId="1F914D7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0"/>
        <w:jc w:val="both"/>
        <w:rPr>
          <w:rFonts w:hAnsi="Times New Roman" w:cs="Times New Roman"/>
          <w:sz w:val="22"/>
          <w:szCs w:val="22"/>
        </w:rPr>
      </w:pPr>
      <w:r w:rsidRPr="00F25463">
        <w:rPr>
          <w:rFonts w:hAnsi="Times New Roman" w:cs="Times New Roman"/>
          <w:sz w:val="22"/>
          <w:szCs w:val="22"/>
        </w:rPr>
        <w:t>Donc, Intervention nécessaire (proportionnel, limiter à l’objectif prévue) dans le cas échéant les USA devaient sauvé les étudiants USA.</w:t>
      </w:r>
    </w:p>
    <w:p w14:paraId="24548460" w14:textId="77777777" w:rsidR="00EC0180" w:rsidRPr="00F25463" w:rsidRDefault="004270F6" w:rsidP="004270F6">
      <w:pPr>
        <w:numPr>
          <w:ilvl w:val="1"/>
          <w:numId w:val="20"/>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sz w:val="22"/>
          <w:szCs w:val="22"/>
        </w:rPr>
        <w:t>Légitime défense</w:t>
      </w:r>
    </w:p>
    <w:p w14:paraId="596723AD" w14:textId="77777777" w:rsidR="00EC0180" w:rsidRPr="00F25463" w:rsidRDefault="004270F6" w:rsidP="004270F6">
      <w:pPr>
        <w:numPr>
          <w:ilvl w:val="1"/>
          <w:numId w:val="20"/>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sz w:val="22"/>
          <w:szCs w:val="22"/>
        </w:rPr>
        <w:t>Organisation Caraïbe de l’Est (OECE) : permet de demander de l’aide à un État membre</w:t>
      </w:r>
    </w:p>
    <w:p w14:paraId="64D084A7" w14:textId="77777777" w:rsidR="00EC0180" w:rsidRPr="00F25463" w:rsidRDefault="004270F6" w:rsidP="004270F6">
      <w:pPr>
        <w:numPr>
          <w:ilvl w:val="1"/>
          <w:numId w:val="20"/>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sz w:val="22"/>
          <w:szCs w:val="22"/>
        </w:rPr>
        <w:t>Intervention militaire est utilisé</w:t>
      </w:r>
    </w:p>
    <w:p w14:paraId="2E7DEE95" w14:textId="77777777" w:rsidR="00EC0180" w:rsidRPr="00F25463" w:rsidRDefault="004270F6" w:rsidP="004270F6">
      <w:pPr>
        <w:numPr>
          <w:ilvl w:val="2"/>
          <w:numId w:val="21"/>
        </w:numPr>
        <w:tabs>
          <w:tab w:val="clear" w:pos="3182"/>
          <w:tab w:val="num" w:pos="3210"/>
          <w:tab w:val="left" w:pos="3540"/>
          <w:tab w:val="left" w:pos="4248"/>
          <w:tab w:val="left" w:pos="4956"/>
          <w:tab w:val="left" w:pos="5664"/>
          <w:tab w:val="left" w:pos="6372"/>
          <w:tab w:val="left" w:pos="7080"/>
          <w:tab w:val="left" w:pos="7788"/>
          <w:tab w:val="left" w:pos="8496"/>
          <w:tab w:val="left" w:pos="9204"/>
          <w:tab w:val="left" w:pos="9472"/>
        </w:tabs>
        <w:ind w:left="3210" w:hanging="340"/>
        <w:jc w:val="both"/>
        <w:rPr>
          <w:rFonts w:hAnsi="Times New Roman" w:cs="Times New Roman"/>
          <w:sz w:val="22"/>
          <w:szCs w:val="22"/>
        </w:rPr>
      </w:pPr>
      <w:r w:rsidRPr="00F25463">
        <w:rPr>
          <w:rFonts w:hAnsi="Times New Roman" w:cs="Times New Roman"/>
          <w:sz w:val="22"/>
          <w:szCs w:val="22"/>
        </w:rPr>
        <w:t>Légitime défense</w:t>
      </w:r>
    </w:p>
    <w:p w14:paraId="3036A3E5" w14:textId="77777777" w:rsidR="00EC0180" w:rsidRPr="00F25463" w:rsidRDefault="004270F6" w:rsidP="004270F6">
      <w:pPr>
        <w:numPr>
          <w:ilvl w:val="2"/>
          <w:numId w:val="21"/>
        </w:numPr>
        <w:tabs>
          <w:tab w:val="clear" w:pos="3182"/>
          <w:tab w:val="num" w:pos="3210"/>
          <w:tab w:val="left" w:pos="3540"/>
          <w:tab w:val="left" w:pos="4248"/>
          <w:tab w:val="left" w:pos="4956"/>
          <w:tab w:val="left" w:pos="5664"/>
          <w:tab w:val="left" w:pos="6372"/>
          <w:tab w:val="left" w:pos="7080"/>
          <w:tab w:val="left" w:pos="7788"/>
          <w:tab w:val="left" w:pos="8496"/>
          <w:tab w:val="left" w:pos="9204"/>
          <w:tab w:val="left" w:pos="9472"/>
        </w:tabs>
        <w:ind w:left="3210" w:hanging="340"/>
        <w:jc w:val="both"/>
        <w:rPr>
          <w:rFonts w:hAnsi="Times New Roman" w:cs="Times New Roman"/>
          <w:sz w:val="22"/>
          <w:szCs w:val="22"/>
        </w:rPr>
      </w:pPr>
      <w:r w:rsidRPr="00F25463">
        <w:rPr>
          <w:rFonts w:hAnsi="Times New Roman" w:cs="Times New Roman"/>
          <w:sz w:val="22"/>
          <w:szCs w:val="22"/>
        </w:rPr>
        <w:t>Chef d’État demande de l’aide, intervention</w:t>
      </w:r>
    </w:p>
    <w:p w14:paraId="3B3A52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78AF8B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Dans ce cas, les USA ont dit que le chef d’état leur avait demander d’intervenir </w:t>
      </w:r>
    </w:p>
    <w:p w14:paraId="3973DF3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-Mais le chef d’état est comme notre gouverneur général donc sans pouvoir dans son pays.</w:t>
      </w:r>
    </w:p>
    <w:p w14:paraId="2D481CC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-Il aurait fallu que ce soit le vrai chef qui demande de l’aide aux USA pour que l’attaque soit valide.</w:t>
      </w:r>
    </w:p>
    <w:p w14:paraId="42859EB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-La justification n’est donc pas valide mais ils ont quand même </w:t>
      </w:r>
      <w:proofErr w:type="gramStart"/>
      <w:r w:rsidRPr="00F25463">
        <w:rPr>
          <w:rFonts w:hAnsi="Times New Roman" w:cs="Times New Roman"/>
          <w:sz w:val="22"/>
          <w:szCs w:val="22"/>
        </w:rPr>
        <w:t>tenter</w:t>
      </w:r>
      <w:proofErr w:type="gramEnd"/>
      <w:r w:rsidRPr="00F25463">
        <w:rPr>
          <w:rFonts w:hAnsi="Times New Roman" w:cs="Times New Roman"/>
          <w:sz w:val="22"/>
          <w:szCs w:val="22"/>
        </w:rPr>
        <w:t xml:space="preserve"> de répondre aux accusation par des règles de droit international et pas en les ignorants.</w:t>
      </w:r>
    </w:p>
    <w:p w14:paraId="1B25CB5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13F57BD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Ex4 </w:t>
      </w:r>
      <w:r w:rsidRPr="00F25463">
        <w:rPr>
          <w:rFonts w:hAnsi="Times New Roman" w:cs="Times New Roman"/>
          <w:sz w:val="22"/>
          <w:szCs w:val="22"/>
        </w:rPr>
        <w:t xml:space="preserve">: 1989-90 : USA envahissent Panama parce que ceux-ci auraient attaqués des Marines qui sortaient d’un bar (traité secret). </w:t>
      </w:r>
    </w:p>
    <w:p w14:paraId="4B9C3D9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IL on allégué un rapport qui dit qu’une attaque massive était sur le point de se produire contre eux donc ils ont agit en Légitime défense.</w:t>
      </w:r>
    </w:p>
    <w:p w14:paraId="43F3D84B" w14:textId="77777777" w:rsidR="00EC0180" w:rsidRPr="00F25463" w:rsidRDefault="004270F6" w:rsidP="004270F6">
      <w:pPr>
        <w:numPr>
          <w:ilvl w:val="0"/>
          <w:numId w:val="22"/>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Menace imminente, substantiel et vrai = attaque nécessaire</w:t>
      </w:r>
    </w:p>
    <w:p w14:paraId="7CBD9A8C" w14:textId="77777777" w:rsidR="00EC0180" w:rsidRPr="00F25463" w:rsidRDefault="004270F6" w:rsidP="004270F6">
      <w:pPr>
        <w:numPr>
          <w:ilvl w:val="0"/>
          <w:numId w:val="22"/>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La réponse à l’attaque doit être proportionnel.</w:t>
      </w:r>
    </w:p>
    <w:p w14:paraId="10DEDCE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0CC6C7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***S’il y a un doute sur l’acte ce n’est pas légitime défense</w:t>
      </w:r>
    </w:p>
    <w:p w14:paraId="4D6B05E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 intervention est exagéré, pas légitime défense.</w:t>
      </w:r>
    </w:p>
    <w:p w14:paraId="1DCF1B0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D4BE14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Raisons dites : attaque sur leurs Marines</w:t>
      </w:r>
    </w:p>
    <w:p w14:paraId="530D906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Mais la vraie raison était d’enlever le régime en présence </w:t>
      </w:r>
    </w:p>
    <w:p w14:paraId="4A69505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53C687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Ces 4 exemples démontrent donc que les États font appel aux règles de droit international pour justifier leurs actes plutôt que d’alléguer leur souveraineté.</w:t>
      </w:r>
    </w:p>
    <w:p w14:paraId="3981241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A51F49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Le droit international est un droit politique </w:t>
      </w:r>
      <w:proofErr w:type="spellStart"/>
      <w:r w:rsidRPr="00F25463">
        <w:rPr>
          <w:rFonts w:hAnsi="Times New Roman" w:cs="Times New Roman"/>
          <w:sz w:val="22"/>
          <w:szCs w:val="22"/>
        </w:rPr>
        <w:t>analogueet</w:t>
      </w:r>
      <w:proofErr w:type="spellEnd"/>
      <w:r w:rsidRPr="00F25463">
        <w:rPr>
          <w:rFonts w:hAnsi="Times New Roman" w:cs="Times New Roman"/>
          <w:sz w:val="22"/>
          <w:szCs w:val="22"/>
        </w:rPr>
        <w:t xml:space="preserve"> semblable au droit constitutionnel d’un État.  Les membres de la communauté internationale sont donc animés par deux forces contradictoires :</w:t>
      </w:r>
    </w:p>
    <w:p w14:paraId="2521698D"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Le besoin d’association</w:t>
      </w:r>
    </w:p>
    <w:p w14:paraId="0DDB0325" w14:textId="77777777" w:rsidR="00EC0180" w:rsidRPr="00F25463" w:rsidRDefault="004270F6" w:rsidP="004270F6">
      <w:pPr>
        <w:numPr>
          <w:ilvl w:val="0"/>
          <w:numId w:val="2"/>
        </w:numPr>
        <w:tabs>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jc w:val="both"/>
        <w:rPr>
          <w:rFonts w:hAnsi="Times New Roman" w:cs="Times New Roman"/>
        </w:rPr>
      </w:pPr>
      <w:r w:rsidRPr="00F25463">
        <w:rPr>
          <w:rFonts w:hAnsi="Times New Roman" w:cs="Times New Roman"/>
          <w:sz w:val="22"/>
          <w:szCs w:val="22"/>
        </w:rPr>
        <w:t>La volonté d’autonomie</w:t>
      </w:r>
    </w:p>
    <w:p w14:paraId="2614496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350DFA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Traité d’extradition </w:t>
      </w:r>
      <w:r w:rsidRPr="00F25463">
        <w:rPr>
          <w:rFonts w:hAnsi="Times New Roman" w:cs="Times New Roman"/>
          <w:sz w:val="22"/>
          <w:szCs w:val="22"/>
        </w:rPr>
        <w:t>: liste de crime ou le réfugié peu être soit jugé ou extradé</w:t>
      </w:r>
    </w:p>
    <w:p w14:paraId="00A06DA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259B2F7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Concept du </w:t>
      </w:r>
      <w:proofErr w:type="spellStart"/>
      <w:r w:rsidRPr="00F25463">
        <w:rPr>
          <w:rFonts w:hAnsi="Times New Roman" w:cs="Times New Roman"/>
          <w:b/>
          <w:bCs/>
          <w:sz w:val="22"/>
          <w:szCs w:val="22"/>
        </w:rPr>
        <w:t>Juscogens</w:t>
      </w:r>
      <w:proofErr w:type="spellEnd"/>
      <w:r w:rsidRPr="00F25463">
        <w:rPr>
          <w:rFonts w:hAnsi="Times New Roman" w:cs="Times New Roman"/>
          <w:sz w:val="22"/>
          <w:szCs w:val="22"/>
        </w:rPr>
        <w:t> : concept fait en sorte de porter atteinte à la dignité de la personne humaine.</w:t>
      </w:r>
    </w:p>
    <w:p w14:paraId="4D7941A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lastRenderedPageBreak/>
        <w:tab/>
      </w:r>
      <w:r w:rsidRPr="00F25463">
        <w:rPr>
          <w:rFonts w:hAnsi="Times New Roman" w:cs="Times New Roman"/>
          <w:b/>
          <w:bCs/>
          <w:sz w:val="22"/>
          <w:szCs w:val="22"/>
        </w:rPr>
        <w:t>Ex </w:t>
      </w:r>
      <w:r w:rsidRPr="00F25463">
        <w:rPr>
          <w:rFonts w:hAnsi="Times New Roman" w:cs="Times New Roman"/>
          <w:sz w:val="22"/>
          <w:szCs w:val="22"/>
        </w:rPr>
        <w:t>: crime contre l’Humanité, de guerre, détournement d’avion…</w:t>
      </w:r>
    </w:p>
    <w:p w14:paraId="3FD94D7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E7DDEF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u w:val="single"/>
        </w:rPr>
        <w:t>État estime qu’il est victime d’une infraction d’une règle de droit international</w:t>
      </w:r>
      <w:r w:rsidRPr="00F25463">
        <w:rPr>
          <w:rFonts w:hAnsi="Times New Roman" w:cs="Times New Roman"/>
          <w:sz w:val="22"/>
          <w:szCs w:val="22"/>
        </w:rPr>
        <w:t>.</w:t>
      </w:r>
    </w:p>
    <w:p w14:paraId="0DE08D6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Ex</w:t>
      </w:r>
      <w:r w:rsidRPr="00F25463">
        <w:rPr>
          <w:rFonts w:hAnsi="Times New Roman" w:cs="Times New Roman"/>
          <w:sz w:val="22"/>
          <w:szCs w:val="22"/>
        </w:rPr>
        <w:t> : Canada a été victime d’un dommage (mort d’un civil) lorsque les soviets on abattu l’avion coréen.  Cause-Effet = veut des dommages</w:t>
      </w:r>
    </w:p>
    <w:p w14:paraId="7A9DFED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Ex2</w:t>
      </w:r>
      <w:r w:rsidRPr="00F25463">
        <w:rPr>
          <w:rFonts w:hAnsi="Times New Roman" w:cs="Times New Roman"/>
          <w:sz w:val="22"/>
          <w:szCs w:val="22"/>
        </w:rPr>
        <w:t> : Obtenir une compensation</w:t>
      </w:r>
    </w:p>
    <w:p w14:paraId="1A47389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USA Vs La Grenade</w:t>
      </w:r>
    </w:p>
    <w:p w14:paraId="39526CF1" w14:textId="77777777" w:rsidR="00EC0180" w:rsidRPr="00F25463" w:rsidRDefault="004270F6" w:rsidP="004270F6">
      <w:pPr>
        <w:pStyle w:val="BodyText"/>
        <w:numPr>
          <w:ilvl w:val="0"/>
          <w:numId w:val="2"/>
        </w:numPr>
        <w:tabs>
          <w:tab w:val="clear" w:pos="360"/>
          <w:tab w:val="clear" w:pos="1743"/>
          <w:tab w:val="num" w:pos="177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73" w:hanging="360"/>
        <w:rPr>
          <w:rFonts w:hAnsi="Times New Roman" w:cs="Times New Roman"/>
        </w:rPr>
      </w:pPr>
      <w:r w:rsidRPr="00F25463">
        <w:rPr>
          <w:rFonts w:hAnsi="Times New Roman" w:cs="Times New Roman"/>
          <w:sz w:val="22"/>
          <w:szCs w:val="22"/>
        </w:rPr>
        <w:t>La Canada n’était pas d’accord sur l’intervention, ils ont dit pas une légitime défense et donc exprimé leur opinion avec une règle de droit international.</w:t>
      </w:r>
    </w:p>
    <w:p w14:paraId="2A2A37F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roofErr w:type="spellStart"/>
      <w:r w:rsidRPr="00F25463">
        <w:rPr>
          <w:rFonts w:hAnsi="Times New Roman" w:cs="Times New Roman"/>
          <w:sz w:val="22"/>
          <w:szCs w:val="22"/>
        </w:rPr>
        <w:t>Chap</w:t>
      </w:r>
      <w:proofErr w:type="spellEnd"/>
      <w:r w:rsidRPr="00F25463">
        <w:rPr>
          <w:rFonts w:hAnsi="Times New Roman" w:cs="Times New Roman"/>
          <w:sz w:val="22"/>
          <w:szCs w:val="22"/>
        </w:rPr>
        <w:t> 1. Les sources du droit International public.</w:t>
      </w:r>
    </w:p>
    <w:p w14:paraId="30B1AD1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2B4AF5B9"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Section 1. Généralités</w:t>
      </w:r>
    </w:p>
    <w:p w14:paraId="75C178E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A48D0D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La communauté internationale n’a pas de constitution proprement dite. (</w:t>
      </w:r>
      <w:proofErr w:type="gramStart"/>
      <w:r w:rsidRPr="00F25463">
        <w:rPr>
          <w:rFonts w:hAnsi="Times New Roman" w:cs="Times New Roman"/>
          <w:sz w:val="22"/>
          <w:szCs w:val="22"/>
        </w:rPr>
        <w:t>ce</w:t>
      </w:r>
      <w:proofErr w:type="gramEnd"/>
      <w:r w:rsidRPr="00F25463">
        <w:rPr>
          <w:rFonts w:hAnsi="Times New Roman" w:cs="Times New Roman"/>
          <w:sz w:val="22"/>
          <w:szCs w:val="22"/>
        </w:rPr>
        <w:t xml:space="preserve"> n’est pas comme au droit-interne).  On se fonde sur plusieurs textes tels que la Charte des Nations-Unies et le Statut de la Cour national. On utilise l’art. 38 des Statuts de la CIJ pour appliquer les règles du droit international.  Cela est universellement accepté par les États des N.U.</w:t>
      </w:r>
    </w:p>
    <w:p w14:paraId="7680E9D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A99166F" w14:textId="77777777" w:rsidR="00EC0180" w:rsidRPr="00F25463" w:rsidRDefault="004270F6">
      <w:pPr>
        <w:pStyle w:val="Heading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Pour identifier les Sources</w:t>
      </w:r>
    </w:p>
    <w:p w14:paraId="6DFE751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55DDF7B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b/>
          <w:bCs/>
          <w:sz w:val="22"/>
          <w:szCs w:val="22"/>
        </w:rPr>
      </w:pPr>
      <w:r w:rsidRPr="00F25463">
        <w:rPr>
          <w:rFonts w:hAnsi="Times New Roman" w:cs="Times New Roman"/>
          <w:b/>
          <w:bCs/>
          <w:sz w:val="22"/>
          <w:szCs w:val="22"/>
        </w:rPr>
        <w:t>Voir Art 38 dans le Statut de la Cour international de justice</w:t>
      </w:r>
    </w:p>
    <w:p w14:paraId="3F75596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Traité Universelle avec tout les États souverain.</w:t>
      </w:r>
    </w:p>
    <w:p w14:paraId="13F4E06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4508FA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38</w:t>
      </w:r>
      <w:r w:rsidRPr="00F25463">
        <w:rPr>
          <w:rFonts w:hAnsi="Times New Roman" w:cs="Times New Roman"/>
          <w:sz w:val="22"/>
          <w:szCs w:val="22"/>
        </w:rPr>
        <w:t> : La cour, dont la mission est de régler conformément au droit international les différents qui lui sont soumis, applique :</w:t>
      </w:r>
    </w:p>
    <w:p w14:paraId="11A4C0A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Moyen Auxiliaire</w:t>
      </w:r>
    </w:p>
    <w:p w14:paraId="787FBA94" w14:textId="77777777" w:rsidR="00EC0180" w:rsidRPr="00F25463" w:rsidRDefault="004270F6" w:rsidP="004270F6">
      <w:pPr>
        <w:numPr>
          <w:ilvl w:val="0"/>
          <w:numId w:val="23"/>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 les conventions internationales, soit général ou spéciales établissant des règles expressément reconnues par les États en litige.</w:t>
      </w:r>
    </w:p>
    <w:p w14:paraId="5725BFE4" w14:textId="77777777" w:rsidR="00EC0180" w:rsidRPr="00F25463" w:rsidRDefault="004270F6" w:rsidP="004270F6">
      <w:pPr>
        <w:numPr>
          <w:ilvl w:val="0"/>
          <w:numId w:val="23"/>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 les coutumes internationale comme de pratique générale acceptée comme étant le droit.</w:t>
      </w:r>
    </w:p>
    <w:p w14:paraId="5E3F7F0B" w14:textId="77777777" w:rsidR="00EC0180" w:rsidRPr="00F25463" w:rsidRDefault="004270F6" w:rsidP="004270F6">
      <w:pPr>
        <w:numPr>
          <w:ilvl w:val="0"/>
          <w:numId w:val="23"/>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les principes généraux de droit reconnus par des Nations Civilisés</w:t>
      </w:r>
    </w:p>
    <w:p w14:paraId="44F9B471" w14:textId="77777777" w:rsidR="00EC0180" w:rsidRPr="00F25463" w:rsidRDefault="004270F6" w:rsidP="004270F6">
      <w:pPr>
        <w:numPr>
          <w:ilvl w:val="0"/>
          <w:numId w:val="23"/>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 sous réserve de l’art 59, les décisions judiciaires et la doctrine des publicistes les plus qualifiés des différentes nations, comme moyens auxiliaire de détermination des règles de droit. </w:t>
      </w:r>
    </w:p>
    <w:p w14:paraId="3A8C3F06"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315A993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 xml:space="preserve">La présente disposition ne porte pas atteinte à la faculté de la Cour de Statuer </w:t>
      </w:r>
      <w:r w:rsidRPr="00F25463">
        <w:rPr>
          <w:rFonts w:hAnsi="Times New Roman" w:cs="Times New Roman"/>
          <w:b/>
          <w:bCs/>
          <w:sz w:val="22"/>
          <w:szCs w:val="22"/>
        </w:rPr>
        <w:t xml:space="preserve">ex æquo et </w:t>
      </w:r>
      <w:proofErr w:type="spellStart"/>
      <w:r w:rsidRPr="00F25463">
        <w:rPr>
          <w:rFonts w:hAnsi="Times New Roman" w:cs="Times New Roman"/>
          <w:b/>
          <w:bCs/>
          <w:sz w:val="22"/>
          <w:szCs w:val="22"/>
        </w:rPr>
        <w:t>bono</w:t>
      </w:r>
      <w:proofErr w:type="spellEnd"/>
      <w:r w:rsidRPr="00F25463">
        <w:rPr>
          <w:rFonts w:hAnsi="Times New Roman" w:cs="Times New Roman"/>
          <w:b/>
          <w:bCs/>
          <w:sz w:val="22"/>
          <w:szCs w:val="22"/>
        </w:rPr>
        <w:t>.</w:t>
      </w:r>
      <w:r w:rsidRPr="00F25463">
        <w:rPr>
          <w:rFonts w:hAnsi="Times New Roman" w:cs="Times New Roman"/>
          <w:sz w:val="22"/>
          <w:szCs w:val="22"/>
        </w:rPr>
        <w:t xml:space="preserve">  Juger </w:t>
      </w:r>
      <w:r w:rsidRPr="00F25463">
        <w:rPr>
          <w:rFonts w:hAnsi="Times New Roman" w:cs="Times New Roman"/>
          <w:b/>
          <w:bCs/>
          <w:sz w:val="22"/>
          <w:szCs w:val="22"/>
        </w:rPr>
        <w:t xml:space="preserve">ex æquo et </w:t>
      </w:r>
      <w:proofErr w:type="spellStart"/>
      <w:r w:rsidRPr="00F25463">
        <w:rPr>
          <w:rFonts w:hAnsi="Times New Roman" w:cs="Times New Roman"/>
          <w:b/>
          <w:bCs/>
          <w:sz w:val="22"/>
          <w:szCs w:val="22"/>
        </w:rPr>
        <w:t>bono</w:t>
      </w:r>
      <w:proofErr w:type="spellEnd"/>
      <w:r w:rsidRPr="00F25463">
        <w:rPr>
          <w:rFonts w:hAnsi="Times New Roman" w:cs="Times New Roman"/>
          <w:sz w:val="22"/>
          <w:szCs w:val="22"/>
        </w:rPr>
        <w:t>, c’est juger en équité plutôt que selon des règles strictes de droit. Les parties doivent être d’accord avant la décision du tribunal. Doit demander au tribunal d’intenter une solution à leur litige</w:t>
      </w:r>
    </w:p>
    <w:p w14:paraId="7BB4396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C0C0D1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De cet article ressort les 6 sources du droit international.</w:t>
      </w:r>
    </w:p>
    <w:p w14:paraId="0560484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59C1F32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u w:val="single"/>
        </w:rPr>
      </w:pPr>
      <w:r w:rsidRPr="00F25463">
        <w:rPr>
          <w:rFonts w:hAnsi="Times New Roman" w:cs="Times New Roman"/>
          <w:sz w:val="22"/>
          <w:szCs w:val="22"/>
          <w:u w:val="single"/>
        </w:rPr>
        <w:t xml:space="preserve">Sources autonomes : </w:t>
      </w:r>
    </w:p>
    <w:p w14:paraId="009B23AD" w14:textId="77777777" w:rsidR="00EC0180" w:rsidRPr="00F25463" w:rsidRDefault="004270F6" w:rsidP="004270F6">
      <w:pPr>
        <w:numPr>
          <w:ilvl w:val="3"/>
          <w:numId w:val="24"/>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Les conventions</w:t>
      </w:r>
    </w:p>
    <w:p w14:paraId="5AB44FE7" w14:textId="77777777" w:rsidR="00EC0180" w:rsidRPr="00F25463" w:rsidRDefault="004270F6" w:rsidP="004270F6">
      <w:pPr>
        <w:numPr>
          <w:ilvl w:val="3"/>
          <w:numId w:val="24"/>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La coutume</w:t>
      </w:r>
    </w:p>
    <w:p w14:paraId="526A49A1" w14:textId="77777777" w:rsidR="00EC0180" w:rsidRPr="00F25463" w:rsidRDefault="004270F6" w:rsidP="004270F6">
      <w:pPr>
        <w:numPr>
          <w:ilvl w:val="3"/>
          <w:numId w:val="24"/>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Les principes généraux de droit</w:t>
      </w:r>
    </w:p>
    <w:p w14:paraId="52977C54" w14:textId="77777777" w:rsidR="00EC0180" w:rsidRPr="00F25463" w:rsidRDefault="004270F6">
      <w:pPr>
        <w:tabs>
          <w:tab w:val="left" w:pos="2520"/>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u w:val="single"/>
        </w:rPr>
        <w:t>Sources auxiliaires</w:t>
      </w:r>
      <w:r w:rsidRPr="00F25463">
        <w:rPr>
          <w:rFonts w:hAnsi="Times New Roman" w:cs="Times New Roman"/>
          <w:sz w:val="22"/>
          <w:szCs w:val="22"/>
        </w:rPr>
        <w:t> :</w:t>
      </w:r>
      <w:r w:rsidRPr="00F25463">
        <w:rPr>
          <w:rFonts w:hAnsi="Times New Roman" w:cs="Times New Roman"/>
          <w:sz w:val="22"/>
          <w:szCs w:val="22"/>
        </w:rPr>
        <w:tab/>
        <w:t>4.   La jurisprudence</w:t>
      </w:r>
    </w:p>
    <w:p w14:paraId="1889905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12" w:firstLine="708"/>
        <w:jc w:val="both"/>
        <w:rPr>
          <w:rFonts w:hAnsi="Times New Roman" w:cs="Times New Roman"/>
          <w:sz w:val="22"/>
          <w:szCs w:val="22"/>
        </w:rPr>
      </w:pPr>
      <w:r w:rsidRPr="00F25463">
        <w:rPr>
          <w:rFonts w:hAnsi="Times New Roman" w:cs="Times New Roman"/>
          <w:sz w:val="22"/>
          <w:szCs w:val="22"/>
        </w:rPr>
        <w:t>5.   La doctrine</w:t>
      </w:r>
    </w:p>
    <w:p w14:paraId="7073FE3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205" w:firstLine="315"/>
        <w:jc w:val="both"/>
        <w:rPr>
          <w:rFonts w:hAnsi="Times New Roman" w:cs="Times New Roman"/>
          <w:sz w:val="22"/>
          <w:szCs w:val="22"/>
        </w:rPr>
      </w:pPr>
      <w:r w:rsidRPr="00F25463">
        <w:rPr>
          <w:rFonts w:hAnsi="Times New Roman" w:cs="Times New Roman"/>
          <w:sz w:val="22"/>
          <w:szCs w:val="22"/>
        </w:rPr>
        <w:t xml:space="preserve">6.   L’équité (ex æquo et </w:t>
      </w:r>
      <w:proofErr w:type="spellStart"/>
      <w:r w:rsidRPr="00F25463">
        <w:rPr>
          <w:rFonts w:hAnsi="Times New Roman" w:cs="Times New Roman"/>
          <w:sz w:val="22"/>
          <w:szCs w:val="22"/>
        </w:rPr>
        <w:t>bono</w:t>
      </w:r>
      <w:proofErr w:type="spellEnd"/>
      <w:r w:rsidRPr="00F25463">
        <w:rPr>
          <w:rFonts w:hAnsi="Times New Roman" w:cs="Times New Roman"/>
          <w:sz w:val="22"/>
          <w:szCs w:val="22"/>
        </w:rPr>
        <w:t>)</w:t>
      </w:r>
    </w:p>
    <w:p w14:paraId="2CEBD02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9C678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Les sources auxiliaires ne sont pas créatrices de droit : (elle nous aident plutôt à le comprendre en le constatant)</w:t>
      </w:r>
    </w:p>
    <w:p w14:paraId="243C118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F78B16C" w14:textId="77777777" w:rsidR="00EC0180" w:rsidRPr="00F25463" w:rsidRDefault="004270F6" w:rsidP="004270F6">
      <w:pPr>
        <w:pStyle w:val="BodyTextIndent"/>
        <w:numPr>
          <w:ilvl w:val="0"/>
          <w:numId w:val="2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b/>
          <w:bCs/>
          <w:sz w:val="22"/>
          <w:szCs w:val="22"/>
        </w:rPr>
        <w:t>La jurisprudence</w:t>
      </w:r>
      <w:r w:rsidRPr="00F25463">
        <w:rPr>
          <w:rFonts w:hAnsi="Times New Roman" w:cs="Times New Roman"/>
          <w:sz w:val="22"/>
          <w:szCs w:val="22"/>
        </w:rPr>
        <w:t xml:space="preserve"> : </w:t>
      </w:r>
    </w:p>
    <w:p w14:paraId="443B461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0FDA41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Elle comprend les décisions et les arbitrages de la CIJ et de l’ancienne CIJP.  Elle comprend aussi les décisions judiciaires internes des États.</w:t>
      </w:r>
    </w:p>
    <w:p w14:paraId="0D8E0E1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1DBF06C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b/>
          <w:bCs/>
          <w:sz w:val="22"/>
          <w:szCs w:val="22"/>
        </w:rPr>
        <w:t>Art 59 CIJ </w:t>
      </w:r>
      <w:r w:rsidRPr="00F25463">
        <w:rPr>
          <w:rFonts w:hAnsi="Times New Roman" w:cs="Times New Roman"/>
          <w:sz w:val="22"/>
          <w:szCs w:val="22"/>
        </w:rPr>
        <w:t xml:space="preserve">: Les décisions de la Cour sont obligatoire que pour les parties en litige et  ce qui a été décidé.  Il n’y a donc pas de Stare </w:t>
      </w:r>
      <w:proofErr w:type="spellStart"/>
      <w:r w:rsidRPr="00F25463">
        <w:rPr>
          <w:rFonts w:hAnsi="Times New Roman" w:cs="Times New Roman"/>
          <w:sz w:val="22"/>
          <w:szCs w:val="22"/>
        </w:rPr>
        <w:t>Decisis</w:t>
      </w:r>
      <w:proofErr w:type="spellEnd"/>
      <w:r w:rsidRPr="00F25463">
        <w:rPr>
          <w:rFonts w:hAnsi="Times New Roman" w:cs="Times New Roman"/>
          <w:sz w:val="22"/>
          <w:szCs w:val="22"/>
        </w:rPr>
        <w:t xml:space="preserve"> pour </w:t>
      </w:r>
      <w:proofErr w:type="gramStart"/>
      <w:r w:rsidRPr="00F25463">
        <w:rPr>
          <w:rFonts w:hAnsi="Times New Roman" w:cs="Times New Roman"/>
          <w:sz w:val="22"/>
          <w:szCs w:val="22"/>
        </w:rPr>
        <w:t>les décision</w:t>
      </w:r>
      <w:proofErr w:type="gramEnd"/>
      <w:r w:rsidRPr="00F25463">
        <w:rPr>
          <w:rFonts w:hAnsi="Times New Roman" w:cs="Times New Roman"/>
          <w:sz w:val="22"/>
          <w:szCs w:val="22"/>
        </w:rPr>
        <w:t xml:space="preserve"> de la CIJ contrairement à la </w:t>
      </w:r>
      <w:proofErr w:type="spellStart"/>
      <w:r w:rsidRPr="00F25463">
        <w:rPr>
          <w:rFonts w:hAnsi="Times New Roman" w:cs="Times New Roman"/>
          <w:sz w:val="22"/>
          <w:szCs w:val="22"/>
        </w:rPr>
        <w:t>Commonlaw</w:t>
      </w:r>
      <w:proofErr w:type="spellEnd"/>
      <w:r w:rsidRPr="00F25463">
        <w:rPr>
          <w:rFonts w:hAnsi="Times New Roman" w:cs="Times New Roman"/>
          <w:sz w:val="22"/>
          <w:szCs w:val="22"/>
        </w:rPr>
        <w:t>.</w:t>
      </w:r>
    </w:p>
    <w:p w14:paraId="4474079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3254ED86" w14:textId="77777777" w:rsidR="00EC0180" w:rsidRPr="00F25463" w:rsidRDefault="004270F6">
      <w:pPr>
        <w:pStyle w:val="Heading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Art 59 du Statu de la Cour International de Justice</w:t>
      </w:r>
    </w:p>
    <w:p w14:paraId="7F28FF33"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Autorité de la chose seulement, peu pas citer dans </w:t>
      </w:r>
      <w:proofErr w:type="gramStart"/>
      <w:r w:rsidRPr="00F25463">
        <w:rPr>
          <w:rFonts w:hAnsi="Times New Roman" w:cs="Times New Roman"/>
          <w:sz w:val="22"/>
          <w:szCs w:val="22"/>
        </w:rPr>
        <w:t>un plaidoirie</w:t>
      </w:r>
      <w:proofErr w:type="gramEnd"/>
      <w:r w:rsidRPr="00F25463">
        <w:rPr>
          <w:rFonts w:hAnsi="Times New Roman" w:cs="Times New Roman"/>
          <w:sz w:val="22"/>
          <w:szCs w:val="22"/>
        </w:rPr>
        <w:t xml:space="preserve"> qui pourrait s’imposer au jugement de la cause. Peu seulement être citer comme doctrine</w:t>
      </w:r>
    </w:p>
    <w:p w14:paraId="62D3395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Il constatent comment les règles de droit ont été interpréter au paravent.</w:t>
      </w:r>
    </w:p>
    <w:p w14:paraId="5C4BBB8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Jurisprudence interne peu être invoqué pour donner un exemple.  Allègue les actes (pratique) des États pour démontrer une nouvelle règle de droit coutumier.</w:t>
      </w:r>
    </w:p>
    <w:p w14:paraId="6065628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jurisprudence externe (international) ne s’impose qu’aux parties en cause et aident à dire les règles de droit applicable dans un même type de cause.</w:t>
      </w:r>
    </w:p>
    <w:p w14:paraId="2C82FD3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3838E4B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*L’addition des décisions dans un même sens crée la coutume.  Ces décisions permettent alors de démontrer l’existence et le contenu de la coutume.</w:t>
      </w:r>
    </w:p>
    <w:p w14:paraId="79AB5A7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3DBA1EC2" w14:textId="77777777" w:rsidR="00EC0180" w:rsidRPr="00F25463" w:rsidRDefault="004270F6" w:rsidP="004270F6">
      <w:pPr>
        <w:numPr>
          <w:ilvl w:val="0"/>
          <w:numId w:val="27"/>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La Doctrine</w:t>
      </w:r>
    </w:p>
    <w:p w14:paraId="283AD3D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73DCBC8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La doctrine n’est pas une source autonome puisque les auteurs ne créent pas le droit.  Ils le constatent, l’analysent et le commentent.  La Doctrine est un moyen qui aide la cour à trouver une règle de droit applicable dans la situation.</w:t>
      </w:r>
    </w:p>
    <w:p w14:paraId="7638C14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7A5BE34F" w14:textId="77777777" w:rsidR="00EC0180" w:rsidRPr="00F25463" w:rsidRDefault="004270F6" w:rsidP="004270F6">
      <w:pPr>
        <w:numPr>
          <w:ilvl w:val="0"/>
          <w:numId w:val="27"/>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L’Équité :</w:t>
      </w:r>
    </w:p>
    <w:p w14:paraId="322C4D2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6898A9F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L’Équité n’est pas une source autonome parce que le tribunal ne peut y référer que sur l’accord des parties.</w:t>
      </w:r>
    </w:p>
    <w:p w14:paraId="43BCFF3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firstLine="708"/>
        <w:jc w:val="both"/>
        <w:rPr>
          <w:rFonts w:hAnsi="Times New Roman" w:cs="Times New Roman"/>
          <w:sz w:val="22"/>
          <w:szCs w:val="22"/>
        </w:rPr>
      </w:pPr>
      <w:r w:rsidRPr="00F25463">
        <w:rPr>
          <w:rFonts w:hAnsi="Times New Roman" w:cs="Times New Roman"/>
          <w:sz w:val="22"/>
          <w:szCs w:val="22"/>
        </w:rPr>
        <w:t xml:space="preserve">Ex : les pays A et B qui disent NON au DIP vont être juger en </w:t>
      </w:r>
      <w:proofErr w:type="spellStart"/>
      <w:r w:rsidRPr="00F25463">
        <w:rPr>
          <w:rFonts w:hAnsi="Times New Roman" w:cs="Times New Roman"/>
          <w:sz w:val="22"/>
          <w:szCs w:val="22"/>
        </w:rPr>
        <w:t>Équity</w:t>
      </w:r>
      <w:proofErr w:type="spellEnd"/>
      <w:r w:rsidRPr="00F25463">
        <w:rPr>
          <w:rFonts w:hAnsi="Times New Roman" w:cs="Times New Roman"/>
          <w:sz w:val="22"/>
          <w:szCs w:val="22"/>
        </w:rPr>
        <w:t>.</w:t>
      </w:r>
    </w:p>
    <w:p w14:paraId="449780F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L’Équité permet 3 choses au tribunal :</w:t>
      </w:r>
    </w:p>
    <w:p w14:paraId="033BBFCE" w14:textId="77777777" w:rsidR="00EC0180" w:rsidRPr="00F25463" w:rsidRDefault="004270F6" w:rsidP="004270F6">
      <w:pPr>
        <w:numPr>
          <w:ilvl w:val="0"/>
          <w:numId w:val="28"/>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Écarter le droit</w:t>
      </w:r>
    </w:p>
    <w:p w14:paraId="2639F22B" w14:textId="77777777" w:rsidR="00EC0180" w:rsidRPr="00F25463" w:rsidRDefault="004270F6" w:rsidP="004270F6">
      <w:pPr>
        <w:numPr>
          <w:ilvl w:val="0"/>
          <w:numId w:val="28"/>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Combler les lacunes du droit</w:t>
      </w:r>
    </w:p>
    <w:p w14:paraId="180C152C" w14:textId="77777777" w:rsidR="00EC0180" w:rsidRPr="00F25463" w:rsidRDefault="004270F6" w:rsidP="004270F6">
      <w:pPr>
        <w:numPr>
          <w:ilvl w:val="0"/>
          <w:numId w:val="28"/>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Corriger l’application du droit positif dans les cas ou celle-ci serait trop rigoureuse.</w:t>
      </w:r>
    </w:p>
    <w:p w14:paraId="2294F04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Ex : l’Équité permettrait de prévoir des dommages même si aucune règle de droit n’en prévoit.</w:t>
      </w:r>
    </w:p>
    <w:p w14:paraId="46D2D5F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37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370"/>
      </w:tblGrid>
      <w:tr w:rsidR="00EC0180" w:rsidRPr="00F25463" w14:paraId="7148043E" w14:textId="77777777">
        <w:trPr>
          <w:trHeight w:val="300"/>
        </w:trPr>
        <w:tc>
          <w:tcPr>
            <w:tcW w:w="837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21666BF3" w14:textId="2EDD2409" w:rsidR="00EC0180" w:rsidRPr="00F25463" w:rsidRDefault="004270F6" w:rsidP="00216BD2">
            <w:pPr>
              <w:pStyle w:val="FreeForm"/>
              <w:keepNext/>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 xml:space="preserve">Cour 6, le 25 janvier </w:t>
            </w:r>
          </w:p>
        </w:tc>
      </w:tr>
    </w:tbl>
    <w:p w14:paraId="72D7BCDA" w14:textId="77777777" w:rsidR="00EC0180" w:rsidRPr="00F25463" w:rsidRDefault="00EC0180">
      <w:pPr>
        <w:pStyle w:val="FreeForm"/>
        <w:ind w:left="108"/>
        <w:rPr>
          <w:sz w:val="22"/>
          <w:szCs w:val="22"/>
        </w:rPr>
      </w:pPr>
    </w:p>
    <w:p w14:paraId="5974DAA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5"/>
        <w:rPr>
          <w:rFonts w:hAnsi="Times New Roman" w:cs="Times New Roman"/>
          <w:sz w:val="22"/>
          <w:szCs w:val="22"/>
        </w:rPr>
      </w:pPr>
    </w:p>
    <w:p w14:paraId="72F40776"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6CF23D2" w14:textId="77777777" w:rsidR="00EC0180" w:rsidRPr="00F25463" w:rsidRDefault="004270F6">
      <w:pPr>
        <w:pStyle w:val="Heading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convention de Vienne </w:t>
      </w:r>
      <w:r w:rsidRPr="00F25463">
        <w:rPr>
          <w:rFonts w:hAnsi="Times New Roman" w:cs="Times New Roman"/>
          <w:sz w:val="22"/>
          <w:szCs w:val="22"/>
        </w:rPr>
        <w:tab/>
      </w:r>
    </w:p>
    <w:p w14:paraId="239DDCC6"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A2B5538"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Elle fut créer en 1969 mais élaboré par la Commission du droit </w:t>
      </w:r>
      <w:proofErr w:type="spellStart"/>
      <w:r w:rsidRPr="00F25463">
        <w:rPr>
          <w:rFonts w:hAnsi="Times New Roman" w:cs="Times New Roman"/>
          <w:sz w:val="22"/>
          <w:szCs w:val="22"/>
        </w:rPr>
        <w:t>internationnal</w:t>
      </w:r>
      <w:proofErr w:type="spellEnd"/>
      <w:r w:rsidRPr="00F25463">
        <w:rPr>
          <w:rFonts w:hAnsi="Times New Roman" w:cs="Times New Roman"/>
          <w:sz w:val="22"/>
          <w:szCs w:val="22"/>
        </w:rPr>
        <w:t xml:space="preserve"> entre 1950 et 1965</w:t>
      </w:r>
    </w:p>
    <w:p w14:paraId="6B71358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11EB947"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C.D.I. son rôle important : codifier le droit international</w:t>
      </w:r>
    </w:p>
    <w:p w14:paraId="42B6DF2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 xml:space="preserve">-Organisation </w:t>
      </w:r>
      <w:proofErr w:type="spellStart"/>
      <w:r w:rsidRPr="00F25463">
        <w:rPr>
          <w:rFonts w:hAnsi="Times New Roman" w:cs="Times New Roman"/>
          <w:sz w:val="22"/>
          <w:szCs w:val="22"/>
        </w:rPr>
        <w:t>subsiduaire</w:t>
      </w:r>
      <w:proofErr w:type="spellEnd"/>
      <w:r w:rsidRPr="00F25463">
        <w:rPr>
          <w:rFonts w:hAnsi="Times New Roman" w:cs="Times New Roman"/>
          <w:sz w:val="22"/>
          <w:szCs w:val="22"/>
        </w:rPr>
        <w:t xml:space="preserve"> des Nations-Unies</w:t>
      </w:r>
    </w:p>
    <w:p w14:paraId="7C9B35C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96AFAF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-il émet des commentaires lorsqu’il remet ces projets</w:t>
      </w:r>
    </w:p>
    <w:p w14:paraId="482BCB19"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-composés de 25 juristes nommés à partir de leurs qualités en tant que juristes et non pas pour leur </w:t>
      </w:r>
      <w:proofErr w:type="spellStart"/>
      <w:r w:rsidRPr="00F25463">
        <w:rPr>
          <w:rFonts w:hAnsi="Times New Roman" w:cs="Times New Roman"/>
          <w:sz w:val="22"/>
          <w:szCs w:val="22"/>
        </w:rPr>
        <w:t>nationnalité</w:t>
      </w:r>
      <w:proofErr w:type="spellEnd"/>
      <w:r w:rsidRPr="00F25463">
        <w:rPr>
          <w:rFonts w:hAnsi="Times New Roman" w:cs="Times New Roman"/>
          <w:sz w:val="22"/>
          <w:szCs w:val="22"/>
        </w:rPr>
        <w:t xml:space="preserve">, pour une période de 5 ans, nommés par l’Assemblée générale. </w:t>
      </w:r>
    </w:p>
    <w:p w14:paraId="531B5C57"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-19 </w:t>
      </w:r>
      <w:proofErr w:type="spellStart"/>
      <w:r w:rsidRPr="00F25463">
        <w:rPr>
          <w:rFonts w:hAnsi="Times New Roman" w:cs="Times New Roman"/>
          <w:sz w:val="22"/>
          <w:szCs w:val="22"/>
        </w:rPr>
        <w:t>abstantions</w:t>
      </w:r>
      <w:proofErr w:type="spellEnd"/>
      <w:r w:rsidRPr="00F25463">
        <w:rPr>
          <w:rFonts w:hAnsi="Times New Roman" w:cs="Times New Roman"/>
          <w:sz w:val="22"/>
          <w:szCs w:val="22"/>
        </w:rPr>
        <w:t> : les pays de l’est</w:t>
      </w:r>
    </w:p>
    <w:p w14:paraId="5BB262C6"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-pas ouvert à toute la communauté international : ex : la Chine, l’Allemagne de l’est, etc…ne sont pas invités</w:t>
      </w:r>
    </w:p>
    <w:p w14:paraId="658438B8"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C80CF2D"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498AD25" w14:textId="77777777" w:rsidR="00EC0180" w:rsidRPr="00F25463" w:rsidRDefault="004270F6" w:rsidP="004270F6">
      <w:pPr>
        <w:numPr>
          <w:ilvl w:val="0"/>
          <w:numId w:val="2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lastRenderedPageBreak/>
        <w:t>Elle n’est pas Universelle (Convention de Vienne)</w:t>
      </w:r>
    </w:p>
    <w:p w14:paraId="403715F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1C52A76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Seulement 40 États l’ont ratifié (exclus les USA). Le droit coutumier continue donc à s’appliquer entre les État non parties à cette convention ou entre ces États et ceux qui l’ont ratifiés. 95% des dispositions correspondent à la coutume. Le désaccord des pays porte sur l’autre 5%.</w:t>
      </w:r>
    </w:p>
    <w:p w14:paraId="29ED123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6E125EC" w14:textId="77777777" w:rsidR="00EC0180" w:rsidRPr="00F25463" w:rsidRDefault="004270F6" w:rsidP="004270F6">
      <w:pPr>
        <w:numPr>
          <w:ilvl w:val="0"/>
          <w:numId w:val="2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Elle ne couvre pas tous les problèmes du droit des traités.</w:t>
      </w:r>
    </w:p>
    <w:p w14:paraId="067882F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p>
    <w:p w14:paraId="5844E1FF"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-seulement les traités entre états</w:t>
      </w:r>
    </w:p>
    <w:p w14:paraId="659ECA2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-seulement les traités écrits</w:t>
      </w:r>
    </w:p>
    <w:p w14:paraId="17BF18AF"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-donc le verbal est réglé par le droit coutumier</w:t>
      </w:r>
    </w:p>
    <w:p w14:paraId="1922C07A"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-rapports entre les traités et les coutumes</w:t>
      </w:r>
    </w:p>
    <w:p w14:paraId="653EC60F"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-qu’arrive t-il si un état viole un traité ?</w:t>
      </w:r>
    </w:p>
    <w:p w14:paraId="3441211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-quelles sont les effets de la guerre sur le traité ? (doit voire la coutume)</w:t>
      </w:r>
    </w:p>
    <w:p w14:paraId="419E471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019325C"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Ces règles s’appliquent à titre supplétifs et seulement si un traité ni déroge pas</w:t>
      </w:r>
    </w:p>
    <w:p w14:paraId="11ADF5CD" w14:textId="77777777" w:rsidR="00EC0180" w:rsidRPr="00F25463" w:rsidRDefault="004270F6" w:rsidP="004270F6">
      <w:pPr>
        <w:numPr>
          <w:ilvl w:val="0"/>
          <w:numId w:val="29"/>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Elle ne s’applique qu’à titre supplétif.</w:t>
      </w:r>
    </w:p>
    <w:p w14:paraId="59BB6F0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69FF45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u w:val="single"/>
        </w:rPr>
        <w:t>Les États ont la liberté d’y déroger</w:t>
      </w:r>
      <w:r w:rsidRPr="00F25463">
        <w:rPr>
          <w:rFonts w:hAnsi="Times New Roman" w:cs="Times New Roman"/>
          <w:sz w:val="22"/>
          <w:szCs w:val="22"/>
        </w:rPr>
        <w:t xml:space="preserve">. - Peuvent inventer de nouvelles règles qui vont être applicable qu’à le traité en question.  Les règles de la Convention ne s’appliquent que dans la mesure où le traité n’y déroge pas. Cependant, il n’est pas possible de déroger à la partie V de cette </w:t>
      </w:r>
      <w:proofErr w:type="gramStart"/>
      <w:r w:rsidRPr="00F25463">
        <w:rPr>
          <w:rFonts w:hAnsi="Times New Roman" w:cs="Times New Roman"/>
          <w:sz w:val="22"/>
          <w:szCs w:val="22"/>
        </w:rPr>
        <w:t>convention.(</w:t>
      </w:r>
      <w:proofErr w:type="gramEnd"/>
      <w:r w:rsidRPr="00F25463">
        <w:rPr>
          <w:rFonts w:hAnsi="Times New Roman" w:cs="Times New Roman"/>
          <w:sz w:val="22"/>
          <w:szCs w:val="22"/>
        </w:rPr>
        <w:t xml:space="preserve">page 5 du doc) ( à partir de l’art 42 et </w:t>
      </w:r>
      <w:proofErr w:type="spellStart"/>
      <w:r w:rsidRPr="00F25463">
        <w:rPr>
          <w:rFonts w:hAnsi="Times New Roman" w:cs="Times New Roman"/>
          <w:sz w:val="22"/>
          <w:szCs w:val="22"/>
        </w:rPr>
        <w:t>ss</w:t>
      </w:r>
      <w:proofErr w:type="spellEnd"/>
      <w:r w:rsidRPr="00F25463">
        <w:rPr>
          <w:rFonts w:hAnsi="Times New Roman" w:cs="Times New Roman"/>
          <w:sz w:val="22"/>
          <w:szCs w:val="22"/>
        </w:rPr>
        <w:t xml:space="preserve"> : relative à la nullité, suspension et extinction des traités) Cette parties s’impose </w:t>
      </w:r>
    </w:p>
    <w:p w14:paraId="416D139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Donc, on peut dire que la Convention occupe une place importante dans le droit des traités, mais pas une place exclusive.</w:t>
      </w:r>
    </w:p>
    <w:p w14:paraId="1095FA0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64A5946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b/>
          <w:bCs/>
          <w:sz w:val="22"/>
          <w:szCs w:val="22"/>
        </w:rPr>
        <w:t>EX </w:t>
      </w:r>
      <w:r w:rsidRPr="00F25463">
        <w:rPr>
          <w:rFonts w:hAnsi="Times New Roman" w:cs="Times New Roman"/>
          <w:sz w:val="22"/>
          <w:szCs w:val="22"/>
        </w:rPr>
        <w:t xml:space="preserve">: si traité silencieux sur un sujet particulier on va voir la convention de vienne sur le droit des traités. </w:t>
      </w:r>
    </w:p>
    <w:p w14:paraId="3F3B975A"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2A204C"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27260430"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22 de la Charte des N-U</w:t>
      </w:r>
      <w:r w:rsidRPr="00F25463">
        <w:rPr>
          <w:rFonts w:hAnsi="Times New Roman" w:cs="Times New Roman"/>
          <w:sz w:val="22"/>
          <w:szCs w:val="22"/>
        </w:rPr>
        <w:t> : aide à codifier le droit international coutumier et de surveiller son développement progressiste (voir Art. 13 al 1 a</w:t>
      </w:r>
      <w:proofErr w:type="gramStart"/>
      <w:r w:rsidRPr="00F25463">
        <w:rPr>
          <w:rFonts w:hAnsi="Times New Roman" w:cs="Times New Roman"/>
          <w:sz w:val="22"/>
          <w:szCs w:val="22"/>
        </w:rPr>
        <w:t>) )</w:t>
      </w:r>
      <w:proofErr w:type="gramEnd"/>
      <w:r w:rsidRPr="00F25463">
        <w:rPr>
          <w:rFonts w:hAnsi="Times New Roman" w:cs="Times New Roman"/>
          <w:sz w:val="22"/>
          <w:szCs w:val="22"/>
        </w:rPr>
        <w:t xml:space="preserve"> </w:t>
      </w:r>
    </w:p>
    <w:p w14:paraId="787B7396"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30E2CA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84 CVDT</w:t>
      </w:r>
      <w:r w:rsidRPr="00F25463">
        <w:rPr>
          <w:rFonts w:hAnsi="Times New Roman" w:cs="Times New Roman"/>
          <w:sz w:val="22"/>
          <w:szCs w:val="22"/>
        </w:rPr>
        <w:t> : Selon cet article, elle ne rentrait en vigueur le 30</w:t>
      </w:r>
      <w:r w:rsidRPr="00F25463">
        <w:rPr>
          <w:rFonts w:hAnsi="Times New Roman" w:cs="Times New Roman"/>
          <w:sz w:val="22"/>
          <w:szCs w:val="22"/>
          <w:vertAlign w:val="superscript"/>
        </w:rPr>
        <w:t>e</w:t>
      </w:r>
      <w:r w:rsidRPr="00F25463">
        <w:rPr>
          <w:rFonts w:hAnsi="Times New Roman" w:cs="Times New Roman"/>
          <w:sz w:val="22"/>
          <w:szCs w:val="22"/>
        </w:rPr>
        <w:t xml:space="preserve"> jour après la 30</w:t>
      </w:r>
      <w:r w:rsidRPr="00F25463">
        <w:rPr>
          <w:rFonts w:hAnsi="Times New Roman" w:cs="Times New Roman"/>
          <w:sz w:val="22"/>
          <w:szCs w:val="22"/>
          <w:vertAlign w:val="superscript"/>
        </w:rPr>
        <w:t>e</w:t>
      </w:r>
      <w:r w:rsidRPr="00F25463">
        <w:rPr>
          <w:rFonts w:hAnsi="Times New Roman" w:cs="Times New Roman"/>
          <w:sz w:val="22"/>
          <w:szCs w:val="22"/>
        </w:rPr>
        <w:t xml:space="preserve"> ratification. Le Canada y a adhéré en 1970.  La convention ayant entré en vigueur en 1980, entre temps, le Canada a du suivre les règles pareil (avant la ratification).</w:t>
      </w:r>
    </w:p>
    <w:p w14:paraId="41D35FD4"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5101018"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42 :</w:t>
      </w:r>
      <w:r w:rsidRPr="00F25463">
        <w:rPr>
          <w:rFonts w:hAnsi="Times New Roman" w:cs="Times New Roman"/>
          <w:sz w:val="22"/>
          <w:szCs w:val="22"/>
        </w:rPr>
        <w:t xml:space="preserve"> Conditions de validité des membres</w:t>
      </w:r>
    </w:p>
    <w:p w14:paraId="34465EE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AB2C8B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Termes : traité = convention = pacte</w:t>
      </w:r>
    </w:p>
    <w:p w14:paraId="07CBBCD3"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E17AD0A"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Réglementation générale</w:t>
      </w:r>
      <w:r w:rsidRPr="00F25463">
        <w:rPr>
          <w:rFonts w:hAnsi="Times New Roman" w:cs="Times New Roman"/>
          <w:sz w:val="22"/>
          <w:szCs w:val="22"/>
        </w:rPr>
        <w:t xml:space="preserve"> : </w:t>
      </w:r>
      <w:proofErr w:type="spellStart"/>
      <w:r w:rsidRPr="00F25463">
        <w:rPr>
          <w:rFonts w:hAnsi="Times New Roman" w:cs="Times New Roman"/>
          <w:sz w:val="22"/>
          <w:szCs w:val="22"/>
        </w:rPr>
        <w:t>sapplique</w:t>
      </w:r>
      <w:proofErr w:type="spellEnd"/>
      <w:r w:rsidRPr="00F25463">
        <w:rPr>
          <w:rFonts w:hAnsi="Times New Roman" w:cs="Times New Roman"/>
          <w:sz w:val="22"/>
          <w:szCs w:val="22"/>
        </w:rPr>
        <w:t xml:space="preserve"> à tous</w:t>
      </w:r>
    </w:p>
    <w:p w14:paraId="5D562FEC"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796207"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Qui peut négocier, authentifier, s’engager ?</w:t>
      </w:r>
      <w:r w:rsidRPr="00F25463">
        <w:rPr>
          <w:rFonts w:hAnsi="Times New Roman" w:cs="Times New Roman"/>
          <w:sz w:val="22"/>
          <w:szCs w:val="22"/>
        </w:rPr>
        <w:tab/>
      </w:r>
    </w:p>
    <w:p w14:paraId="21B27299"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-on doit se </w:t>
      </w:r>
      <w:proofErr w:type="spellStart"/>
      <w:r w:rsidRPr="00F25463">
        <w:rPr>
          <w:rFonts w:hAnsi="Times New Roman" w:cs="Times New Roman"/>
          <w:sz w:val="22"/>
          <w:szCs w:val="22"/>
        </w:rPr>
        <w:t>reférer</w:t>
      </w:r>
      <w:proofErr w:type="spellEnd"/>
      <w:r w:rsidRPr="00F25463">
        <w:rPr>
          <w:rFonts w:hAnsi="Times New Roman" w:cs="Times New Roman"/>
          <w:sz w:val="22"/>
          <w:szCs w:val="22"/>
        </w:rPr>
        <w:t xml:space="preserve"> à la Constitution de l’état et de son droit interne</w:t>
      </w:r>
    </w:p>
    <w:p w14:paraId="55E3191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44597F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élaboration du texte = authentification = signature</w:t>
      </w:r>
    </w:p>
    <w:p w14:paraId="7CE2A834"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E5BC0D0"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37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370"/>
      </w:tblGrid>
      <w:tr w:rsidR="00EC0180" w:rsidRPr="00F25463" w14:paraId="5293F544" w14:textId="77777777">
        <w:trPr>
          <w:trHeight w:val="300"/>
        </w:trPr>
        <w:tc>
          <w:tcPr>
            <w:tcW w:w="837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4100B105" w14:textId="7AE465E0" w:rsidR="00EC0180" w:rsidRPr="00F25463" w:rsidRDefault="004270F6">
            <w:pPr>
              <w:pStyle w:val="FreeForm"/>
              <w:keepNext/>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 xml:space="preserve">Cour </w:t>
            </w:r>
            <w:r w:rsidR="00A61567">
              <w:rPr>
                <w:b/>
                <w:bCs/>
                <w:sz w:val="22"/>
                <w:szCs w:val="22"/>
                <w:lang w:val="fr-FR"/>
              </w:rPr>
              <w:t>7, le 28 janvier</w:t>
            </w:r>
          </w:p>
        </w:tc>
      </w:tr>
    </w:tbl>
    <w:p w14:paraId="1135137D" w14:textId="77777777" w:rsidR="00EC0180" w:rsidRPr="00F25463" w:rsidRDefault="00EC0180">
      <w:pPr>
        <w:pStyle w:val="FreeForm"/>
        <w:ind w:left="108"/>
        <w:rPr>
          <w:sz w:val="22"/>
          <w:szCs w:val="22"/>
        </w:rPr>
      </w:pPr>
    </w:p>
    <w:p w14:paraId="3C39577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5"/>
        <w:rPr>
          <w:rFonts w:hAnsi="Times New Roman" w:cs="Times New Roman"/>
          <w:sz w:val="22"/>
          <w:szCs w:val="22"/>
        </w:rPr>
      </w:pPr>
    </w:p>
    <w:p w14:paraId="7EDD146B"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26542D0"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1C0D572"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lastRenderedPageBreak/>
        <w:t>Art 38 CIJ :</w:t>
      </w:r>
    </w:p>
    <w:p w14:paraId="5DC92C83"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9BD93FA"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Cet article réfère aux principes généraux de droit reconnus par les nations civilisées.  On aurait dû parler d’États indépendants car nations civilisées est un concept de la SDN.  Il ne </w:t>
      </w:r>
      <w:proofErr w:type="spellStart"/>
      <w:r w:rsidRPr="00F25463">
        <w:rPr>
          <w:rFonts w:hAnsi="Times New Roman" w:cs="Times New Roman"/>
          <w:sz w:val="22"/>
          <w:szCs w:val="22"/>
        </w:rPr>
        <w:t>réflète</w:t>
      </w:r>
      <w:proofErr w:type="spellEnd"/>
      <w:r w:rsidRPr="00F25463">
        <w:rPr>
          <w:rFonts w:hAnsi="Times New Roman" w:cs="Times New Roman"/>
          <w:sz w:val="22"/>
          <w:szCs w:val="22"/>
        </w:rPr>
        <w:t xml:space="preserve"> pas la réalité car insuffisant à cause de l’évolution de la justice.</w:t>
      </w:r>
    </w:p>
    <w:p w14:paraId="48E2895A"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5BC2FF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Il y a des éléments importants du droit international public qui ne sont pas mentionnés à cet article.</w:t>
      </w:r>
    </w:p>
    <w:p w14:paraId="0F89E52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A- Actes unilatéraux des États comme source créatrice de droit</w:t>
      </w:r>
    </w:p>
    <w:p w14:paraId="38283C98" w14:textId="77777777" w:rsidR="00EC0180" w:rsidRPr="00F25463" w:rsidRDefault="004270F6">
      <w:pPr>
        <w:tabs>
          <w:tab w:val="left" w:pos="360"/>
          <w:tab w:val="left" w:pos="20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jc w:val="both"/>
        <w:rPr>
          <w:rFonts w:hAnsi="Times New Roman" w:cs="Times New Roman"/>
          <w:sz w:val="22"/>
          <w:szCs w:val="22"/>
        </w:rPr>
      </w:pPr>
      <w:r w:rsidRPr="00F25463">
        <w:rPr>
          <w:rFonts w:hAnsi="Times New Roman" w:cs="Times New Roman"/>
          <w:sz w:val="22"/>
          <w:szCs w:val="22"/>
        </w:rPr>
        <w:tab/>
        <w:t xml:space="preserve">  B- Actes des Organisation internationales</w:t>
      </w:r>
    </w:p>
    <w:p w14:paraId="7AA954A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60"/>
        <w:rPr>
          <w:rFonts w:hAnsi="Times New Roman" w:cs="Times New Roman"/>
          <w:sz w:val="22"/>
          <w:szCs w:val="22"/>
        </w:rPr>
      </w:pPr>
      <w:r w:rsidRPr="00F25463">
        <w:rPr>
          <w:rFonts w:hAnsi="Times New Roman" w:cs="Times New Roman"/>
          <w:sz w:val="22"/>
          <w:szCs w:val="22"/>
        </w:rPr>
        <w:t xml:space="preserve">C- Règles de </w:t>
      </w:r>
      <w:r w:rsidRPr="00F25463">
        <w:rPr>
          <w:rFonts w:hAnsi="Times New Roman" w:cs="Times New Roman"/>
          <w:b/>
          <w:bCs/>
          <w:sz w:val="22"/>
          <w:szCs w:val="22"/>
        </w:rPr>
        <w:t>Jus Cogens</w:t>
      </w:r>
      <w:r w:rsidRPr="00F25463">
        <w:rPr>
          <w:rFonts w:hAnsi="Times New Roman" w:cs="Times New Roman"/>
          <w:sz w:val="22"/>
          <w:szCs w:val="22"/>
        </w:rPr>
        <w:t xml:space="preserve"> (correspond à l’ordre public en droit interne)  Règles au dessus de tout les autres.  Relève des principes de justification rationnel reconnue internationalement. Société international peuvent pas mettre de côté ce principe sans violer la dignité humaine.</w:t>
      </w:r>
    </w:p>
    <w:p w14:paraId="4D209448"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248"/>
        <w:rPr>
          <w:rFonts w:hAnsi="Times New Roman" w:cs="Times New Roman"/>
          <w:sz w:val="22"/>
          <w:szCs w:val="22"/>
        </w:rPr>
      </w:pPr>
      <w:r w:rsidRPr="00F25463">
        <w:rPr>
          <w:rFonts w:hAnsi="Times New Roman" w:cs="Times New Roman"/>
          <w:sz w:val="22"/>
          <w:szCs w:val="22"/>
        </w:rPr>
        <w:t>Ex : Trafic d’esclave : maintenant plus légal entre les États et partout dans le monde.</w:t>
      </w:r>
    </w:p>
    <w:p w14:paraId="75E5684B"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CDEF2CA"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Donc, contraire à </w:t>
      </w:r>
      <w:proofErr w:type="spellStart"/>
      <w:r w:rsidRPr="00F25463">
        <w:rPr>
          <w:rFonts w:hAnsi="Times New Roman" w:cs="Times New Roman"/>
          <w:b/>
          <w:bCs/>
          <w:sz w:val="22"/>
          <w:szCs w:val="22"/>
        </w:rPr>
        <w:t>Juscogens</w:t>
      </w:r>
      <w:proofErr w:type="spellEnd"/>
      <w:r w:rsidRPr="00F25463">
        <w:rPr>
          <w:rFonts w:hAnsi="Times New Roman" w:cs="Times New Roman"/>
          <w:sz w:val="22"/>
          <w:szCs w:val="22"/>
        </w:rPr>
        <w:t> : c’est contre l’Humanité</w:t>
      </w:r>
    </w:p>
    <w:p w14:paraId="10151EC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On parle de </w:t>
      </w:r>
      <w:r w:rsidRPr="00F25463">
        <w:rPr>
          <w:rFonts w:hAnsi="Times New Roman" w:cs="Times New Roman"/>
          <w:b/>
          <w:bCs/>
          <w:sz w:val="22"/>
          <w:szCs w:val="22"/>
        </w:rPr>
        <w:t>Jus Cogens</w:t>
      </w:r>
      <w:r w:rsidRPr="00F25463">
        <w:rPr>
          <w:rFonts w:hAnsi="Times New Roman" w:cs="Times New Roman"/>
          <w:sz w:val="22"/>
          <w:szCs w:val="22"/>
        </w:rPr>
        <w:t xml:space="preserve"> pour la première fois dans la Convention de Vienne sur le droit des traités.  Ce sont des règles impératives qui protègent des droits fondamentaux et on ne peut y déroger par convention </w:t>
      </w:r>
      <w:r w:rsidRPr="00F25463">
        <w:rPr>
          <w:rFonts w:hAnsi="Times New Roman" w:cs="Times New Roman"/>
          <w:b/>
          <w:bCs/>
          <w:sz w:val="22"/>
          <w:szCs w:val="22"/>
        </w:rPr>
        <w:t>(art 53 CVDT</w:t>
      </w:r>
      <w:r w:rsidRPr="00F25463">
        <w:rPr>
          <w:rFonts w:hAnsi="Times New Roman" w:cs="Times New Roman"/>
          <w:sz w:val="22"/>
          <w:szCs w:val="22"/>
        </w:rPr>
        <w:t>)</w:t>
      </w:r>
    </w:p>
    <w:p w14:paraId="154B7C36"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xml:space="preserve"> : Un traité permettant l’esclavage violerait une règle de </w:t>
      </w:r>
      <w:r w:rsidRPr="00F25463">
        <w:rPr>
          <w:rFonts w:hAnsi="Times New Roman" w:cs="Times New Roman"/>
          <w:b/>
          <w:bCs/>
          <w:sz w:val="22"/>
          <w:szCs w:val="22"/>
        </w:rPr>
        <w:t>Jus Cogens</w:t>
      </w:r>
      <w:r w:rsidRPr="00F25463">
        <w:rPr>
          <w:rFonts w:hAnsi="Times New Roman" w:cs="Times New Roman"/>
          <w:sz w:val="22"/>
          <w:szCs w:val="22"/>
        </w:rPr>
        <w:t xml:space="preserve"> et serait donc nul.</w:t>
      </w:r>
    </w:p>
    <w:p w14:paraId="0BE8E003" w14:textId="77777777" w:rsidR="00EC0180" w:rsidRPr="00F25463" w:rsidRDefault="004270F6">
      <w:pPr>
        <w:pStyle w:val="Heading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Remarques additionnelles sur l’art 38 CIJ</w:t>
      </w:r>
    </w:p>
    <w:p w14:paraId="7FE695FF"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4C155FB5"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b/>
          <w:bCs/>
          <w:sz w:val="22"/>
          <w:szCs w:val="22"/>
        </w:rPr>
        <w:t>Il y a égalité entre la coutume et les traités international.</w:t>
      </w:r>
      <w:r w:rsidRPr="00F25463">
        <w:rPr>
          <w:rFonts w:hAnsi="Times New Roman" w:cs="Times New Roman"/>
          <w:sz w:val="22"/>
          <w:szCs w:val="22"/>
        </w:rPr>
        <w:t xml:space="preserve">  S’il y a incompatibilité ou un conflit entre deux normes, traité-coutume, traité-traité, coutume-coutume, on applique la plus récente.</w:t>
      </w:r>
    </w:p>
    <w:p w14:paraId="6B05773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BBAAE3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b/>
          <w:bCs/>
          <w:sz w:val="22"/>
          <w:szCs w:val="22"/>
        </w:rPr>
        <w:tab/>
        <w:t>Un traité peut abroger modifier une coutume</w:t>
      </w:r>
      <w:r w:rsidRPr="00F25463">
        <w:rPr>
          <w:rFonts w:hAnsi="Times New Roman" w:cs="Times New Roman"/>
          <w:sz w:val="22"/>
          <w:szCs w:val="22"/>
        </w:rPr>
        <w:t>.</w:t>
      </w:r>
    </w:p>
    <w:p w14:paraId="53B9D03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60"/>
        <w:jc w:val="both"/>
        <w:rPr>
          <w:rFonts w:hAnsi="Times New Roman" w:cs="Times New Roman"/>
          <w:sz w:val="22"/>
          <w:szCs w:val="22"/>
        </w:rPr>
      </w:pPr>
      <w:r w:rsidRPr="00F25463">
        <w:rPr>
          <w:rFonts w:hAnsi="Times New Roman" w:cs="Times New Roman"/>
          <w:b/>
          <w:bCs/>
          <w:sz w:val="22"/>
          <w:szCs w:val="22"/>
        </w:rPr>
        <w:t>Ex :</w:t>
      </w:r>
      <w:r w:rsidRPr="00F25463">
        <w:rPr>
          <w:rFonts w:hAnsi="Times New Roman" w:cs="Times New Roman"/>
          <w:sz w:val="22"/>
          <w:szCs w:val="22"/>
        </w:rPr>
        <w:t xml:space="preserve"> La coutume du 18</w:t>
      </w:r>
      <w:r w:rsidRPr="00F25463">
        <w:rPr>
          <w:rFonts w:hAnsi="Times New Roman" w:cs="Times New Roman"/>
          <w:sz w:val="22"/>
          <w:szCs w:val="22"/>
          <w:vertAlign w:val="superscript"/>
        </w:rPr>
        <w:t>e</w:t>
      </w:r>
      <w:r w:rsidRPr="00F25463">
        <w:rPr>
          <w:rFonts w:hAnsi="Times New Roman" w:cs="Times New Roman"/>
          <w:sz w:val="22"/>
          <w:szCs w:val="22"/>
        </w:rPr>
        <w:t xml:space="preserve"> siècle permettait le recours inconditionnel et discrétionnaire à la guerre et à la violence. Cependant</w:t>
      </w:r>
      <w:r w:rsidRPr="00F25463">
        <w:rPr>
          <w:rFonts w:hAnsi="Times New Roman" w:cs="Times New Roman"/>
          <w:b/>
          <w:bCs/>
          <w:sz w:val="22"/>
          <w:szCs w:val="22"/>
        </w:rPr>
        <w:t xml:space="preserve">, l’art 1 du Pacte </w:t>
      </w:r>
      <w:proofErr w:type="spellStart"/>
      <w:r w:rsidRPr="00F25463">
        <w:rPr>
          <w:rFonts w:hAnsi="Times New Roman" w:cs="Times New Roman"/>
          <w:b/>
          <w:bCs/>
          <w:sz w:val="22"/>
          <w:szCs w:val="22"/>
        </w:rPr>
        <w:t>Brian-Kellog</w:t>
      </w:r>
      <w:proofErr w:type="spellEnd"/>
      <w:r w:rsidRPr="00F25463">
        <w:rPr>
          <w:rFonts w:hAnsi="Times New Roman" w:cs="Times New Roman"/>
          <w:b/>
          <w:bCs/>
          <w:sz w:val="22"/>
          <w:szCs w:val="22"/>
        </w:rPr>
        <w:t xml:space="preserve"> de 1928 (repris à art 2(4)maintenant universel)</w:t>
      </w:r>
      <w:r w:rsidRPr="00F25463">
        <w:rPr>
          <w:rFonts w:hAnsi="Times New Roman" w:cs="Times New Roman"/>
          <w:sz w:val="22"/>
          <w:szCs w:val="22"/>
        </w:rPr>
        <w:t xml:space="preserve"> interdit le recours à la guerre ou violence pour régler un différent.  Cette règle est même un principe de </w:t>
      </w:r>
      <w:r w:rsidRPr="00F25463">
        <w:rPr>
          <w:rFonts w:hAnsi="Times New Roman" w:cs="Times New Roman"/>
          <w:b/>
          <w:bCs/>
          <w:sz w:val="22"/>
          <w:szCs w:val="22"/>
        </w:rPr>
        <w:t>Jus Cogens</w:t>
      </w:r>
      <w:r w:rsidRPr="00F25463">
        <w:rPr>
          <w:rFonts w:hAnsi="Times New Roman" w:cs="Times New Roman"/>
          <w:sz w:val="22"/>
          <w:szCs w:val="22"/>
        </w:rPr>
        <w:t xml:space="preserve"> maintenant. </w:t>
      </w:r>
    </w:p>
    <w:p w14:paraId="1A769BB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40700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b/>
          <w:bCs/>
          <w:sz w:val="22"/>
          <w:szCs w:val="22"/>
        </w:rPr>
      </w:pPr>
      <w:r w:rsidRPr="00F25463">
        <w:rPr>
          <w:rFonts w:hAnsi="Times New Roman" w:cs="Times New Roman"/>
          <w:b/>
          <w:bCs/>
          <w:sz w:val="22"/>
          <w:szCs w:val="22"/>
        </w:rPr>
        <w:tab/>
        <w:t>Une coutume peut abroger ou modifier un traité.</w:t>
      </w:r>
    </w:p>
    <w:p w14:paraId="6A15BCD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60"/>
        <w:jc w:val="both"/>
        <w:rPr>
          <w:rFonts w:hAnsi="Times New Roman" w:cs="Times New Roman"/>
          <w:sz w:val="22"/>
          <w:szCs w:val="22"/>
        </w:rPr>
      </w:pPr>
      <w:r w:rsidRPr="00F25463">
        <w:rPr>
          <w:rFonts w:hAnsi="Times New Roman" w:cs="Times New Roman"/>
          <w:b/>
          <w:bCs/>
          <w:sz w:val="22"/>
          <w:szCs w:val="22"/>
        </w:rPr>
        <w:t>Ex : L’art 27(3) CNU</w:t>
      </w:r>
      <w:r w:rsidRPr="00F25463">
        <w:rPr>
          <w:rFonts w:hAnsi="Times New Roman" w:cs="Times New Roman"/>
          <w:sz w:val="22"/>
          <w:szCs w:val="22"/>
        </w:rPr>
        <w:t xml:space="preserve"> prévoit que les décisions du Conseil de Sécurité sont prises par vote affirmatif de 9/15 incluant celui des membres permanents.  Mais, selon la coutume, l’abstention d’un permanent n’équivaut pas à un vote négatif mais comme nul.  </w:t>
      </w:r>
    </w:p>
    <w:p w14:paraId="5EFB56B4"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6B3A3139" w14:textId="77777777" w:rsidR="00EC0180" w:rsidRPr="00F25463" w:rsidRDefault="004270F6" w:rsidP="004270F6">
      <w:pPr>
        <w:numPr>
          <w:ilvl w:val="1"/>
          <w:numId w:val="31"/>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b/>
          <w:bCs/>
          <w:sz w:val="22"/>
          <w:szCs w:val="22"/>
        </w:rPr>
      </w:pPr>
      <w:r w:rsidRPr="00F25463">
        <w:rPr>
          <w:rFonts w:hAnsi="Times New Roman" w:cs="Times New Roman"/>
          <w:b/>
          <w:bCs/>
          <w:sz w:val="22"/>
          <w:szCs w:val="22"/>
        </w:rPr>
        <w:t>Principes Généraux :</w:t>
      </w:r>
    </w:p>
    <w:p w14:paraId="327F3EE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569C4296"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60"/>
        <w:jc w:val="both"/>
        <w:rPr>
          <w:rFonts w:hAnsi="Times New Roman" w:cs="Times New Roman"/>
          <w:sz w:val="22"/>
          <w:szCs w:val="22"/>
        </w:rPr>
      </w:pPr>
      <w:r w:rsidRPr="00F25463">
        <w:rPr>
          <w:rFonts w:hAnsi="Times New Roman" w:cs="Times New Roman"/>
          <w:sz w:val="22"/>
          <w:szCs w:val="22"/>
        </w:rPr>
        <w:t xml:space="preserve">Ces principes de droit sont reconnus par les nations civilisées, l’opinion majoritaire prétend qu’ils n’ont </w:t>
      </w:r>
      <w:r w:rsidRPr="00F25463">
        <w:rPr>
          <w:rFonts w:hAnsi="Times New Roman" w:cs="Times New Roman"/>
          <w:b/>
          <w:bCs/>
          <w:sz w:val="22"/>
          <w:szCs w:val="22"/>
        </w:rPr>
        <w:t>qu’un rôle supplétif</w:t>
      </w:r>
      <w:r w:rsidRPr="00F25463">
        <w:rPr>
          <w:rFonts w:hAnsi="Times New Roman" w:cs="Times New Roman"/>
          <w:sz w:val="22"/>
          <w:szCs w:val="22"/>
        </w:rPr>
        <w:t>. On n’y réfère que si les conventions et la coutume sont silencieuses sur un point donné.</w:t>
      </w:r>
    </w:p>
    <w:p w14:paraId="43B35034"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118C15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DBD25E1"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Quand il y a lacune, les sujets de droit international sont libres d’agir.  Les actes des États sont présumés conformes au droit international et cette présomption ne tombe que si l’on prouve qu’une règle de droit limite cette liberté d’action. En droit international le juge doit d’abstenir de juger lorsqu’il y a absence de règle.  Il doit se déclarer incompétent contrairement au droit-civil ou à la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w:t>
      </w:r>
    </w:p>
    <w:p w14:paraId="1C630055"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D107D5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CA46E5C" w14:textId="77777777" w:rsidR="00EC0180" w:rsidRPr="00F25463" w:rsidRDefault="004270F6">
      <w:pPr>
        <w:pStyle w:val="Heading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Section 2. Les traités internationaux</w:t>
      </w:r>
    </w:p>
    <w:p w14:paraId="6B2A8268"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D9B874" w14:textId="77777777" w:rsidR="00EC0180" w:rsidRPr="00F25463" w:rsidRDefault="004270F6" w:rsidP="004270F6">
      <w:pPr>
        <w:pStyle w:val="BodyText"/>
        <w:numPr>
          <w:ilvl w:val="0"/>
          <w:numId w:val="32"/>
        </w:numPr>
        <w:tabs>
          <w:tab w:val="clear" w:pos="360"/>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lastRenderedPageBreak/>
        <w:t>Notions préliminaires :</w:t>
      </w:r>
    </w:p>
    <w:p w14:paraId="338630E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0EE3F0"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A. Définition</w:t>
      </w:r>
    </w:p>
    <w:p w14:paraId="5C4B35B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Le traité est un acte juridique international imputable à deux ou plusieurs sujets de droit international destiné à produire des effets juridiques.  Il tient à la fois du contrat et de la loi. La manifestation de la volonté des auteurs du traité constitue une condition nécessaire et est suffisante à la conclusion du traité.</w:t>
      </w:r>
    </w:p>
    <w:p w14:paraId="4C59A5C5"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39580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Acte Juridique : Document issu de la manifestation de la volonté de ses auteurs</w:t>
      </w:r>
    </w:p>
    <w:p w14:paraId="00F3AA44"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crée des obligations</w:t>
      </w:r>
    </w:p>
    <w:p w14:paraId="1ED7A761"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imposition aux parties</w:t>
      </w:r>
    </w:p>
    <w:p w14:paraId="523D0250"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nécessaire + suffisant.</w:t>
      </w:r>
    </w:p>
    <w:p w14:paraId="098EA6BF"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09FA9E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r>
    </w:p>
    <w:p w14:paraId="4846E04F" w14:textId="77777777" w:rsidR="00EC0180" w:rsidRPr="00F25463" w:rsidRDefault="004270F6" w:rsidP="004270F6">
      <w:pPr>
        <w:pStyle w:val="BodyText"/>
        <w:numPr>
          <w:ilvl w:val="3"/>
          <w:numId w:val="33"/>
        </w:numPr>
        <w:tabs>
          <w:tab w:val="clear" w:pos="360"/>
          <w:tab w:val="clear" w:pos="1290"/>
          <w:tab w:val="num" w:pos="1320"/>
          <w:tab w:val="left" w:pos="3228"/>
          <w:tab w:val="left" w:pos="3540"/>
          <w:tab w:val="left" w:pos="4248"/>
          <w:tab w:val="left" w:pos="4956"/>
          <w:tab w:val="left" w:pos="5664"/>
          <w:tab w:val="left" w:pos="6372"/>
          <w:tab w:val="left" w:pos="7080"/>
          <w:tab w:val="left" w:pos="7788"/>
          <w:tab w:val="left" w:pos="8496"/>
          <w:tab w:val="left" w:pos="9204"/>
          <w:tab w:val="left" w:pos="9472"/>
        </w:tabs>
        <w:ind w:left="1320" w:hanging="360"/>
        <w:rPr>
          <w:rFonts w:hAnsi="Times New Roman" w:cs="Times New Roman"/>
        </w:rPr>
      </w:pPr>
      <w:r w:rsidRPr="00F25463">
        <w:rPr>
          <w:rFonts w:hAnsi="Times New Roman" w:cs="Times New Roman"/>
          <w:sz w:val="22"/>
          <w:szCs w:val="22"/>
        </w:rPr>
        <w:t>Le traité peut être conclu verbalement (pas besoin d’être écrit mais besoin d’une manifestation de volonté)</w:t>
      </w:r>
    </w:p>
    <w:p w14:paraId="62181029" w14:textId="77777777" w:rsidR="00EC0180" w:rsidRPr="00F25463" w:rsidRDefault="004270F6" w:rsidP="004270F6">
      <w:pPr>
        <w:pStyle w:val="BodyText"/>
        <w:numPr>
          <w:ilvl w:val="3"/>
          <w:numId w:val="33"/>
        </w:numPr>
        <w:tabs>
          <w:tab w:val="clear" w:pos="360"/>
          <w:tab w:val="clear" w:pos="1290"/>
          <w:tab w:val="num" w:pos="1320"/>
          <w:tab w:val="left" w:pos="3228"/>
          <w:tab w:val="left" w:pos="3540"/>
          <w:tab w:val="left" w:pos="4248"/>
          <w:tab w:val="left" w:pos="4956"/>
          <w:tab w:val="left" w:pos="5664"/>
          <w:tab w:val="left" w:pos="6372"/>
          <w:tab w:val="left" w:pos="7080"/>
          <w:tab w:val="left" w:pos="7788"/>
          <w:tab w:val="left" w:pos="8496"/>
          <w:tab w:val="left" w:pos="9204"/>
          <w:tab w:val="left" w:pos="9472"/>
        </w:tabs>
        <w:ind w:left="1320" w:hanging="360"/>
        <w:rPr>
          <w:rFonts w:hAnsi="Times New Roman" w:cs="Times New Roman"/>
        </w:rPr>
      </w:pPr>
      <w:r w:rsidRPr="00F25463">
        <w:rPr>
          <w:rFonts w:hAnsi="Times New Roman" w:cs="Times New Roman"/>
          <w:sz w:val="22"/>
          <w:szCs w:val="22"/>
        </w:rPr>
        <w:t>Si l’une des parties n’est pas un sujet de droit international, l’accord n’est pas un traité mais un contrat.</w:t>
      </w:r>
    </w:p>
    <w:p w14:paraId="5030F073" w14:textId="77777777" w:rsidR="00EC0180" w:rsidRPr="00F25463" w:rsidRDefault="004270F6" w:rsidP="004270F6">
      <w:pPr>
        <w:numPr>
          <w:ilvl w:val="3"/>
          <w:numId w:val="34"/>
        </w:numPr>
        <w:tabs>
          <w:tab w:val="clear" w:pos="1290"/>
          <w:tab w:val="num" w:pos="1320"/>
          <w:tab w:val="left" w:pos="3228"/>
          <w:tab w:val="left" w:pos="3540"/>
          <w:tab w:val="left" w:pos="4248"/>
          <w:tab w:val="left" w:pos="4956"/>
          <w:tab w:val="left" w:pos="5664"/>
          <w:tab w:val="left" w:pos="6372"/>
          <w:tab w:val="left" w:pos="7080"/>
          <w:tab w:val="left" w:pos="7788"/>
          <w:tab w:val="left" w:pos="8496"/>
          <w:tab w:val="left" w:pos="9204"/>
          <w:tab w:val="left" w:pos="9472"/>
        </w:tabs>
        <w:ind w:left="1320" w:hanging="360"/>
        <w:jc w:val="both"/>
        <w:rPr>
          <w:rFonts w:eastAsia="Times" w:hAnsi="Times New Roman" w:cs="Times New Roman"/>
          <w:sz w:val="22"/>
          <w:szCs w:val="22"/>
        </w:rPr>
      </w:pPr>
      <w:r w:rsidRPr="00F25463">
        <w:rPr>
          <w:rFonts w:hAnsi="Times New Roman" w:cs="Times New Roman"/>
          <w:sz w:val="22"/>
          <w:szCs w:val="22"/>
        </w:rPr>
        <w:t>Un accord entre deux États peut ne pas être un traité.</w:t>
      </w:r>
    </w:p>
    <w:p w14:paraId="008559C7"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jc w:val="both"/>
        <w:rPr>
          <w:rFonts w:hAnsi="Times New Roman" w:cs="Times New Roman"/>
          <w:sz w:val="22"/>
          <w:szCs w:val="22"/>
        </w:rPr>
      </w:pPr>
      <w:r w:rsidRPr="00F25463">
        <w:rPr>
          <w:rFonts w:hAnsi="Times New Roman" w:cs="Times New Roman"/>
          <w:sz w:val="22"/>
          <w:szCs w:val="22"/>
        </w:rPr>
        <w:t xml:space="preserve">Ex : les </w:t>
      </w:r>
      <w:proofErr w:type="spellStart"/>
      <w:r w:rsidRPr="00F25463">
        <w:rPr>
          <w:rFonts w:hAnsi="Times New Roman" w:cs="Times New Roman"/>
          <w:sz w:val="22"/>
          <w:szCs w:val="22"/>
        </w:rPr>
        <w:t>gentlement’s</w:t>
      </w:r>
      <w:proofErr w:type="spellEnd"/>
      <w:r w:rsidRPr="00F25463">
        <w:rPr>
          <w:rFonts w:hAnsi="Times New Roman" w:cs="Times New Roman"/>
          <w:sz w:val="22"/>
          <w:szCs w:val="22"/>
        </w:rPr>
        <w:t xml:space="preserve"> agreement qui sont des accord non contraignant fondés sur le respect de la parole donné.</w:t>
      </w:r>
    </w:p>
    <w:p w14:paraId="16D1CD49" w14:textId="77777777" w:rsidR="00EC0180" w:rsidRPr="00F25463" w:rsidRDefault="004270F6" w:rsidP="004270F6">
      <w:pPr>
        <w:pStyle w:val="BodyText"/>
        <w:numPr>
          <w:ilvl w:val="3"/>
          <w:numId w:val="33"/>
        </w:numPr>
        <w:tabs>
          <w:tab w:val="clear" w:pos="360"/>
          <w:tab w:val="clear" w:pos="1290"/>
          <w:tab w:val="num" w:pos="1320"/>
          <w:tab w:val="left" w:pos="3228"/>
          <w:tab w:val="left" w:pos="3540"/>
          <w:tab w:val="left" w:pos="4248"/>
          <w:tab w:val="left" w:pos="4956"/>
          <w:tab w:val="left" w:pos="5664"/>
          <w:tab w:val="left" w:pos="6372"/>
          <w:tab w:val="left" w:pos="7080"/>
          <w:tab w:val="left" w:pos="7788"/>
          <w:tab w:val="left" w:pos="8496"/>
          <w:tab w:val="left" w:pos="9204"/>
          <w:tab w:val="left" w:pos="9472"/>
        </w:tabs>
        <w:ind w:left="1320" w:hanging="360"/>
        <w:rPr>
          <w:rFonts w:hAnsi="Times New Roman" w:cs="Times New Roman"/>
        </w:rPr>
      </w:pPr>
      <w:r w:rsidRPr="00F25463">
        <w:rPr>
          <w:rFonts w:hAnsi="Times New Roman" w:cs="Times New Roman"/>
          <w:sz w:val="22"/>
          <w:szCs w:val="22"/>
        </w:rPr>
        <w:t>Un accord entre deux États qui a trait à quelque chose de privé n’est pas un traité.</w:t>
      </w:r>
    </w:p>
    <w:p w14:paraId="09BD2086"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79559BC" w14:textId="77777777" w:rsidR="00EC0180" w:rsidRPr="00F25463" w:rsidRDefault="004270F6" w:rsidP="004270F6">
      <w:pPr>
        <w:pStyle w:val="BodyText"/>
        <w:numPr>
          <w:ilvl w:val="1"/>
          <w:numId w:val="10"/>
        </w:numPr>
        <w:tabs>
          <w:tab w:val="clear" w:pos="360"/>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Capacité de conclure un traité.</w:t>
      </w:r>
    </w:p>
    <w:p w14:paraId="77A04118"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9EE3C4A" w14:textId="77777777" w:rsidR="00EC0180" w:rsidRPr="00F25463" w:rsidRDefault="004270F6" w:rsidP="004270F6">
      <w:pPr>
        <w:pStyle w:val="BodyText"/>
        <w:numPr>
          <w:ilvl w:val="3"/>
          <w:numId w:val="35"/>
        </w:numPr>
        <w:tabs>
          <w:tab w:val="clear" w:pos="360"/>
          <w:tab w:val="clear" w:pos="810"/>
          <w:tab w:val="num" w:pos="840"/>
          <w:tab w:val="left" w:pos="2880"/>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sz w:val="22"/>
          <w:szCs w:val="22"/>
        </w:rPr>
      </w:pPr>
      <w:r w:rsidRPr="00F25463">
        <w:rPr>
          <w:rFonts w:hAnsi="Times New Roman" w:cs="Times New Roman"/>
          <w:b/>
          <w:bCs/>
          <w:sz w:val="22"/>
          <w:szCs w:val="22"/>
        </w:rPr>
        <w:t>Art 6 CVDT</w:t>
      </w:r>
      <w:r w:rsidRPr="00F25463">
        <w:rPr>
          <w:rFonts w:hAnsi="Times New Roman" w:cs="Times New Roman"/>
          <w:sz w:val="22"/>
          <w:szCs w:val="22"/>
        </w:rPr>
        <w:t> : Tout État à la capacité de conclure des traités (la convention de Vienne sur le droit des traités ne touche que les traités entre les États).  Cela fait partie du principe de souveraineté.  Mais si traité Bilatéral : besoin de préciser la reconnaissance des États.</w:t>
      </w:r>
    </w:p>
    <w:p w14:paraId="238BC56A"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42147E1"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La capacité de conclure un traité est l’un des attributs de la souveraineté puisque c’est la conséquence de la plénitude de la compétence internationale.</w:t>
      </w:r>
    </w:p>
    <w:p w14:paraId="4BCF4A72"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On  peut reconnaître un État d’une façon expresse mais aussi implicitement</w:t>
      </w:r>
    </w:p>
    <w:p w14:paraId="6A67CABB"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2AD9678A"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7165D96B"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b/>
          <w:bCs/>
          <w:sz w:val="22"/>
          <w:szCs w:val="22"/>
        </w:rPr>
      </w:pPr>
      <w:r w:rsidRPr="00F25463">
        <w:rPr>
          <w:rFonts w:hAnsi="Times New Roman" w:cs="Times New Roman"/>
          <w:b/>
          <w:bCs/>
          <w:sz w:val="22"/>
          <w:szCs w:val="22"/>
        </w:rPr>
        <w:t>Quelques précisions :</w:t>
      </w:r>
    </w:p>
    <w:p w14:paraId="6B52D83A"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643E1ABC" w14:textId="77777777" w:rsidR="00EC0180" w:rsidRPr="00F25463" w:rsidRDefault="004270F6" w:rsidP="004270F6">
      <w:pPr>
        <w:pStyle w:val="BodyText"/>
        <w:numPr>
          <w:ilvl w:val="5"/>
          <w:numId w:val="36"/>
        </w:numPr>
        <w:tabs>
          <w:tab w:val="clear" w:pos="360"/>
          <w:tab w:val="clear" w:pos="930"/>
          <w:tab w:val="num" w:pos="960"/>
          <w:tab w:val="left" w:pos="466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sz w:val="22"/>
          <w:szCs w:val="22"/>
        </w:rPr>
      </w:pPr>
      <w:r w:rsidRPr="00F25463">
        <w:rPr>
          <w:rFonts w:hAnsi="Times New Roman" w:cs="Times New Roman"/>
          <w:b/>
          <w:bCs/>
          <w:sz w:val="22"/>
          <w:szCs w:val="22"/>
        </w:rPr>
        <w:t xml:space="preserve">La reconnaissance de la capacité de conclure un traité par un État n’équivaut pas à la reconnaissance même de l’État. </w:t>
      </w:r>
    </w:p>
    <w:p w14:paraId="3D948D44"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Donc, deux États peuvent être parties à un même traité sans que cela implique qu’ils ne se reconnaissent mutuellement.  L’absence de reconnaissance n’est pas un obstacle juridique à une participation commune à un traité.</w:t>
      </w:r>
    </w:p>
    <w:p w14:paraId="06FC43EC"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Ex : Israël et les pays arabes font parties de l’ONU sans se reconnaître.</w:t>
      </w:r>
    </w:p>
    <w:p w14:paraId="16C65C86"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52D84577" w14:textId="77777777" w:rsidR="00EC0180" w:rsidRPr="00F25463" w:rsidRDefault="004270F6" w:rsidP="004270F6">
      <w:pPr>
        <w:pStyle w:val="BodyText"/>
        <w:numPr>
          <w:ilvl w:val="5"/>
          <w:numId w:val="37"/>
        </w:numPr>
        <w:tabs>
          <w:tab w:val="clear" w:pos="360"/>
          <w:tab w:val="clear" w:pos="930"/>
          <w:tab w:val="num" w:pos="960"/>
          <w:tab w:val="left" w:pos="4668"/>
          <w:tab w:val="left" w:pos="4956"/>
          <w:tab w:val="left" w:pos="5664"/>
          <w:tab w:val="left" w:pos="6372"/>
          <w:tab w:val="left" w:pos="7080"/>
          <w:tab w:val="left" w:pos="7788"/>
          <w:tab w:val="left" w:pos="8496"/>
          <w:tab w:val="left" w:pos="9204"/>
          <w:tab w:val="left" w:pos="9472"/>
        </w:tabs>
        <w:ind w:left="960" w:hanging="360"/>
        <w:rPr>
          <w:rFonts w:hAnsi="Times New Roman" w:cs="Times New Roman"/>
          <w:sz w:val="22"/>
          <w:szCs w:val="22"/>
        </w:rPr>
      </w:pPr>
      <w:r w:rsidRPr="00F25463">
        <w:rPr>
          <w:rFonts w:hAnsi="Times New Roman" w:cs="Times New Roman"/>
          <w:b/>
          <w:bCs/>
          <w:sz w:val="22"/>
          <w:szCs w:val="22"/>
        </w:rPr>
        <w:t xml:space="preserve">Les auteurs </w:t>
      </w:r>
      <w:proofErr w:type="gramStart"/>
      <w:r w:rsidRPr="00F25463">
        <w:rPr>
          <w:rFonts w:hAnsi="Times New Roman" w:cs="Times New Roman"/>
          <w:b/>
          <w:bCs/>
          <w:sz w:val="22"/>
          <w:szCs w:val="22"/>
        </w:rPr>
        <w:t>d’un traités</w:t>
      </w:r>
      <w:proofErr w:type="gramEnd"/>
      <w:r w:rsidRPr="00F25463">
        <w:rPr>
          <w:rFonts w:hAnsi="Times New Roman" w:cs="Times New Roman"/>
          <w:b/>
          <w:bCs/>
          <w:sz w:val="22"/>
          <w:szCs w:val="22"/>
        </w:rPr>
        <w:t xml:space="preserve"> sont libres de décider de l’ouverture du traité à l’accès des autres États</w:t>
      </w:r>
      <w:r w:rsidRPr="00F25463">
        <w:rPr>
          <w:rFonts w:hAnsi="Times New Roman" w:cs="Times New Roman"/>
          <w:sz w:val="22"/>
          <w:szCs w:val="22"/>
        </w:rPr>
        <w:t>.</w:t>
      </w:r>
    </w:p>
    <w:p w14:paraId="4DEDB654"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Ex : la CEE</w:t>
      </w:r>
    </w:p>
    <w:p w14:paraId="33789506" w14:textId="77777777" w:rsidR="00EC0180" w:rsidRPr="00F25463" w:rsidRDefault="004270F6">
      <w:pPr>
        <w:pStyle w:val="BodyText"/>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ab/>
        <w:t>La capacité des autres États ne leur donne pas le droit de participer aux traités existant (sous réserve de disposition du traité)</w:t>
      </w:r>
    </w:p>
    <w:p w14:paraId="33F9DF39" w14:textId="77777777" w:rsidR="00EC0180" w:rsidRPr="00F25463" w:rsidRDefault="004270F6">
      <w:pPr>
        <w:pStyle w:val="BodyText"/>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Ce doit être un traité ouvert et non fermé pour qu’un État puisse y adhérer.</w:t>
      </w:r>
    </w:p>
    <w:p w14:paraId="13F55198" w14:textId="77777777" w:rsidR="00EC0180" w:rsidRPr="00F25463" w:rsidRDefault="004270F6">
      <w:pPr>
        <w:pStyle w:val="BodyText"/>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La capacité d’un État de créer un traité lui donne pas le droit de participer à tous les traités.</w:t>
      </w:r>
    </w:p>
    <w:p w14:paraId="4547FD6C" w14:textId="77777777" w:rsidR="00EC0180" w:rsidRPr="00F25463" w:rsidRDefault="00EC0180">
      <w:pPr>
        <w:pStyle w:val="BodyText"/>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75D203D4" w14:textId="77777777" w:rsidR="00EC0180" w:rsidRPr="00F25463" w:rsidRDefault="004270F6" w:rsidP="004270F6">
      <w:pPr>
        <w:pStyle w:val="BodyText"/>
        <w:numPr>
          <w:ilvl w:val="5"/>
          <w:numId w:val="36"/>
        </w:numPr>
        <w:tabs>
          <w:tab w:val="clear" w:pos="360"/>
          <w:tab w:val="clear" w:pos="930"/>
          <w:tab w:val="num" w:pos="960"/>
          <w:tab w:val="left" w:pos="466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sz w:val="22"/>
          <w:szCs w:val="22"/>
        </w:rPr>
      </w:pPr>
      <w:r w:rsidRPr="00F25463">
        <w:rPr>
          <w:rFonts w:hAnsi="Times New Roman" w:cs="Times New Roman"/>
          <w:b/>
          <w:bCs/>
          <w:sz w:val="22"/>
          <w:szCs w:val="22"/>
        </w:rPr>
        <w:t>La capacité de conclure un traité des États membres d’une fédération.</w:t>
      </w:r>
    </w:p>
    <w:p w14:paraId="14E9D5ED"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9C0ACF4"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lastRenderedPageBreak/>
        <w:t>Selon le droit international, pour connaître la capacité d’un État ou d’une province membre d’une fédération, on doit se référer à la constitution interne de l’État.  Cela vient de la coutume.  Le droit international ne règle pas le problème de savoir la capacité des États, il faut se référer à la constitution de chacun.</w:t>
      </w:r>
    </w:p>
    <w:p w14:paraId="1FB7EDE6"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E2E618D" w14:textId="77777777" w:rsidR="00EC0180" w:rsidRPr="00F25463" w:rsidRDefault="004270F6" w:rsidP="004270F6">
      <w:pPr>
        <w:pStyle w:val="BodyText"/>
        <w:numPr>
          <w:ilvl w:val="1"/>
          <w:numId w:val="38"/>
        </w:numPr>
        <w:tabs>
          <w:tab w:val="clear" w:pos="360"/>
          <w:tab w:val="clear" w:pos="810"/>
          <w:tab w:val="num" w:pos="84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b/>
          <w:bCs/>
          <w:sz w:val="22"/>
          <w:szCs w:val="22"/>
        </w:rPr>
      </w:pPr>
      <w:r w:rsidRPr="00F25463">
        <w:rPr>
          <w:rFonts w:hAnsi="Times New Roman" w:cs="Times New Roman"/>
          <w:b/>
          <w:bCs/>
          <w:sz w:val="22"/>
          <w:szCs w:val="22"/>
        </w:rPr>
        <w:t>Les organisations internationales</w:t>
      </w:r>
    </w:p>
    <w:p w14:paraId="046145A1"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2B8D814"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t xml:space="preserve">Leur capacité n’est pas générale puisque leur personnalité internationale est imparfaite.  Ils n’ont donc pas la plénitude de la compétence internationale. </w:t>
      </w:r>
    </w:p>
    <w:p w14:paraId="28463FA6"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p>
    <w:p w14:paraId="2A04889D"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t>On doit consulter le traité constitutif de l’organisation pour savoir s’il permet de conclure des traités avec des États ou autres organisations.  La disposition sera explicite dans le traité.  Cependant, il arrive que cette compétence soit implicite</w:t>
      </w:r>
    </w:p>
    <w:p w14:paraId="0AF9C98D"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p>
    <w:p w14:paraId="2BB5E9E2"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t>Selon la théorie de la compétence implicite, une organisation internationale est présumée avoir les pouvoirs nécessaires à l’exercice de ses fonctions même si elles ne sont pas nommées dans l’acte constitutif.  Cependant, ces pouvoirs doivent être compatibles avec le but et l’objet de l’organisation.</w:t>
      </w:r>
    </w:p>
    <w:p w14:paraId="7CDA5DC3"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p>
    <w:p w14:paraId="604BF9CC"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color w:val="FF0000"/>
          <w:sz w:val="22"/>
          <w:szCs w:val="22"/>
        </w:rPr>
      </w:pPr>
      <w:r w:rsidRPr="00F25463">
        <w:rPr>
          <w:rFonts w:hAnsi="Times New Roman" w:cs="Times New Roman"/>
          <w:b/>
          <w:bCs/>
          <w:color w:val="FF0000"/>
          <w:sz w:val="22"/>
          <w:szCs w:val="22"/>
        </w:rPr>
        <w:t>Document 19</w:t>
      </w:r>
      <w:r w:rsidRPr="00F25463">
        <w:rPr>
          <w:rFonts w:hAnsi="Times New Roman" w:cs="Times New Roman"/>
          <w:color w:val="FF0000"/>
          <w:sz w:val="22"/>
          <w:szCs w:val="22"/>
        </w:rPr>
        <w:t> : un organisation doit être considéré comme ayant tous les pouvoirs nécessaire à l’exercice de ses fonctions même si ces pouvoir ne sont pas décrit il faut voir</w:t>
      </w:r>
    </w:p>
    <w:p w14:paraId="5DBAFFF8"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color w:val="FF0000"/>
          <w:sz w:val="22"/>
          <w:szCs w:val="22"/>
        </w:rPr>
      </w:pPr>
    </w:p>
    <w:p w14:paraId="69FAA668"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color w:val="FF0000"/>
          <w:sz w:val="22"/>
          <w:szCs w:val="22"/>
        </w:rPr>
      </w:pPr>
    </w:p>
    <w:p w14:paraId="4FCED167" w14:textId="77777777" w:rsidR="00EC0180" w:rsidRPr="00F25463" w:rsidRDefault="004270F6" w:rsidP="004270F6">
      <w:pPr>
        <w:pStyle w:val="BodyText"/>
        <w:numPr>
          <w:ilvl w:val="1"/>
          <w:numId w:val="38"/>
        </w:numPr>
        <w:tabs>
          <w:tab w:val="clear" w:pos="360"/>
          <w:tab w:val="clear" w:pos="810"/>
          <w:tab w:val="num" w:pos="84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b/>
          <w:bCs/>
          <w:color w:val="FF0000"/>
          <w:sz w:val="22"/>
          <w:szCs w:val="22"/>
        </w:rPr>
      </w:pPr>
      <w:r w:rsidRPr="00F25463">
        <w:rPr>
          <w:rFonts w:hAnsi="Times New Roman" w:cs="Times New Roman"/>
          <w:b/>
          <w:bCs/>
          <w:color w:val="FF0000"/>
          <w:sz w:val="22"/>
          <w:szCs w:val="22"/>
        </w:rPr>
        <w:t>Le Saint-Siège</w:t>
      </w:r>
    </w:p>
    <w:p w14:paraId="4C442C4B"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color w:val="FF0000"/>
          <w:sz w:val="22"/>
          <w:szCs w:val="22"/>
        </w:rPr>
      </w:pPr>
      <w:r w:rsidRPr="00F25463">
        <w:rPr>
          <w:rFonts w:hAnsi="Times New Roman" w:cs="Times New Roman"/>
          <w:color w:val="FF0000"/>
          <w:sz w:val="22"/>
          <w:szCs w:val="22"/>
        </w:rPr>
        <w:tab/>
      </w:r>
    </w:p>
    <w:p w14:paraId="6E6404D9"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color w:val="FF0000"/>
          <w:sz w:val="22"/>
          <w:szCs w:val="22"/>
        </w:rPr>
      </w:pPr>
      <w:r w:rsidRPr="00F25463">
        <w:rPr>
          <w:rFonts w:hAnsi="Times New Roman" w:cs="Times New Roman"/>
          <w:color w:val="FF0000"/>
          <w:sz w:val="22"/>
          <w:szCs w:val="22"/>
        </w:rPr>
        <w:t>N’étant pas un État, le Vatican n’a pas la plénitude de la compétence internationale.  Cependant, une certaine personnalité internationale lui a été</w:t>
      </w:r>
      <w:r w:rsidRPr="00F25463">
        <w:rPr>
          <w:rFonts w:hAnsi="Times New Roman" w:cs="Times New Roman"/>
          <w:sz w:val="22"/>
          <w:szCs w:val="22"/>
        </w:rPr>
        <w:t xml:space="preserve"> </w:t>
      </w:r>
      <w:r w:rsidRPr="00F25463">
        <w:rPr>
          <w:rFonts w:hAnsi="Times New Roman" w:cs="Times New Roman"/>
          <w:color w:val="FF0000"/>
          <w:sz w:val="22"/>
          <w:szCs w:val="22"/>
        </w:rPr>
        <w:t xml:space="preserve">reconnue en </w:t>
      </w:r>
      <w:r w:rsidRPr="00F25463">
        <w:rPr>
          <w:rFonts w:hAnsi="Times New Roman" w:cs="Times New Roman"/>
          <w:b/>
          <w:bCs/>
          <w:color w:val="FF0000"/>
          <w:sz w:val="22"/>
          <w:szCs w:val="22"/>
        </w:rPr>
        <w:t xml:space="preserve">1929 </w:t>
      </w:r>
      <w:r w:rsidRPr="00F25463">
        <w:rPr>
          <w:rFonts w:hAnsi="Times New Roman" w:cs="Times New Roman"/>
          <w:color w:val="FF0000"/>
          <w:sz w:val="22"/>
          <w:szCs w:val="22"/>
        </w:rPr>
        <w:t>par les accords du Latran conclus entre Mussolini et le Vatican.  Ces accords sont à la base juridique du Statut international du Vatican et acceptés par l’ensemble de la communauté internationale.</w:t>
      </w:r>
    </w:p>
    <w:p w14:paraId="0E1ADD3D"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color w:val="FF0000"/>
          <w:sz w:val="22"/>
          <w:szCs w:val="22"/>
        </w:rPr>
      </w:pPr>
    </w:p>
    <w:p w14:paraId="37A62FEC"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color w:val="FF0000"/>
          <w:sz w:val="22"/>
          <w:szCs w:val="22"/>
        </w:rPr>
      </w:pPr>
      <w:r w:rsidRPr="00F25463">
        <w:rPr>
          <w:rFonts w:hAnsi="Times New Roman" w:cs="Times New Roman"/>
          <w:color w:val="FF0000"/>
          <w:sz w:val="22"/>
          <w:szCs w:val="22"/>
        </w:rPr>
        <w:t>Les Accords du Latran furent renouvelés en 1984.  Le Vatican peut donc conclure certains traités :</w:t>
      </w:r>
    </w:p>
    <w:p w14:paraId="7D894480" w14:textId="77777777" w:rsidR="00EC0180" w:rsidRPr="00F25463" w:rsidRDefault="004270F6" w:rsidP="004270F6">
      <w:pPr>
        <w:pStyle w:val="BodyText"/>
        <w:numPr>
          <w:ilvl w:val="0"/>
          <w:numId w:val="39"/>
        </w:numPr>
        <w:tabs>
          <w:tab w:val="clear" w:pos="360"/>
          <w:tab w:val="clear" w:pos="1170"/>
          <w:tab w:val="num"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rPr>
          <w:rFonts w:hAnsi="Times New Roman" w:cs="Times New Roman"/>
          <w:color w:val="FF0000"/>
          <w:sz w:val="22"/>
          <w:szCs w:val="22"/>
        </w:rPr>
      </w:pPr>
      <w:r w:rsidRPr="00F25463">
        <w:rPr>
          <w:rFonts w:hAnsi="Times New Roman" w:cs="Times New Roman"/>
          <w:color w:val="FF0000"/>
          <w:sz w:val="22"/>
          <w:szCs w:val="22"/>
        </w:rPr>
        <w:t>Les concordats : Traités que le Vatican conclut avec des États sur le Statut de l’Église dans ces États.</w:t>
      </w:r>
    </w:p>
    <w:p w14:paraId="1615E58D" w14:textId="77777777" w:rsidR="00EC0180" w:rsidRPr="00F25463" w:rsidRDefault="004270F6" w:rsidP="004270F6">
      <w:pPr>
        <w:pStyle w:val="BodyText"/>
        <w:numPr>
          <w:ilvl w:val="0"/>
          <w:numId w:val="39"/>
        </w:numPr>
        <w:tabs>
          <w:tab w:val="clear" w:pos="360"/>
          <w:tab w:val="clear" w:pos="1170"/>
          <w:tab w:val="num"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rPr>
          <w:rFonts w:hAnsi="Times New Roman" w:cs="Times New Roman"/>
          <w:color w:val="FF0000"/>
          <w:sz w:val="22"/>
          <w:szCs w:val="22"/>
        </w:rPr>
      </w:pPr>
      <w:r w:rsidRPr="00F25463">
        <w:rPr>
          <w:rFonts w:hAnsi="Times New Roman" w:cs="Times New Roman"/>
          <w:color w:val="FF0000"/>
          <w:sz w:val="22"/>
          <w:szCs w:val="22"/>
        </w:rPr>
        <w:t>Les conventions multilatérales : relation diplomatique accordé conclut entre des états et des entités.</w:t>
      </w:r>
    </w:p>
    <w:p w14:paraId="61142039"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color w:val="FF0000"/>
          <w:sz w:val="22"/>
          <w:szCs w:val="22"/>
        </w:rPr>
      </w:pPr>
    </w:p>
    <w:p w14:paraId="5C2507EB" w14:textId="77777777" w:rsidR="00EC0180" w:rsidRPr="00F25463" w:rsidRDefault="004270F6" w:rsidP="004270F6">
      <w:pPr>
        <w:pStyle w:val="BodyText"/>
        <w:numPr>
          <w:ilvl w:val="1"/>
          <w:numId w:val="40"/>
        </w:numPr>
        <w:tabs>
          <w:tab w:val="clear" w:pos="360"/>
          <w:tab w:val="clear" w:pos="930"/>
          <w:tab w:val="num" w:pos="96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color w:val="FF0000"/>
          <w:sz w:val="22"/>
          <w:szCs w:val="22"/>
        </w:rPr>
      </w:pPr>
      <w:r w:rsidRPr="00F25463">
        <w:rPr>
          <w:rFonts w:hAnsi="Times New Roman" w:cs="Times New Roman"/>
          <w:b/>
          <w:bCs/>
          <w:color w:val="FF0000"/>
          <w:sz w:val="22"/>
          <w:szCs w:val="22"/>
        </w:rPr>
        <w:t>L’Organisation de Libération de la Palestine</w:t>
      </w:r>
    </w:p>
    <w:p w14:paraId="13AD9AB7"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color w:val="FF0000"/>
          <w:sz w:val="22"/>
          <w:szCs w:val="22"/>
        </w:rPr>
      </w:pPr>
    </w:p>
    <w:p w14:paraId="061517E1"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color w:val="FF0000"/>
          <w:sz w:val="22"/>
          <w:szCs w:val="22"/>
        </w:rPr>
      </w:pPr>
      <w:r w:rsidRPr="00F25463">
        <w:rPr>
          <w:rFonts w:hAnsi="Times New Roman" w:cs="Times New Roman"/>
          <w:color w:val="FF0000"/>
          <w:sz w:val="22"/>
          <w:szCs w:val="22"/>
        </w:rPr>
        <w:t>L’OLP conclut des accords avec des États même si elle n’a pas le statut d’État.  Cependant, puisque ce sont les États qui concluent des traités avec l’OLP que le contraire, on se rend compte que la capacité juridique de l’OLP n’est pas intrinsèque.  Elle est soumise à la volonté des États de conclure le traité. Ce sont les États qui veulent conclure avec l’OLP.</w:t>
      </w:r>
    </w:p>
    <w:p w14:paraId="7241CB75"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61273499" w14:textId="77777777" w:rsidR="00EC0180" w:rsidRPr="00F25463" w:rsidRDefault="004270F6" w:rsidP="004270F6">
      <w:pPr>
        <w:pStyle w:val="BodyText"/>
        <w:numPr>
          <w:ilvl w:val="1"/>
          <w:numId w:val="41"/>
        </w:numPr>
        <w:tabs>
          <w:tab w:val="clear" w:pos="360"/>
          <w:tab w:val="clear" w:pos="132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1440"/>
        <w:rPr>
          <w:rFonts w:hAnsi="Times New Roman" w:cs="Times New Roman"/>
          <w:sz w:val="22"/>
          <w:szCs w:val="22"/>
        </w:rPr>
      </w:pPr>
      <w:r w:rsidRPr="00F25463">
        <w:rPr>
          <w:rFonts w:hAnsi="Times New Roman" w:cs="Times New Roman"/>
          <w:sz w:val="22"/>
          <w:szCs w:val="22"/>
        </w:rPr>
        <w:t>Codification en la matière dans la convention de Vienne sur le droit des traités. (doc 3)</w:t>
      </w:r>
    </w:p>
    <w:p w14:paraId="3819BD68"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8400DE"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r w:rsidRPr="00F25463">
        <w:rPr>
          <w:rFonts w:hAnsi="Times New Roman" w:cs="Times New Roman"/>
          <w:b/>
          <w:bCs/>
          <w:sz w:val="22"/>
          <w:szCs w:val="22"/>
        </w:rPr>
        <w:t>En 1946,</w:t>
      </w:r>
      <w:r w:rsidRPr="00F25463">
        <w:rPr>
          <w:rFonts w:hAnsi="Times New Roman" w:cs="Times New Roman"/>
          <w:sz w:val="22"/>
          <w:szCs w:val="22"/>
        </w:rPr>
        <w:t xml:space="preserve"> l’Assemblé Générale a créé la Commission de droit internationale sur le droit des traités, conformément à l’art 22 CNU qui permet à l’Assemblée Générale de créer les organes subsidiaires qu’elles juge nécessaire à l’exercice de ses fonctions.  Cette commission était composée de 25 juristes indépendants représentant les divers systèmes juridiques du monde.  En 1949, elle a reçu le mandat de codifier le droit des traités.</w:t>
      </w:r>
    </w:p>
    <w:p w14:paraId="3922266E"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p>
    <w:p w14:paraId="6E29255F"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Le 23  mai 1969,</w:t>
      </w:r>
      <w:r w:rsidRPr="00F25463">
        <w:rPr>
          <w:rFonts w:hAnsi="Times New Roman" w:cs="Times New Roman"/>
          <w:sz w:val="22"/>
          <w:szCs w:val="22"/>
        </w:rPr>
        <w:t> à la conférence diplomatique de Vienne, le texte élaboré par cette commission a été adopté selon le vote suivant :</w:t>
      </w:r>
    </w:p>
    <w:p w14:paraId="3B8B9E6E" w14:textId="77777777" w:rsidR="00EC0180" w:rsidRPr="00F25463" w:rsidRDefault="004270F6" w:rsidP="004270F6">
      <w:pPr>
        <w:pStyle w:val="BodyText"/>
        <w:numPr>
          <w:ilvl w:val="0"/>
          <w:numId w:val="26"/>
        </w:numPr>
        <w:tabs>
          <w:tab w:val="clear" w:pos="360"/>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75 États pour</w:t>
      </w:r>
    </w:p>
    <w:p w14:paraId="7649B19B" w14:textId="77777777" w:rsidR="00EC0180" w:rsidRPr="00F25463" w:rsidRDefault="004270F6" w:rsidP="004270F6">
      <w:pPr>
        <w:pStyle w:val="BodyText"/>
        <w:numPr>
          <w:ilvl w:val="0"/>
          <w:numId w:val="26"/>
        </w:numPr>
        <w:tabs>
          <w:tab w:val="clear" w:pos="360"/>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lastRenderedPageBreak/>
        <w:t>1 État contre (la France s’opposait au Jus Cogens)</w:t>
      </w:r>
    </w:p>
    <w:p w14:paraId="042F8ABD" w14:textId="77777777" w:rsidR="00EC0180" w:rsidRPr="00F25463" w:rsidRDefault="004270F6" w:rsidP="004270F6">
      <w:pPr>
        <w:pStyle w:val="BodyText"/>
        <w:numPr>
          <w:ilvl w:val="0"/>
          <w:numId w:val="26"/>
        </w:numPr>
        <w:tabs>
          <w:tab w:val="clear" w:pos="360"/>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19 États se sont abstenus.  Les pays socialistes voulaient l’universalité de participation dans les grands traités-lois multilatéraux, c’est-à-dire, qu’ils soient obligatoirement ouverts.</w:t>
      </w:r>
    </w:p>
    <w:p w14:paraId="2EEA18DA"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5C832C4"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Il est à noter que la RDA, la Chine et la Corée du Nord n’étaient pas invités à cette conférence.</w:t>
      </w:r>
    </w:p>
    <w:p w14:paraId="4C5085A9"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82472EB"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highlight w:val="yellow"/>
        </w:rPr>
        <w:t>Bien que cette convention ait été adopté en 1969, elle n’ait entrée en vigueur qu’en 1980.</w:t>
      </w:r>
    </w:p>
    <w:p w14:paraId="395988FF" w14:textId="77777777" w:rsidR="00F25463" w:rsidRPr="00F25463" w:rsidRDefault="00F25463">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E9807E" w14:textId="77777777" w:rsidR="00F25463" w:rsidRPr="00F25463" w:rsidRDefault="00F25463">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AF34428" w14:textId="77777777" w:rsidR="00F25463" w:rsidRPr="00F25463" w:rsidRDefault="00F25463">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18A78F7"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tbl>
      <w:tblPr>
        <w:tblStyle w:val="TableNormal1"/>
        <w:tblW w:w="789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890"/>
      </w:tblGrid>
      <w:tr w:rsidR="00EC0180" w:rsidRPr="00F25463" w14:paraId="29E2C4C9" w14:textId="77777777">
        <w:trPr>
          <w:trHeight w:val="300"/>
        </w:trPr>
        <w:tc>
          <w:tcPr>
            <w:tcW w:w="789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484F6BAE" w14:textId="50FFE1E2" w:rsidR="00EC0180" w:rsidRPr="00F25463" w:rsidRDefault="004270F6">
            <w:pPr>
              <w:pStyle w:val="FreeForm"/>
              <w:keepNext/>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 xml:space="preserve">Cour 8, le 28 janvier </w:t>
            </w:r>
          </w:p>
        </w:tc>
      </w:tr>
    </w:tbl>
    <w:p w14:paraId="7BA40CF0" w14:textId="77777777" w:rsidR="00EC0180" w:rsidRPr="00F25463" w:rsidRDefault="00EC0180">
      <w:pPr>
        <w:pStyle w:val="FreeForm"/>
        <w:ind w:left="108"/>
        <w:rPr>
          <w:sz w:val="22"/>
          <w:szCs w:val="22"/>
        </w:rPr>
      </w:pPr>
    </w:p>
    <w:p w14:paraId="5F913CA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50"/>
        <w:rPr>
          <w:rFonts w:hAnsi="Times New Roman" w:cs="Times New Roman"/>
          <w:sz w:val="22"/>
          <w:szCs w:val="22"/>
        </w:rPr>
      </w:pPr>
    </w:p>
    <w:p w14:paraId="61D1FC2F"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FC4858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1430F1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Les Étapes de la procédure traditionnelle :</w:t>
      </w:r>
    </w:p>
    <w:p w14:paraId="44A7B68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Élaboration du texte : Voir </w:t>
      </w:r>
      <w:proofErr w:type="spellStart"/>
      <w:r w:rsidRPr="00F25463">
        <w:rPr>
          <w:rFonts w:hAnsi="Times New Roman" w:cs="Times New Roman"/>
          <w:sz w:val="22"/>
          <w:szCs w:val="22"/>
        </w:rPr>
        <w:t>Arbour</w:t>
      </w:r>
      <w:proofErr w:type="spellEnd"/>
    </w:p>
    <w:p w14:paraId="711267EE"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Émission des pleins pouvoir</w:t>
      </w:r>
    </w:p>
    <w:p w14:paraId="6A29FE35"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Négociation</w:t>
      </w:r>
    </w:p>
    <w:p w14:paraId="680A350E"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Adoption</w:t>
      </w:r>
    </w:p>
    <w:p w14:paraId="6AA25950"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Authentification ou signature</w:t>
      </w:r>
    </w:p>
    <w:p w14:paraId="71493C3C"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Engagement des États envers le traité ; par ratification, adhésion ou par accord par forme simplifier</w:t>
      </w:r>
    </w:p>
    <w:p w14:paraId="2198B266" w14:textId="77777777" w:rsidR="00EC0180" w:rsidRPr="00F25463" w:rsidRDefault="004270F6" w:rsidP="004270F6">
      <w:pPr>
        <w:numPr>
          <w:ilvl w:val="3"/>
          <w:numId w:val="42"/>
        </w:numPr>
        <w:tabs>
          <w:tab w:val="clear" w:pos="3903"/>
          <w:tab w:val="num" w:pos="3933"/>
          <w:tab w:val="left" w:pos="4248"/>
          <w:tab w:val="left" w:pos="4956"/>
          <w:tab w:val="left" w:pos="5664"/>
          <w:tab w:val="left" w:pos="6372"/>
          <w:tab w:val="left" w:pos="7080"/>
          <w:tab w:val="left" w:pos="7788"/>
          <w:tab w:val="left" w:pos="8496"/>
          <w:tab w:val="left" w:pos="9204"/>
          <w:tab w:val="left" w:pos="9472"/>
        </w:tabs>
        <w:ind w:left="3933" w:hanging="360"/>
        <w:jc w:val="both"/>
        <w:rPr>
          <w:rFonts w:hAnsi="Times New Roman" w:cs="Times New Roman"/>
          <w:sz w:val="22"/>
          <w:szCs w:val="22"/>
        </w:rPr>
      </w:pPr>
      <w:r w:rsidRPr="00F25463">
        <w:rPr>
          <w:rFonts w:hAnsi="Times New Roman" w:cs="Times New Roman"/>
          <w:sz w:val="22"/>
          <w:szCs w:val="22"/>
        </w:rPr>
        <w:t>Puis si entente, mise en vigueur donc doit être enregistrer aux N.U.</w:t>
      </w:r>
    </w:p>
    <w:p w14:paraId="7A00BC6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948DB52"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Authentification</w:t>
      </w:r>
      <w:r w:rsidRPr="00F25463">
        <w:rPr>
          <w:rFonts w:hAnsi="Times New Roman" w:cs="Times New Roman"/>
          <w:sz w:val="22"/>
          <w:szCs w:val="22"/>
        </w:rPr>
        <w:t xml:space="preserve"> : l’état indique qu’il est satisfait avec le principe du texte. L’état n’est pas complètement engager. Il y a besoin d’une ratification de sa part. Par contre, l’authentification </w:t>
      </w:r>
      <w:proofErr w:type="spellStart"/>
      <w:r w:rsidRPr="00F25463">
        <w:rPr>
          <w:rFonts w:hAnsi="Times New Roman" w:cs="Times New Roman"/>
          <w:sz w:val="22"/>
          <w:szCs w:val="22"/>
        </w:rPr>
        <w:t>envoye</w:t>
      </w:r>
      <w:proofErr w:type="spellEnd"/>
      <w:r w:rsidRPr="00F25463">
        <w:rPr>
          <w:rFonts w:hAnsi="Times New Roman" w:cs="Times New Roman"/>
          <w:sz w:val="22"/>
          <w:szCs w:val="22"/>
        </w:rPr>
        <w:t xml:space="preserve"> un message à la communauté internationale faisant partie du traité qu’il n’ira pas contre le but et l’objectif du traité. (Art. 18a de la Convention de Vienne)</w:t>
      </w:r>
    </w:p>
    <w:p w14:paraId="4B127DE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F73F73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cela ne veut pas dire qu’il </w:t>
      </w:r>
      <w:proofErr w:type="spellStart"/>
      <w:r w:rsidRPr="00F25463">
        <w:rPr>
          <w:rFonts w:hAnsi="Times New Roman" w:cs="Times New Roman"/>
          <w:sz w:val="22"/>
          <w:szCs w:val="22"/>
        </w:rPr>
        <w:t>repsectera</w:t>
      </w:r>
      <w:proofErr w:type="spellEnd"/>
      <w:r w:rsidRPr="00F25463">
        <w:rPr>
          <w:rFonts w:hAnsi="Times New Roman" w:cs="Times New Roman"/>
          <w:sz w:val="22"/>
          <w:szCs w:val="22"/>
        </w:rPr>
        <w:t xml:space="preserve"> toutes les dispositions…seulement son but</w:t>
      </w:r>
    </w:p>
    <w:p w14:paraId="3EDF774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s’impose par simple signature pour les petits traités bilatéraux (forme de raccourcis)</w:t>
      </w:r>
    </w:p>
    <w:p w14:paraId="1DEEF200"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2C6A75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Entrée en </w:t>
      </w:r>
      <w:proofErr w:type="spellStart"/>
      <w:r w:rsidRPr="00F25463">
        <w:rPr>
          <w:rFonts w:hAnsi="Times New Roman" w:cs="Times New Roman"/>
          <w:b/>
          <w:bCs/>
          <w:sz w:val="22"/>
          <w:szCs w:val="22"/>
        </w:rPr>
        <w:t>vigeur</w:t>
      </w:r>
      <w:proofErr w:type="spellEnd"/>
      <w:r w:rsidRPr="00F25463">
        <w:rPr>
          <w:rFonts w:hAnsi="Times New Roman" w:cs="Times New Roman"/>
          <w:sz w:val="22"/>
          <w:szCs w:val="22"/>
        </w:rPr>
        <w:t xml:space="preserve"> : toutes les dispositions ont toute force juridique à l’égard des états qui sont engagé à ce traité. La date d’entré en vigueur du traité est généralement celle de l’échange </w:t>
      </w:r>
      <w:proofErr w:type="gramStart"/>
      <w:r w:rsidRPr="00F25463">
        <w:rPr>
          <w:rFonts w:hAnsi="Times New Roman" w:cs="Times New Roman"/>
          <w:sz w:val="22"/>
          <w:szCs w:val="22"/>
        </w:rPr>
        <w:t>des instrument</w:t>
      </w:r>
      <w:proofErr w:type="gramEnd"/>
      <w:r w:rsidRPr="00F25463">
        <w:rPr>
          <w:rFonts w:hAnsi="Times New Roman" w:cs="Times New Roman"/>
          <w:sz w:val="22"/>
          <w:szCs w:val="22"/>
        </w:rPr>
        <w:t xml:space="preserve"> de ratification, lequel donne lieu à l’établissement d’un procès.</w:t>
      </w:r>
    </w:p>
    <w:p w14:paraId="4A0F91E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25DDD6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La convention à pleine force juridique pour les États qui se sont engager. Il devient pleinement obligatoire, plein force juridique, deviennent la loi pour les États membre.</w:t>
      </w:r>
    </w:p>
    <w:p w14:paraId="7602B97D"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192D5C9"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Il est possible d’avoir différente dates d’entrée en </w:t>
      </w:r>
      <w:proofErr w:type="spellStart"/>
      <w:r w:rsidRPr="00F25463">
        <w:rPr>
          <w:rFonts w:hAnsi="Times New Roman" w:cs="Times New Roman"/>
          <w:sz w:val="22"/>
          <w:szCs w:val="22"/>
        </w:rPr>
        <w:t>viguer</w:t>
      </w:r>
      <w:proofErr w:type="spellEnd"/>
    </w:p>
    <w:p w14:paraId="5920771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proofErr w:type="gramStart"/>
      <w:r w:rsidRPr="00F25463">
        <w:rPr>
          <w:rFonts w:hAnsi="Times New Roman" w:cs="Times New Roman"/>
          <w:sz w:val="22"/>
          <w:szCs w:val="22"/>
        </w:rPr>
        <w:t>exemple</w:t>
      </w:r>
      <w:proofErr w:type="gramEnd"/>
      <w:r w:rsidRPr="00F25463">
        <w:rPr>
          <w:rFonts w:hAnsi="Times New Roman" w:cs="Times New Roman"/>
          <w:sz w:val="22"/>
          <w:szCs w:val="22"/>
        </w:rPr>
        <w:t> : Convention de Vienne 1980</w:t>
      </w:r>
    </w:p>
    <w:p w14:paraId="4D852C28"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 xml:space="preserve">     Le Canada à ratifier en 1970</w:t>
      </w:r>
    </w:p>
    <w:p w14:paraId="08FBD7F8"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0990BFA"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S’il y a un problème avec un état qui a ratifié après 1980, c’est le droit coutumier qui s’appliquera. </w:t>
      </w:r>
    </w:p>
    <w:p w14:paraId="4A6D493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D9EA330"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18a</w:t>
      </w:r>
      <w:r w:rsidRPr="00F25463">
        <w:rPr>
          <w:rFonts w:hAnsi="Times New Roman" w:cs="Times New Roman"/>
          <w:sz w:val="22"/>
          <w:szCs w:val="22"/>
        </w:rPr>
        <w:t xml:space="preserve"> : </w:t>
      </w:r>
      <w:proofErr w:type="spellStart"/>
      <w:r w:rsidRPr="00F25463">
        <w:rPr>
          <w:rFonts w:hAnsi="Times New Roman" w:cs="Times New Roman"/>
          <w:sz w:val="22"/>
          <w:szCs w:val="22"/>
        </w:rPr>
        <w:t>authentifer</w:t>
      </w:r>
      <w:proofErr w:type="spellEnd"/>
      <w:r w:rsidRPr="00F25463">
        <w:rPr>
          <w:rFonts w:hAnsi="Times New Roman" w:cs="Times New Roman"/>
          <w:sz w:val="22"/>
          <w:szCs w:val="22"/>
        </w:rPr>
        <w:t xml:space="preserve"> = objet et but seulement du traité</w:t>
      </w:r>
    </w:p>
    <w:p w14:paraId="29E74AF8"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18b </w:t>
      </w:r>
      <w:r w:rsidRPr="00F25463">
        <w:rPr>
          <w:rFonts w:hAnsi="Times New Roman" w:cs="Times New Roman"/>
          <w:sz w:val="22"/>
          <w:szCs w:val="22"/>
        </w:rPr>
        <w:t>: ratifier = toutes les dispositions et le but et son objectif</w:t>
      </w:r>
    </w:p>
    <w:p w14:paraId="2933E07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636FCF0"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Adhésion </w:t>
      </w:r>
      <w:r w:rsidRPr="00F25463">
        <w:rPr>
          <w:rFonts w:hAnsi="Times New Roman" w:cs="Times New Roman"/>
          <w:sz w:val="22"/>
          <w:szCs w:val="22"/>
        </w:rPr>
        <w:t xml:space="preserve">: s’engage à des traités qu’il n’a pas </w:t>
      </w:r>
      <w:proofErr w:type="gramStart"/>
      <w:r w:rsidRPr="00F25463">
        <w:rPr>
          <w:rFonts w:hAnsi="Times New Roman" w:cs="Times New Roman"/>
          <w:sz w:val="22"/>
          <w:szCs w:val="22"/>
        </w:rPr>
        <w:t>authentifié</w:t>
      </w:r>
      <w:proofErr w:type="gramEnd"/>
    </w:p>
    <w:p w14:paraId="4692568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seulement possible pour les traités ouverts</w:t>
      </w:r>
    </w:p>
    <w:p w14:paraId="770D927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 xml:space="preserve">peut avoir lieu avant son entrée en </w:t>
      </w:r>
      <w:proofErr w:type="spellStart"/>
      <w:r w:rsidRPr="00F25463">
        <w:rPr>
          <w:rFonts w:hAnsi="Times New Roman" w:cs="Times New Roman"/>
          <w:sz w:val="22"/>
          <w:szCs w:val="22"/>
        </w:rPr>
        <w:t>vigeur</w:t>
      </w:r>
      <w:proofErr w:type="spellEnd"/>
    </w:p>
    <w:p w14:paraId="5EB8C5E1"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ex : Convention de Vienne</w:t>
      </w:r>
    </w:p>
    <w:p w14:paraId="718C433E"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CFCA10E"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Autres auteurs : seulement lorsque l’état s’engage soit avant ou après le traité</w:t>
      </w:r>
    </w:p>
    <w:p w14:paraId="72BB4F8E"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6E7E0A4"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Dépositaire :</w:t>
      </w:r>
      <w:r w:rsidRPr="00F25463">
        <w:rPr>
          <w:rFonts w:hAnsi="Times New Roman" w:cs="Times New Roman"/>
          <w:sz w:val="22"/>
          <w:szCs w:val="22"/>
        </w:rPr>
        <w:t xml:space="preserve"> secrétaire de la convention ; il reçoit l’authentification, l’objection les ratifications des pays</w:t>
      </w:r>
    </w:p>
    <w:p w14:paraId="58A1B657"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DCFB60"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Adoption : Art. 9 al 1</w:t>
      </w:r>
      <w:r w:rsidRPr="00F25463">
        <w:rPr>
          <w:rFonts w:hAnsi="Times New Roman" w:cs="Times New Roman"/>
          <w:sz w:val="22"/>
          <w:szCs w:val="22"/>
        </w:rPr>
        <w:t xml:space="preserve"> : le texte doit être adopté par le consentement </w:t>
      </w:r>
      <w:proofErr w:type="spellStart"/>
      <w:r w:rsidRPr="00F25463">
        <w:rPr>
          <w:rFonts w:hAnsi="Times New Roman" w:cs="Times New Roman"/>
          <w:sz w:val="22"/>
          <w:szCs w:val="22"/>
        </w:rPr>
        <w:t>anonime</w:t>
      </w:r>
      <w:proofErr w:type="spellEnd"/>
      <w:r w:rsidRPr="00F25463">
        <w:rPr>
          <w:rFonts w:hAnsi="Times New Roman" w:cs="Times New Roman"/>
          <w:sz w:val="22"/>
          <w:szCs w:val="22"/>
        </w:rPr>
        <w:t xml:space="preserve"> de tout </w:t>
      </w:r>
    </w:p>
    <w:p w14:paraId="0EA46E9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les</w:t>
      </w:r>
      <w:proofErr w:type="gramEnd"/>
      <w:r w:rsidRPr="00F25463">
        <w:rPr>
          <w:rFonts w:hAnsi="Times New Roman" w:cs="Times New Roman"/>
          <w:sz w:val="22"/>
          <w:szCs w:val="22"/>
        </w:rPr>
        <w:t xml:space="preserve"> membres qui ont participés</w:t>
      </w:r>
    </w:p>
    <w:p w14:paraId="5532583D"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b/>
          <w:bCs/>
          <w:sz w:val="22"/>
          <w:szCs w:val="22"/>
        </w:rPr>
        <w:t xml:space="preserve">       Art. 9 al 2 :  </w:t>
      </w:r>
      <w:r w:rsidRPr="00F25463">
        <w:rPr>
          <w:rFonts w:hAnsi="Times New Roman" w:cs="Times New Roman"/>
          <w:sz w:val="22"/>
          <w:szCs w:val="22"/>
        </w:rPr>
        <w:t>exception : la majorité de 2/3 pour l’adoption d’un texte</w:t>
      </w:r>
    </w:p>
    <w:p w14:paraId="076FF268"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B335E1"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En pratique : </w:t>
      </w:r>
      <w:proofErr w:type="spellStart"/>
      <w:r w:rsidRPr="00F25463">
        <w:rPr>
          <w:rFonts w:hAnsi="Times New Roman" w:cs="Times New Roman"/>
          <w:sz w:val="22"/>
          <w:szCs w:val="22"/>
        </w:rPr>
        <w:t>reccours</w:t>
      </w:r>
      <w:proofErr w:type="spellEnd"/>
      <w:r w:rsidRPr="00F25463">
        <w:rPr>
          <w:rFonts w:hAnsi="Times New Roman" w:cs="Times New Roman"/>
          <w:sz w:val="22"/>
          <w:szCs w:val="22"/>
        </w:rPr>
        <w:t xml:space="preserve"> au consensus lorsque les états ne peuvent pas s’</w:t>
      </w:r>
      <w:proofErr w:type="spellStart"/>
      <w:r w:rsidRPr="00F25463">
        <w:rPr>
          <w:rFonts w:hAnsi="Times New Roman" w:cs="Times New Roman"/>
          <w:sz w:val="22"/>
          <w:szCs w:val="22"/>
        </w:rPr>
        <w:t>entendrent</w:t>
      </w:r>
      <w:proofErr w:type="spellEnd"/>
    </w:p>
    <w:p w14:paraId="3226D82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i/>
          <w:iCs/>
          <w:sz w:val="22"/>
          <w:szCs w:val="22"/>
        </w:rPr>
        <w:t>Consensus :</w:t>
      </w:r>
      <w:r w:rsidRPr="00F25463">
        <w:rPr>
          <w:rFonts w:hAnsi="Times New Roman" w:cs="Times New Roman"/>
          <w:sz w:val="22"/>
          <w:szCs w:val="22"/>
        </w:rPr>
        <w:t xml:space="preserve"> Tout les États qui sont présent, sont suffisamment d’accord, suffisamment d’intérêt pour accepter la convention. En gros, c’est une bonne idée.</w:t>
      </w:r>
    </w:p>
    <w:p w14:paraId="173DFFF2"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090A2D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b/>
          <w:bCs/>
          <w:sz w:val="22"/>
          <w:szCs w:val="22"/>
        </w:rPr>
        <w:t>Art 24 (4)</w:t>
      </w:r>
      <w:r w:rsidRPr="00F25463">
        <w:rPr>
          <w:rFonts w:hAnsi="Times New Roman" w:cs="Times New Roman"/>
          <w:sz w:val="22"/>
          <w:szCs w:val="22"/>
        </w:rPr>
        <w:t>: Par l’adoption, certaines disposition de la convention deviennent immédiatement applicables.</w:t>
      </w:r>
    </w:p>
    <w:p w14:paraId="07C4916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Ex : date d’entré en vigueur (manière de s’engager au traité)</w:t>
      </w:r>
    </w:p>
    <w:p w14:paraId="1B0A570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6B9C67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2. Conclusion des traités internationaux.</w:t>
      </w:r>
    </w:p>
    <w:p w14:paraId="4FFFA70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DB7DC0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 xml:space="preserve">La réglementation générale se retrouve aux </w:t>
      </w:r>
      <w:r w:rsidRPr="00F25463">
        <w:rPr>
          <w:rFonts w:hAnsi="Times New Roman" w:cs="Times New Roman"/>
          <w:b/>
          <w:bCs/>
          <w:sz w:val="22"/>
          <w:szCs w:val="22"/>
        </w:rPr>
        <w:t>article 6-25 et 76-80 de la CVDT</w:t>
      </w:r>
      <w:r w:rsidRPr="00F25463">
        <w:rPr>
          <w:rFonts w:hAnsi="Times New Roman" w:cs="Times New Roman"/>
          <w:sz w:val="22"/>
          <w:szCs w:val="22"/>
        </w:rPr>
        <w:t>.</w:t>
      </w:r>
    </w:p>
    <w:p w14:paraId="31802D7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1D5D07EC" w14:textId="77777777" w:rsidR="00EC0180" w:rsidRPr="00F25463" w:rsidRDefault="004270F6" w:rsidP="004270F6">
      <w:pPr>
        <w:numPr>
          <w:ilvl w:val="3"/>
          <w:numId w:val="43"/>
        </w:numPr>
        <w:tabs>
          <w:tab w:val="clear" w:pos="1408"/>
          <w:tab w:val="num" w:pos="1440"/>
          <w:tab w:val="left" w:pos="3390"/>
          <w:tab w:val="left" w:pos="3540"/>
          <w:tab w:val="left" w:pos="4248"/>
          <w:tab w:val="left" w:pos="4956"/>
          <w:tab w:val="left" w:pos="5664"/>
          <w:tab w:val="left" w:pos="6372"/>
          <w:tab w:val="left" w:pos="7080"/>
          <w:tab w:val="left" w:pos="7788"/>
          <w:tab w:val="left" w:pos="8496"/>
          <w:tab w:val="left" w:pos="9204"/>
          <w:tab w:val="left" w:pos="9472"/>
        </w:tabs>
        <w:ind w:left="1440" w:hanging="390"/>
        <w:jc w:val="both"/>
        <w:rPr>
          <w:rFonts w:hAnsi="Times New Roman" w:cs="Times New Roman"/>
          <w:sz w:val="22"/>
          <w:szCs w:val="22"/>
        </w:rPr>
      </w:pPr>
      <w:r w:rsidRPr="00F25463">
        <w:rPr>
          <w:rFonts w:hAnsi="Times New Roman" w:cs="Times New Roman"/>
          <w:b/>
          <w:bCs/>
          <w:sz w:val="22"/>
          <w:szCs w:val="22"/>
        </w:rPr>
        <w:t>Élaboration du texte</w:t>
      </w:r>
      <w:r w:rsidRPr="00F25463">
        <w:rPr>
          <w:rFonts w:hAnsi="Times New Roman" w:cs="Times New Roman"/>
          <w:sz w:val="22"/>
          <w:szCs w:val="22"/>
        </w:rPr>
        <w:t> : Émission des pleins pouvoir, négociation et rédaction.</w:t>
      </w:r>
    </w:p>
    <w:p w14:paraId="1505AC7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5B6593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Art 2 CVDT : « Pleins Pouvoirs »</w:t>
      </w:r>
      <w:r w:rsidRPr="00F25463">
        <w:rPr>
          <w:rFonts w:hAnsi="Times New Roman" w:cs="Times New Roman"/>
          <w:sz w:val="22"/>
          <w:szCs w:val="22"/>
        </w:rPr>
        <w:t>, document émanant de l’autorité compétente d’un État et désignant une ou plusieurs personnes pour représenter l’État pour négociation, l’adoption ou l’authentification d’un traité, pour exprimer le consentement de l’État à être lié par un traité ou pour accomplir tout autre acte à l’égard du traité.</w:t>
      </w:r>
    </w:p>
    <w:p w14:paraId="0F89D38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r w:rsidRPr="00F25463">
        <w:rPr>
          <w:rFonts w:hAnsi="Times New Roman" w:cs="Times New Roman"/>
          <w:b/>
          <w:bCs/>
          <w:sz w:val="22"/>
          <w:szCs w:val="22"/>
        </w:rPr>
        <w:t>Pour savoir qui est compétent, il faut aller voir le droit constitutionnel de l’État.</w:t>
      </w:r>
    </w:p>
    <w:p w14:paraId="358574A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p>
    <w:p w14:paraId="5BD91FD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 xml:space="preserve">Art 7 CVDT : </w:t>
      </w:r>
      <w:r w:rsidRPr="00F25463">
        <w:rPr>
          <w:rFonts w:hAnsi="Times New Roman" w:cs="Times New Roman"/>
          <w:sz w:val="22"/>
          <w:szCs w:val="22"/>
        </w:rPr>
        <w:t>Les États intéressés peuvent renoncer à leur présentation. Certaines personnes n’ont pas à les produire :</w:t>
      </w:r>
    </w:p>
    <w:p w14:paraId="33A7F1B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chefs d’État</w:t>
      </w:r>
    </w:p>
    <w:p w14:paraId="4CF00B09"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chefs de gouvernement</w:t>
      </w:r>
    </w:p>
    <w:p w14:paraId="2FE43C26"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ministres des affaires étrangères</w:t>
      </w:r>
    </w:p>
    <w:p w14:paraId="61E45C8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w:t>
      </w:r>
    </w:p>
    <w:p w14:paraId="10BDFE3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r w:rsidRPr="00F25463">
        <w:rPr>
          <w:rFonts w:hAnsi="Times New Roman" w:cs="Times New Roman"/>
          <w:sz w:val="22"/>
          <w:szCs w:val="22"/>
        </w:rPr>
        <w:t xml:space="preserve">Lorsque cette personne s’engage, exemple : chef d’état, peu transférer des pouvoirs donc a une personne qui devient </w:t>
      </w:r>
      <w:r w:rsidRPr="00F25463">
        <w:rPr>
          <w:rFonts w:hAnsi="Times New Roman" w:cs="Times New Roman"/>
          <w:b/>
          <w:bCs/>
          <w:sz w:val="22"/>
          <w:szCs w:val="22"/>
        </w:rPr>
        <w:t>plénipotentiaire.</w:t>
      </w:r>
      <w:r w:rsidRPr="00F25463">
        <w:rPr>
          <w:rFonts w:hAnsi="Times New Roman" w:cs="Times New Roman"/>
          <w:sz w:val="22"/>
          <w:szCs w:val="22"/>
        </w:rPr>
        <w:t xml:space="preserve"> </w:t>
      </w:r>
    </w:p>
    <w:p w14:paraId="63CE115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37B370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F9EE6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Signature pour authentification :</w:t>
      </w:r>
    </w:p>
    <w:p w14:paraId="073B41A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7537167" w14:textId="77777777" w:rsidR="00EC0180" w:rsidRPr="00F25463" w:rsidRDefault="004270F6" w:rsidP="004270F6">
      <w:pPr>
        <w:numPr>
          <w:ilvl w:val="0"/>
          <w:numId w:val="44"/>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i/>
          <w:iCs/>
          <w:sz w:val="22"/>
          <w:szCs w:val="22"/>
        </w:rPr>
      </w:pPr>
      <w:r w:rsidRPr="00F25463">
        <w:rPr>
          <w:rFonts w:hAnsi="Times New Roman" w:cs="Times New Roman"/>
          <w:i/>
          <w:iCs/>
          <w:sz w:val="22"/>
          <w:szCs w:val="22"/>
        </w:rPr>
        <w:t>Qu’elle est la différence entre l’authentification (signature) et la signature dans le cadre d’un accord en forme simplifié ?</w:t>
      </w:r>
    </w:p>
    <w:p w14:paraId="273230F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4B8C740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 xml:space="preserve">Le plénipotentiaire peu faire 2 sortes de signature.  </w:t>
      </w:r>
    </w:p>
    <w:p w14:paraId="664D032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sz w:val="22"/>
          <w:szCs w:val="22"/>
        </w:rPr>
        <w:tab/>
      </w:r>
      <w:r w:rsidRPr="00F25463">
        <w:rPr>
          <w:rFonts w:hAnsi="Times New Roman" w:cs="Times New Roman"/>
          <w:b/>
          <w:bCs/>
          <w:sz w:val="22"/>
          <w:szCs w:val="22"/>
        </w:rPr>
        <w:t>Différence :</w:t>
      </w:r>
    </w:p>
    <w:p w14:paraId="337E75E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b/>
          <w:bCs/>
          <w:sz w:val="22"/>
          <w:szCs w:val="22"/>
        </w:rPr>
        <w:t>Art 18 (a) CVDT</w:t>
      </w:r>
      <w:r w:rsidRPr="00F25463">
        <w:rPr>
          <w:rFonts w:hAnsi="Times New Roman" w:cs="Times New Roman"/>
          <w:sz w:val="22"/>
          <w:szCs w:val="22"/>
        </w:rPr>
        <w:t xml:space="preserve"> : Une fois négocié le texte du traité est définitivement arrêté au moyen de la signature. Cette signature atteste principalement que le texte signé est bien celui qui a été adopté à la fin de la négociation.  Il implique une autre étape, soit celui de poursuivre la procédure interne jusqu’à la ratification </w:t>
      </w:r>
    </w:p>
    <w:p w14:paraId="157E52D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2A3C20B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lastRenderedPageBreak/>
        <w:t>Engagement à se lier</w:t>
      </w:r>
      <w:r w:rsidRPr="00F25463">
        <w:rPr>
          <w:rFonts w:hAnsi="Times New Roman" w:cs="Times New Roman"/>
          <w:sz w:val="22"/>
          <w:szCs w:val="22"/>
        </w:rPr>
        <w:t> : Cela se fait par la ratification, l’adhésion et l’acceptation.</w:t>
      </w:r>
    </w:p>
    <w:p w14:paraId="5FBF47C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313B1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b/>
          <w:bCs/>
          <w:sz w:val="22"/>
          <w:szCs w:val="22"/>
        </w:rPr>
        <w:t>Ratification</w:t>
      </w:r>
      <w:r w:rsidRPr="00F25463">
        <w:rPr>
          <w:rFonts w:hAnsi="Times New Roman" w:cs="Times New Roman"/>
          <w:sz w:val="22"/>
          <w:szCs w:val="22"/>
        </w:rPr>
        <w:t xml:space="preserve"> : Acte juridique par lequel un État donne son consentement définitif à une convention qu’il a négocié et signé.  Pour authentification l’état qui profite du traité </w:t>
      </w:r>
      <w:proofErr w:type="gramStart"/>
      <w:r w:rsidRPr="00F25463">
        <w:rPr>
          <w:rFonts w:hAnsi="Times New Roman" w:cs="Times New Roman"/>
          <w:sz w:val="22"/>
          <w:szCs w:val="22"/>
        </w:rPr>
        <w:t>s’engage .</w:t>
      </w:r>
      <w:proofErr w:type="gramEnd"/>
    </w:p>
    <w:p w14:paraId="23B5AC9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Selon les États, la ratification relève de l’exécutif seul ou de l’exécutif et du législatif ensemble.  Au Canada, c’est l’exécutif seul qui a la responsabilité.</w:t>
      </w:r>
    </w:p>
    <w:p w14:paraId="0BABDE2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5B762CD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b/>
          <w:bCs/>
          <w:sz w:val="22"/>
          <w:szCs w:val="22"/>
        </w:rPr>
        <w:t>Accord en forme simplifiés</w:t>
      </w:r>
      <w:r w:rsidRPr="00F25463">
        <w:rPr>
          <w:rFonts w:hAnsi="Times New Roman" w:cs="Times New Roman"/>
          <w:sz w:val="22"/>
          <w:szCs w:val="22"/>
        </w:rPr>
        <w:t> : Sa caractéristique essentielle est d’engager l’État sur la base de la seule signature en dehors de toute procédure de ratification.  Cet accord traduit le besoin d’une décision rapide en matière de politique étrangère.</w:t>
      </w:r>
    </w:p>
    <w:p w14:paraId="5FA360E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19C8DF6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 ou l’on retrouve 2 États ensemble, lors de visite d’un chef d’état dans un autre État. Comme à TV5 ou les chefs signe devant les journalistes.</w:t>
      </w:r>
    </w:p>
    <w:p w14:paraId="4A300ED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
    <w:p w14:paraId="30B661C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b/>
          <w:bCs/>
          <w:sz w:val="22"/>
          <w:szCs w:val="22"/>
        </w:rPr>
        <w:t>Traité en forme solennelle</w:t>
      </w:r>
      <w:r w:rsidRPr="00F25463">
        <w:rPr>
          <w:rFonts w:hAnsi="Times New Roman" w:cs="Times New Roman"/>
          <w:sz w:val="22"/>
          <w:szCs w:val="22"/>
        </w:rPr>
        <w:t> : Il est conclu avec la participation nécessaire de l’organe constitutionnel investi du « </w:t>
      </w:r>
      <w:proofErr w:type="spellStart"/>
      <w:r w:rsidRPr="00F25463">
        <w:rPr>
          <w:rFonts w:hAnsi="Times New Roman" w:cs="Times New Roman"/>
          <w:sz w:val="22"/>
          <w:szCs w:val="22"/>
        </w:rPr>
        <w:t>treaty</w:t>
      </w:r>
      <w:proofErr w:type="spellEnd"/>
      <w:r w:rsidRPr="00F25463">
        <w:rPr>
          <w:rFonts w:hAnsi="Times New Roman" w:cs="Times New Roman"/>
          <w:sz w:val="22"/>
          <w:szCs w:val="22"/>
        </w:rPr>
        <w:t>-</w:t>
      </w:r>
      <w:proofErr w:type="spellStart"/>
      <w:r w:rsidRPr="00F25463">
        <w:rPr>
          <w:rFonts w:hAnsi="Times New Roman" w:cs="Times New Roman"/>
          <w:sz w:val="22"/>
          <w:szCs w:val="22"/>
        </w:rPr>
        <w:t>making</w:t>
      </w:r>
      <w:proofErr w:type="spellEnd"/>
      <w:r w:rsidRPr="00F25463">
        <w:rPr>
          <w:rFonts w:hAnsi="Times New Roman" w:cs="Times New Roman"/>
          <w:sz w:val="22"/>
          <w:szCs w:val="22"/>
        </w:rPr>
        <w:t xml:space="preserve">-power ».  Cette compétence se retrouve dans la Constitution de l’État.  Le traité solennel obéit à des impératifs de sécurité publique, voire même à la nécessité d’un large consensus populaire, ce qui peut demander temps et </w:t>
      </w:r>
      <w:proofErr w:type="gramStart"/>
      <w:r w:rsidRPr="00F25463">
        <w:rPr>
          <w:rFonts w:hAnsi="Times New Roman" w:cs="Times New Roman"/>
          <w:sz w:val="22"/>
          <w:szCs w:val="22"/>
        </w:rPr>
        <w:t>réflexion..</w:t>
      </w:r>
      <w:proofErr w:type="gramEnd"/>
    </w:p>
    <w:p w14:paraId="5FD25CB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 xml:space="preserve"> </w:t>
      </w:r>
    </w:p>
    <w:p w14:paraId="243CE77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Publication et enregistrement des traités :</w:t>
      </w:r>
    </w:p>
    <w:p w14:paraId="4F88EFD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66C22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102 CNU</w:t>
      </w:r>
      <w:r w:rsidRPr="00F25463">
        <w:rPr>
          <w:rFonts w:hAnsi="Times New Roman" w:cs="Times New Roman"/>
          <w:sz w:val="22"/>
          <w:szCs w:val="22"/>
        </w:rPr>
        <w:t xml:space="preserve"> : Tout accord international conclu par un membre des N.U sera, le plus tôt possible, enregistré au secrétariat et publié par lui.  Aucune partie à un traité non enregistré ne pourra être invoqué devant un organe des N.U. mais reste valide pareil. </w:t>
      </w:r>
    </w:p>
    <w:p w14:paraId="28326BD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01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010"/>
      </w:tblGrid>
      <w:tr w:rsidR="00EC0180" w:rsidRPr="00F25463" w14:paraId="257A9AE5" w14:textId="77777777">
        <w:trPr>
          <w:trHeight w:val="410"/>
        </w:trPr>
        <w:tc>
          <w:tcPr>
            <w:tcW w:w="801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315F061F" w14:textId="7FDCAC95" w:rsidR="00EC0180" w:rsidRPr="00F25463" w:rsidRDefault="004270F6" w:rsidP="00472134">
            <w:pPr>
              <w:pStyle w:val="FreeForm"/>
              <w:keepNex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 xml:space="preserve">Cour 9, le 30 janvier </w:t>
            </w:r>
          </w:p>
        </w:tc>
      </w:tr>
    </w:tbl>
    <w:p w14:paraId="6B950F8A" w14:textId="77777777" w:rsidR="00EC0180" w:rsidRPr="00F25463" w:rsidRDefault="00EC0180">
      <w:pPr>
        <w:pStyle w:val="FreeForm"/>
        <w:ind w:left="108"/>
        <w:rPr>
          <w:sz w:val="22"/>
          <w:szCs w:val="22"/>
        </w:rPr>
      </w:pPr>
    </w:p>
    <w:p w14:paraId="508224D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5"/>
        <w:rPr>
          <w:rFonts w:hAnsi="Times New Roman" w:cs="Times New Roman"/>
          <w:sz w:val="22"/>
          <w:szCs w:val="22"/>
        </w:rPr>
      </w:pPr>
    </w:p>
    <w:p w14:paraId="2BCCCBF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ABA67F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C349F9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Réserve :</w:t>
      </w:r>
    </w:p>
    <w:p w14:paraId="59DB4AA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CCBF0F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w:t>
      </w:r>
      <w:r w:rsidRPr="00F25463">
        <w:rPr>
          <w:rFonts w:hAnsi="Times New Roman" w:cs="Times New Roman"/>
          <w:sz w:val="22"/>
          <w:szCs w:val="22"/>
        </w:rPr>
        <w:t xml:space="preserve"> </w:t>
      </w:r>
      <w:r w:rsidRPr="00F25463">
        <w:rPr>
          <w:rFonts w:hAnsi="Times New Roman" w:cs="Times New Roman"/>
          <w:b/>
          <w:bCs/>
          <w:sz w:val="22"/>
          <w:szCs w:val="22"/>
        </w:rPr>
        <w:t>2</w:t>
      </w:r>
      <w:r w:rsidRPr="00F25463">
        <w:rPr>
          <w:rFonts w:hAnsi="Times New Roman" w:cs="Times New Roman"/>
          <w:sz w:val="22"/>
          <w:szCs w:val="22"/>
        </w:rPr>
        <w:t xml:space="preserve"> : La réserve est une déclaration unilatérale faite par un État lorsqu’il exprime et s’engage définitivement (soit par acceptation, adhésion, forme simplifié, etc…). </w:t>
      </w:r>
      <w:proofErr w:type="gramStart"/>
      <w:r w:rsidRPr="00F25463">
        <w:rPr>
          <w:rFonts w:hAnsi="Times New Roman" w:cs="Times New Roman"/>
          <w:sz w:val="22"/>
          <w:szCs w:val="22"/>
        </w:rPr>
        <w:t>son</w:t>
      </w:r>
      <w:proofErr w:type="gramEnd"/>
      <w:r w:rsidRPr="00F25463">
        <w:rPr>
          <w:rFonts w:hAnsi="Times New Roman" w:cs="Times New Roman"/>
          <w:sz w:val="22"/>
          <w:szCs w:val="22"/>
        </w:rPr>
        <w:t xml:space="preserve"> but est de modifier ou exclure certaines dispositions juridiques du traités lorsqu’elle s’appliquent à lui.</w:t>
      </w:r>
    </w:p>
    <w:p w14:paraId="46E7F6B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 </w:t>
      </w:r>
    </w:p>
    <w:p w14:paraId="4BF0B32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2 situations possible</w:t>
      </w:r>
      <w:r w:rsidRPr="00F25463">
        <w:rPr>
          <w:rFonts w:hAnsi="Times New Roman" w:cs="Times New Roman"/>
          <w:sz w:val="22"/>
          <w:szCs w:val="22"/>
        </w:rPr>
        <w:t> : restriction conventionnelles et silence du traité</w:t>
      </w:r>
    </w:p>
    <w:p w14:paraId="6C15D5D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CBA019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Restriction conventionnelles :</w:t>
      </w:r>
    </w:p>
    <w:p w14:paraId="26DC896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590E69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La plupart des conventions multilatérales contiennent une ou plusieurs dispositions sur la possibilité d’émettre ou non des réserves.</w:t>
      </w:r>
    </w:p>
    <w:p w14:paraId="52EA764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7C8A31E"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i/>
          <w:iCs/>
          <w:sz w:val="22"/>
          <w:szCs w:val="22"/>
        </w:rPr>
        <w:t>Clause qui permet ou défend toute réserve</w:t>
      </w:r>
      <w:r w:rsidRPr="00F25463">
        <w:rPr>
          <w:rFonts w:hAnsi="Times New Roman" w:cs="Times New Roman"/>
          <w:sz w:val="22"/>
          <w:szCs w:val="22"/>
        </w:rPr>
        <w:t xml:space="preserve"> </w:t>
      </w:r>
      <w:proofErr w:type="gramStart"/>
      <w:r w:rsidRPr="00F25463">
        <w:rPr>
          <w:rFonts w:hAnsi="Times New Roman" w:cs="Times New Roman"/>
          <w:sz w:val="22"/>
          <w:szCs w:val="22"/>
        </w:rPr>
        <w:t>( en</w:t>
      </w:r>
      <w:proofErr w:type="gramEnd"/>
      <w:r w:rsidRPr="00F25463">
        <w:rPr>
          <w:rFonts w:hAnsi="Times New Roman" w:cs="Times New Roman"/>
          <w:sz w:val="22"/>
          <w:szCs w:val="22"/>
        </w:rPr>
        <w:t xml:space="preserve"> défense ou doit avoir autorisation)</w:t>
      </w:r>
      <w:r w:rsidRPr="00F25463">
        <w:rPr>
          <w:rFonts w:hAnsi="Times New Roman" w:cs="Times New Roman"/>
          <w:sz w:val="22"/>
          <w:szCs w:val="22"/>
        </w:rPr>
        <w:tab/>
      </w:r>
    </w:p>
    <w:p w14:paraId="37266C26"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i/>
          <w:iCs/>
          <w:sz w:val="22"/>
          <w:szCs w:val="22"/>
        </w:rPr>
        <w:t xml:space="preserve">Clause qui permet ou défend des réserves sur certains articles </w:t>
      </w:r>
      <w:proofErr w:type="gramStart"/>
      <w:r w:rsidRPr="00F25463">
        <w:rPr>
          <w:rFonts w:hAnsi="Times New Roman" w:cs="Times New Roman"/>
          <w:i/>
          <w:iCs/>
          <w:sz w:val="22"/>
          <w:szCs w:val="22"/>
        </w:rPr>
        <w:t>seulement</w:t>
      </w:r>
      <w:r w:rsidRPr="00F25463">
        <w:rPr>
          <w:rFonts w:hAnsi="Times New Roman" w:cs="Times New Roman"/>
          <w:sz w:val="22"/>
          <w:szCs w:val="22"/>
        </w:rPr>
        <w:t>.(</w:t>
      </w:r>
      <w:proofErr w:type="gramEnd"/>
      <w:r w:rsidRPr="00F25463">
        <w:rPr>
          <w:rFonts w:hAnsi="Times New Roman" w:cs="Times New Roman"/>
          <w:sz w:val="22"/>
          <w:szCs w:val="22"/>
        </w:rPr>
        <w:t xml:space="preserve"> ex : peut faire des réserves des articles 1 à 3 ou contraire)</w:t>
      </w:r>
    </w:p>
    <w:p w14:paraId="580FB4C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96773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En générales, quand un traité permet de faire des réserves, on n’a pas à se demander si les réserves futures devront être acceptées par les autres États.</w:t>
      </w:r>
    </w:p>
    <w:p w14:paraId="4067E1F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6C5516C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r w:rsidRPr="00F25463">
        <w:rPr>
          <w:rFonts w:hAnsi="Times New Roman" w:cs="Times New Roman"/>
          <w:sz w:val="22"/>
          <w:szCs w:val="22"/>
        </w:rPr>
        <w:tab/>
      </w:r>
      <w:r w:rsidRPr="00F25463">
        <w:rPr>
          <w:rFonts w:hAnsi="Times New Roman" w:cs="Times New Roman"/>
          <w:b/>
          <w:bCs/>
          <w:sz w:val="22"/>
          <w:szCs w:val="22"/>
        </w:rPr>
        <w:t>Exemple :</w:t>
      </w:r>
    </w:p>
    <w:p w14:paraId="17588E4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lastRenderedPageBreak/>
        <w:tab/>
        <w:t>Si A émet une réserve, les États B et C devront l’accepter puisqu’en acceptant la convention, ils acceptaient les réserves qui venaient avec elle.</w:t>
      </w:r>
    </w:p>
    <w:p w14:paraId="3B57823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72BC0A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Lorsque la clause de réserve est trop vague, les États pourront réagir en refusant la réserve de l’État. </w:t>
      </w:r>
    </w:p>
    <w:p w14:paraId="548A17B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p>
    <w:p w14:paraId="50BB990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Présume acceptation si clause spécifique</w:t>
      </w:r>
    </w:p>
    <w:p w14:paraId="47EB409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Peu avoir à dire oui ou non si clause générale</w:t>
      </w:r>
    </w:p>
    <w:p w14:paraId="2719DBE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15770C"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Silence du traité</w:t>
      </w:r>
    </w:p>
    <w:p w14:paraId="2084CA3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14DBAE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convention est silencieuse sur la possibilité d’émettre des réserves.</w:t>
      </w:r>
    </w:p>
    <w:p w14:paraId="3E08087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Les États  sont libre d’agir, mais peuvent seulement émettre des réserves lors de la résolution du traité.</w:t>
      </w:r>
    </w:p>
    <w:p w14:paraId="553A4B5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869680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sz w:val="22"/>
          <w:szCs w:val="22"/>
        </w:rPr>
        <w:tab/>
      </w:r>
      <w:r w:rsidRPr="00F25463">
        <w:rPr>
          <w:rFonts w:hAnsi="Times New Roman" w:cs="Times New Roman"/>
          <w:i/>
          <w:iCs/>
          <w:sz w:val="22"/>
          <w:szCs w:val="22"/>
        </w:rPr>
        <w:t>Devant le silence du traité, les État futurs peuvent-ils formuler des réserves en toute liberté ?</w:t>
      </w:r>
    </w:p>
    <w:p w14:paraId="3EC9A8F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596306C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Dans la première moitié du XX siècle, deux thèse s’opposaient.</w:t>
      </w:r>
    </w:p>
    <w:p w14:paraId="4709043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FF2D991" w14:textId="77777777" w:rsidR="00EC0180" w:rsidRPr="00F25463" w:rsidRDefault="004270F6" w:rsidP="004270F6">
      <w:pPr>
        <w:numPr>
          <w:ilvl w:val="0"/>
          <w:numId w:val="4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b/>
          <w:bCs/>
          <w:sz w:val="22"/>
          <w:szCs w:val="22"/>
        </w:rPr>
        <w:t>La thèse de l’intégrité absolue des conventions</w:t>
      </w:r>
      <w:r w:rsidRPr="00F25463">
        <w:rPr>
          <w:rFonts w:hAnsi="Times New Roman" w:cs="Times New Roman"/>
          <w:sz w:val="22"/>
          <w:szCs w:val="22"/>
        </w:rPr>
        <w:t>.</w:t>
      </w:r>
    </w:p>
    <w:p w14:paraId="62915CA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7D9B54D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Il faut que toutes les parties acceptent la réserve, de façon implicite ou explicite, pour que son auteur soit partie du traité.  En 1927, cette procédure était </w:t>
      </w:r>
      <w:proofErr w:type="gramStart"/>
      <w:r w:rsidRPr="00F25463">
        <w:rPr>
          <w:rFonts w:hAnsi="Times New Roman" w:cs="Times New Roman"/>
          <w:sz w:val="22"/>
          <w:szCs w:val="22"/>
        </w:rPr>
        <w:t>appliqué</w:t>
      </w:r>
      <w:proofErr w:type="gramEnd"/>
      <w:r w:rsidRPr="00F25463">
        <w:rPr>
          <w:rFonts w:hAnsi="Times New Roman" w:cs="Times New Roman"/>
          <w:sz w:val="22"/>
          <w:szCs w:val="22"/>
        </w:rPr>
        <w:t xml:space="preserve"> par le Secrétaire de la SDN pour tous les traités déposés à la SDN. On voulait éviter </w:t>
      </w:r>
      <w:proofErr w:type="gramStart"/>
      <w:r w:rsidRPr="00F25463">
        <w:rPr>
          <w:rFonts w:hAnsi="Times New Roman" w:cs="Times New Roman"/>
          <w:sz w:val="22"/>
          <w:szCs w:val="22"/>
        </w:rPr>
        <w:t>les complications possible</w:t>
      </w:r>
      <w:proofErr w:type="gramEnd"/>
      <w:r w:rsidRPr="00F25463">
        <w:rPr>
          <w:rFonts w:hAnsi="Times New Roman" w:cs="Times New Roman"/>
          <w:sz w:val="22"/>
          <w:szCs w:val="22"/>
        </w:rPr>
        <w:t>. Donc tout ou rien. Elle doit en autre mot resté intégralement pareil comme elle a été adopté.</w:t>
      </w:r>
    </w:p>
    <w:p w14:paraId="4B13B45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DF98860" w14:textId="77777777" w:rsidR="00EC0180" w:rsidRPr="00F25463" w:rsidRDefault="004270F6" w:rsidP="004270F6">
      <w:pPr>
        <w:numPr>
          <w:ilvl w:val="0"/>
          <w:numId w:val="46"/>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 xml:space="preserve">La thèse souple </w:t>
      </w:r>
    </w:p>
    <w:p w14:paraId="78F1BBD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C10A3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Entre États, il y a de grandes différences idéologiques et politiques.  Il faut donc plus de souplesse si on veut des conventions multilatérales généralement acceptés.  Cette souplesse permet aux États de s’engager dans les traités tout en leur donnant la possibilité de maintenir leur position par le </w:t>
      </w:r>
      <w:proofErr w:type="spellStart"/>
      <w:r w:rsidRPr="00F25463">
        <w:rPr>
          <w:rFonts w:hAnsi="Times New Roman" w:cs="Times New Roman"/>
          <w:sz w:val="22"/>
          <w:szCs w:val="22"/>
        </w:rPr>
        <w:t>biait</w:t>
      </w:r>
      <w:proofErr w:type="spellEnd"/>
      <w:r w:rsidRPr="00F25463">
        <w:rPr>
          <w:rFonts w:hAnsi="Times New Roman" w:cs="Times New Roman"/>
          <w:sz w:val="22"/>
          <w:szCs w:val="22"/>
        </w:rPr>
        <w:t xml:space="preserve"> de disposition de réserve.  L’État qui permet ainsi une réserve pourra donc être partie à la convention à l’égard des États qui ne sont pas objectés à la réserve.  Cette procédure est suivie par l’organisation des États Américains depuis 1932. </w:t>
      </w:r>
    </w:p>
    <w:p w14:paraId="44B0CBD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D8919C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La vision (politique)</w:t>
      </w:r>
      <w:r w:rsidRPr="00F25463">
        <w:rPr>
          <w:rFonts w:hAnsi="Times New Roman" w:cs="Times New Roman"/>
          <w:sz w:val="22"/>
          <w:szCs w:val="22"/>
        </w:rPr>
        <w:t> : C’est mieux d’avoir un État à l’intérieur qu’un État qui n’a rien.</w:t>
      </w:r>
    </w:p>
    <w:p w14:paraId="1FAEA7E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A6B529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OEA prenait cette pratique</w:t>
      </w:r>
      <w:r w:rsidRPr="00F25463">
        <w:rPr>
          <w:rFonts w:hAnsi="Times New Roman" w:cs="Times New Roman"/>
          <w:sz w:val="22"/>
          <w:szCs w:val="22"/>
        </w:rPr>
        <w:t xml:space="preserve"> : donc l’État qui disait oui à sa réserve </w:t>
      </w:r>
      <w:proofErr w:type="spellStart"/>
      <w:r w:rsidRPr="00F25463">
        <w:rPr>
          <w:rFonts w:hAnsi="Times New Roman" w:cs="Times New Roman"/>
          <w:sz w:val="22"/>
          <w:szCs w:val="22"/>
        </w:rPr>
        <w:t>fesait</w:t>
      </w:r>
      <w:proofErr w:type="spellEnd"/>
      <w:r w:rsidRPr="00F25463">
        <w:rPr>
          <w:rFonts w:hAnsi="Times New Roman" w:cs="Times New Roman"/>
          <w:sz w:val="22"/>
          <w:szCs w:val="22"/>
        </w:rPr>
        <w:t xml:space="preserve"> partie de la convention.  De plus même si un qui dit non, fait partie aussi.</w:t>
      </w:r>
    </w:p>
    <w:p w14:paraId="524CE56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B09FCE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Convention pour la répression du crime du génocide (1948)</w:t>
      </w:r>
    </w:p>
    <w:p w14:paraId="7939261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077A62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Cette convention pour la prévention et la répression du crime de génocide a été adopté par la résolution unanime à l’Assemblée Générale de l’ONU.  Aujourd’hui, 86 États sont parties à cette convention, laquelle ne contient aucune disposition sur la possibilité d’émettre des réserves.</w:t>
      </w:r>
    </w:p>
    <w:p w14:paraId="292E505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0CC93C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i/>
          <w:iCs/>
          <w:sz w:val="22"/>
          <w:szCs w:val="22"/>
        </w:rPr>
        <w:t>En 1950,</w:t>
      </w:r>
      <w:r w:rsidRPr="00F25463">
        <w:rPr>
          <w:rFonts w:hAnsi="Times New Roman" w:cs="Times New Roman"/>
          <w:sz w:val="22"/>
          <w:szCs w:val="22"/>
        </w:rPr>
        <w:t xml:space="preserve"> L’Assemblée Générale décide par résolution de demander un avis consultatif sur la possibilité de formuler des réserves à l’égard de cette convention, compte tenu qu’elle est silencieuse à ce sujet.</w:t>
      </w:r>
    </w:p>
    <w:p w14:paraId="734D733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D4AA51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Document 5</w:t>
      </w:r>
      <w:r w:rsidRPr="00F25463">
        <w:rPr>
          <w:rFonts w:hAnsi="Times New Roman" w:cs="Times New Roman"/>
          <w:sz w:val="22"/>
          <w:szCs w:val="22"/>
        </w:rPr>
        <w:t> : Avis consultatif de la CIJ relatif aux réserves à la convention pour la prévention et la répression du crime de génocide.</w:t>
      </w:r>
    </w:p>
    <w:p w14:paraId="33ABD9D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2D0E46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Note préliminaire :</w:t>
      </w:r>
    </w:p>
    <w:p w14:paraId="02D6E7F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98E7A9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lastRenderedPageBreak/>
        <w:t>Art 96 CNU (charte des nations Unis) : Les avis consultatifs ne peuvent être demander que par l’Assemblées Générale ou tout organe des nations unis avec l’accord de l’Assemblé.  Ces avis ne valent que pour les questions posées et n’ont qu’une autorité relative.</w:t>
      </w:r>
    </w:p>
    <w:p w14:paraId="3A02277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7FAFB4B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NB : La cour ne pensent pas à ce qu’il pourrait arriver si, mais est très subjective.</w:t>
      </w:r>
    </w:p>
    <w:p w14:paraId="12B4B48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97DCBF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r w:rsidRPr="00F25463">
        <w:rPr>
          <w:rFonts w:hAnsi="Times New Roman" w:cs="Times New Roman"/>
          <w:b/>
          <w:bCs/>
          <w:sz w:val="22"/>
          <w:szCs w:val="22"/>
        </w:rPr>
        <w:t>Décision :</w:t>
      </w:r>
    </w:p>
    <w:p w14:paraId="2A05F24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ab/>
        <w:t>Selon cet avis, la pratique des réserves est permise pour ces motifs :</w:t>
      </w:r>
    </w:p>
    <w:p w14:paraId="412BA4A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2591408" w14:textId="77777777" w:rsidR="00EC0180" w:rsidRPr="00F25463" w:rsidRDefault="004270F6" w:rsidP="004270F6">
      <w:pPr>
        <w:numPr>
          <w:ilvl w:val="0"/>
          <w:numId w:val="47"/>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La cour constate que dans la pratique, la participation est de plus en plus large  aux conventions multilatérales.  Cela amène donc à dire que les États ont de plus en plus de réserves à apporter sur les conventions.</w:t>
      </w:r>
    </w:p>
    <w:p w14:paraId="6E623D9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9E0A22A"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Il y a plus d’acceptation tacite.</w:t>
      </w:r>
    </w:p>
    <w:p w14:paraId="49BA11FA"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auteurs des réserves qui ont écartés par certains contractants sont quand même considérés comme parties à la convention par ceux qui les acceptent.</w:t>
      </w:r>
    </w:p>
    <w:p w14:paraId="0250932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82A88F3" w14:textId="77777777" w:rsidR="00EC0180" w:rsidRPr="00F25463" w:rsidRDefault="004270F6" w:rsidP="004270F6">
      <w:pPr>
        <w:numPr>
          <w:ilvl w:val="0"/>
          <w:numId w:val="47"/>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De plus en plus de conventions sont adoptés par majorité.  Cela facilite les conventions multilatérales et, en même temps, rend nécessaire la possibilité pour les États de formuler des réserves.</w:t>
      </w:r>
    </w:p>
    <w:p w14:paraId="42D4B23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4C4B918" w14:textId="77777777" w:rsidR="00EC0180" w:rsidRPr="00F25463" w:rsidRDefault="004270F6" w:rsidP="004270F6">
      <w:pPr>
        <w:numPr>
          <w:ilvl w:val="0"/>
          <w:numId w:val="47"/>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La cour ne considère pas la thèse de l’intégrité absolue comme étant de droit coutumier. </w:t>
      </w:r>
    </w:p>
    <w:p w14:paraId="39FDCFD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 </w:t>
      </w:r>
    </w:p>
    <w:p w14:paraId="591C651E"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régime des objections au réserves consiste surtout en une pratique administrative observée par le Secrétariat Général.</w:t>
      </w:r>
    </w:p>
    <w:p w14:paraId="31601833"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L’OEA permettait aux auteur de réserves de devenir partie malgré les objections</w:t>
      </w:r>
    </w:p>
    <w:p w14:paraId="4E8D305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discussions de l’Assemblée Générale sont très divergentes sur les deux thèses.</w:t>
      </w:r>
    </w:p>
    <w:p w14:paraId="1985902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3F88B6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Cet avis s’applique seulement pour cette cause (théorie du cas par cas). </w:t>
      </w:r>
    </w:p>
    <w:p w14:paraId="6109AB3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AFA35E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Au contraire, la cour a soulevé une pratique dans l’agissement des États.</w:t>
      </w:r>
    </w:p>
    <w:p w14:paraId="7BF3698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Selon les discussions, les États étaient pas </w:t>
      </w:r>
      <w:proofErr w:type="gramStart"/>
      <w:r w:rsidRPr="00F25463">
        <w:rPr>
          <w:rFonts w:hAnsi="Times New Roman" w:cs="Times New Roman"/>
          <w:sz w:val="22"/>
          <w:szCs w:val="22"/>
        </w:rPr>
        <w:t>opposé  implicitement</w:t>
      </w:r>
      <w:proofErr w:type="gramEnd"/>
      <w:r w:rsidRPr="00F25463">
        <w:rPr>
          <w:rFonts w:hAnsi="Times New Roman" w:cs="Times New Roman"/>
          <w:sz w:val="22"/>
          <w:szCs w:val="22"/>
        </w:rPr>
        <w:t xml:space="preserve"> à la cause. Pas de clause de droit coutumier mais ce que les États voulaient (dans les travaux préparatoire ; les intentions étaient présentent).</w:t>
      </w:r>
    </w:p>
    <w:p w14:paraId="4423AB12" w14:textId="77777777" w:rsidR="00EC0180" w:rsidRPr="00F25463" w:rsidRDefault="004270F6">
      <w:pPr>
        <w:pStyle w:val="Heading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Mais </w:t>
      </w:r>
      <w:proofErr w:type="gramStart"/>
      <w:r w:rsidRPr="00F25463">
        <w:rPr>
          <w:rFonts w:hAnsi="Times New Roman" w:cs="Times New Roman"/>
          <w:sz w:val="22"/>
          <w:szCs w:val="22"/>
        </w:rPr>
        <w:t>quelle type</w:t>
      </w:r>
      <w:proofErr w:type="gramEnd"/>
      <w:r w:rsidRPr="00F25463">
        <w:rPr>
          <w:rFonts w:hAnsi="Times New Roman" w:cs="Times New Roman"/>
          <w:sz w:val="22"/>
          <w:szCs w:val="22"/>
        </w:rPr>
        <w:t xml:space="preserve"> de réserve ?</w:t>
      </w:r>
    </w:p>
    <w:p w14:paraId="27669B5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625596" w14:textId="77777777" w:rsidR="00EC0180" w:rsidRPr="00F25463" w:rsidRDefault="004270F6">
      <w:pPr>
        <w:pStyle w:val="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Cour dit d’aller voir la nature de la convention, le caractère de la réserve va être en lien avec la convention.</w:t>
      </w:r>
    </w:p>
    <w:p w14:paraId="257A346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C3A511A" w14:textId="77777777" w:rsidR="00EC0180" w:rsidRPr="00F25463" w:rsidRDefault="004270F6" w:rsidP="004270F6">
      <w:pPr>
        <w:numPr>
          <w:ilvl w:val="0"/>
          <w:numId w:val="48"/>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Prohibé un crime qui gène la conscience international.</w:t>
      </w:r>
    </w:p>
    <w:p w14:paraId="444636E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Leur intention étaient : que tout les États y participent (ensemble de la communauté international) parce que important.</w:t>
      </w:r>
    </w:p>
    <w:p w14:paraId="54B5EBD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DONC, si on veut qu’Il y ait beaucoup d’État, il ne faut pas éviter d’embarquer un État avec une petite réserve mineur</w:t>
      </w:r>
    </w:p>
    <w:p w14:paraId="6224F3A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MAIS, les États négociateur ont mit des limites sur les réserves demander. </w:t>
      </w:r>
    </w:p>
    <w:p w14:paraId="3EA49DD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4C474BB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r w:rsidRPr="00F25463">
        <w:rPr>
          <w:rFonts w:hAnsi="Times New Roman" w:cs="Times New Roman"/>
          <w:b/>
          <w:bCs/>
          <w:sz w:val="22"/>
          <w:szCs w:val="22"/>
        </w:rPr>
        <w:t>Quelles sont les réserves ?</w:t>
      </w:r>
    </w:p>
    <w:p w14:paraId="662FAD4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Compatible avec l’Objet et le but de la convention (sur le génocide)</w:t>
      </w:r>
    </w:p>
    <w:p w14:paraId="4E18414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138E417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r w:rsidRPr="00F25463">
        <w:rPr>
          <w:rFonts w:hAnsi="Times New Roman" w:cs="Times New Roman"/>
          <w:b/>
          <w:bCs/>
          <w:sz w:val="22"/>
          <w:szCs w:val="22"/>
        </w:rPr>
        <w:t>Qui juge du caractère compatible ?</w:t>
      </w:r>
    </w:p>
    <w:p w14:paraId="5372ADA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Chaque État décide </w:t>
      </w:r>
      <w:proofErr w:type="spellStart"/>
      <w:r w:rsidRPr="00F25463">
        <w:rPr>
          <w:rFonts w:hAnsi="Times New Roman" w:cs="Times New Roman"/>
          <w:sz w:val="22"/>
          <w:szCs w:val="22"/>
        </w:rPr>
        <w:t>eux-même</w:t>
      </w:r>
      <w:proofErr w:type="spellEnd"/>
      <w:r w:rsidRPr="00F25463">
        <w:rPr>
          <w:rFonts w:hAnsi="Times New Roman" w:cs="Times New Roman"/>
          <w:sz w:val="22"/>
          <w:szCs w:val="22"/>
        </w:rPr>
        <w:t xml:space="preserve">.  Envoie les réserves aux États membres et demande leur décision. </w:t>
      </w:r>
    </w:p>
    <w:p w14:paraId="717BB7D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32481EA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r w:rsidRPr="00F25463">
        <w:rPr>
          <w:rFonts w:hAnsi="Times New Roman" w:cs="Times New Roman"/>
          <w:b/>
          <w:bCs/>
          <w:sz w:val="22"/>
          <w:szCs w:val="22"/>
        </w:rPr>
        <w:t xml:space="preserve">Impact de l’avis de l CIJ sur </w:t>
      </w:r>
      <w:proofErr w:type="gramStart"/>
      <w:r w:rsidRPr="00F25463">
        <w:rPr>
          <w:rFonts w:hAnsi="Times New Roman" w:cs="Times New Roman"/>
          <w:b/>
          <w:bCs/>
          <w:sz w:val="22"/>
          <w:szCs w:val="22"/>
        </w:rPr>
        <w:t>les autres acteur international</w:t>
      </w:r>
      <w:proofErr w:type="gramEnd"/>
      <w:r w:rsidRPr="00F25463">
        <w:rPr>
          <w:rFonts w:hAnsi="Times New Roman" w:cs="Times New Roman"/>
          <w:b/>
          <w:bCs/>
          <w:sz w:val="22"/>
          <w:szCs w:val="22"/>
        </w:rPr>
        <w:t> ?</w:t>
      </w:r>
    </w:p>
    <w:p w14:paraId="13CCB00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E89E1B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AA44BB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Dispositions de la convention de Vienne</w:t>
      </w:r>
    </w:p>
    <w:p w14:paraId="0BFAAF5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B244A2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19</w:t>
      </w:r>
      <w:r w:rsidRPr="00F25463">
        <w:rPr>
          <w:rFonts w:hAnsi="Times New Roman" w:cs="Times New Roman"/>
          <w:sz w:val="22"/>
          <w:szCs w:val="22"/>
        </w:rPr>
        <w:t> : Une réserve sont possible à l’absence de l’interdiction dans les traités.</w:t>
      </w:r>
    </w:p>
    <w:p w14:paraId="2A3CCB6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sz w:val="22"/>
          <w:szCs w:val="22"/>
        </w:rPr>
        <w:tab/>
      </w:r>
      <w:r w:rsidRPr="00F25463">
        <w:rPr>
          <w:rFonts w:hAnsi="Times New Roman" w:cs="Times New Roman"/>
          <w:b/>
          <w:bCs/>
          <w:sz w:val="22"/>
          <w:szCs w:val="22"/>
        </w:rPr>
        <w:t>3 exceptions :</w:t>
      </w:r>
    </w:p>
    <w:p w14:paraId="7954DC9A" w14:textId="77777777" w:rsidR="00EC0180" w:rsidRPr="00F25463" w:rsidRDefault="004270F6" w:rsidP="004270F6">
      <w:pPr>
        <w:numPr>
          <w:ilvl w:val="0"/>
          <w:numId w:val="49"/>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b/>
          <w:bCs/>
          <w:sz w:val="22"/>
          <w:szCs w:val="22"/>
        </w:rPr>
        <w:t>Art 20(3)</w:t>
      </w:r>
      <w:r w:rsidRPr="00F25463">
        <w:rPr>
          <w:rFonts w:hAnsi="Times New Roman" w:cs="Times New Roman"/>
          <w:sz w:val="22"/>
          <w:szCs w:val="22"/>
        </w:rPr>
        <w:t> : La réserve doit toujours être accepté par l’organe compétent de l’organisation international.</w:t>
      </w:r>
    </w:p>
    <w:p w14:paraId="479FEF24" w14:textId="77777777" w:rsidR="00EC0180" w:rsidRPr="00F25463" w:rsidRDefault="004270F6" w:rsidP="004270F6">
      <w:pPr>
        <w:numPr>
          <w:ilvl w:val="0"/>
          <w:numId w:val="49"/>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b/>
          <w:bCs/>
          <w:sz w:val="22"/>
          <w:szCs w:val="22"/>
        </w:rPr>
        <w:t>Art 20 (2</w:t>
      </w:r>
      <w:r w:rsidRPr="00F25463">
        <w:rPr>
          <w:rFonts w:hAnsi="Times New Roman" w:cs="Times New Roman"/>
          <w:sz w:val="22"/>
          <w:szCs w:val="22"/>
        </w:rPr>
        <w:t xml:space="preserve">) : Si le traité est plurilatéral et que son application intégrale est une condition essentielle du consentement de chacune des parties, la réserves doit être acceptée par toutes les parties. </w:t>
      </w:r>
      <w:proofErr w:type="gramStart"/>
      <w:r w:rsidRPr="00F25463">
        <w:rPr>
          <w:rFonts w:hAnsi="Times New Roman" w:cs="Times New Roman"/>
          <w:sz w:val="22"/>
          <w:szCs w:val="22"/>
        </w:rPr>
        <w:t>( 2</w:t>
      </w:r>
      <w:proofErr w:type="gramEnd"/>
      <w:r w:rsidRPr="00F25463">
        <w:rPr>
          <w:rFonts w:hAnsi="Times New Roman" w:cs="Times New Roman"/>
          <w:sz w:val="22"/>
          <w:szCs w:val="22"/>
        </w:rPr>
        <w:t xml:space="preserve"> États et plus, soit un petit groupe)</w:t>
      </w:r>
    </w:p>
    <w:p w14:paraId="5DA600D5" w14:textId="77777777" w:rsidR="00EC0180" w:rsidRPr="00F25463" w:rsidRDefault="004270F6" w:rsidP="004270F6">
      <w:pPr>
        <w:numPr>
          <w:ilvl w:val="0"/>
          <w:numId w:val="49"/>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b/>
          <w:bCs/>
          <w:sz w:val="22"/>
          <w:szCs w:val="22"/>
        </w:rPr>
        <w:t>Art 19 (c):</w:t>
      </w:r>
      <w:r w:rsidRPr="00F25463">
        <w:rPr>
          <w:rFonts w:hAnsi="Times New Roman" w:cs="Times New Roman"/>
          <w:sz w:val="22"/>
          <w:szCs w:val="22"/>
        </w:rPr>
        <w:t xml:space="preserve"> Une réserve non-compatible avec les but et l’objet de la convention est interdite.  Chaque État décide si la réserve est valide en s’opposant ou non. Il faut analyser les termes des traités.  Il faut qu’ils soient </w:t>
      </w:r>
      <w:proofErr w:type="gramStart"/>
      <w:r w:rsidRPr="00F25463">
        <w:rPr>
          <w:rFonts w:hAnsi="Times New Roman" w:cs="Times New Roman"/>
          <w:sz w:val="22"/>
          <w:szCs w:val="22"/>
        </w:rPr>
        <w:t>accepté</w:t>
      </w:r>
      <w:proofErr w:type="gramEnd"/>
      <w:r w:rsidRPr="00F25463">
        <w:rPr>
          <w:rFonts w:hAnsi="Times New Roman" w:cs="Times New Roman"/>
          <w:sz w:val="22"/>
          <w:szCs w:val="22"/>
        </w:rPr>
        <w:t xml:space="preserve"> de tous.  </w:t>
      </w:r>
    </w:p>
    <w:p w14:paraId="447AD38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711CE5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124BEF6" w14:textId="77777777" w:rsidR="00EC0180" w:rsidRPr="00F25463" w:rsidRDefault="004270F6">
      <w:pPr>
        <w:pStyle w:val="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Régime de l’acceptation des réserves :</w:t>
      </w:r>
    </w:p>
    <w:p w14:paraId="39BEAC6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2E988E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20 (1) </w:t>
      </w:r>
      <w:r w:rsidRPr="00F25463">
        <w:rPr>
          <w:rFonts w:hAnsi="Times New Roman" w:cs="Times New Roman"/>
          <w:sz w:val="22"/>
          <w:szCs w:val="22"/>
        </w:rPr>
        <w:t xml:space="preserve">: Sauf si une réserve est expressément autorisé, par une clause spécifique du droit coutumier, les réserves doivent être accepté par les autres États  partis au traité. Donc les États pas obliger d’en faire partie si cela. Dans les autres cas, doit toujours </w:t>
      </w:r>
      <w:proofErr w:type="gramStart"/>
      <w:r w:rsidRPr="00F25463">
        <w:rPr>
          <w:rFonts w:hAnsi="Times New Roman" w:cs="Times New Roman"/>
          <w:sz w:val="22"/>
          <w:szCs w:val="22"/>
        </w:rPr>
        <w:t>accepté</w:t>
      </w:r>
      <w:proofErr w:type="gramEnd"/>
      <w:r w:rsidRPr="00F25463">
        <w:rPr>
          <w:rFonts w:hAnsi="Times New Roman" w:cs="Times New Roman"/>
          <w:sz w:val="22"/>
          <w:szCs w:val="22"/>
        </w:rPr>
        <w:t xml:space="preserve"> les réserves (art 3). Le silence pendant une période de 12 mois équivaut le un consentement implicite</w:t>
      </w:r>
    </w:p>
    <w:p w14:paraId="343594F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6A1283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Art 20 al 5 </w:t>
      </w:r>
      <w:r w:rsidRPr="00F25463">
        <w:rPr>
          <w:rFonts w:hAnsi="Times New Roman" w:cs="Times New Roman"/>
          <w:sz w:val="22"/>
          <w:szCs w:val="22"/>
        </w:rPr>
        <w:t xml:space="preserve">: Cette acceptation peut être </w:t>
      </w:r>
      <w:proofErr w:type="gramStart"/>
      <w:r w:rsidRPr="00F25463">
        <w:rPr>
          <w:rFonts w:hAnsi="Times New Roman" w:cs="Times New Roman"/>
          <w:sz w:val="22"/>
          <w:szCs w:val="22"/>
        </w:rPr>
        <w:t>expresse( par</w:t>
      </w:r>
      <w:proofErr w:type="gramEnd"/>
      <w:r w:rsidRPr="00F25463">
        <w:rPr>
          <w:rFonts w:hAnsi="Times New Roman" w:cs="Times New Roman"/>
          <w:sz w:val="22"/>
          <w:szCs w:val="22"/>
        </w:rPr>
        <w:t xml:space="preserve"> document) ou tacite. </w:t>
      </w:r>
      <w:r w:rsidRPr="00F25463">
        <w:rPr>
          <w:rFonts w:hAnsi="Times New Roman" w:cs="Times New Roman"/>
          <w:b/>
          <w:bCs/>
          <w:sz w:val="22"/>
          <w:szCs w:val="22"/>
        </w:rPr>
        <w:t>(1)</w:t>
      </w:r>
      <w:r w:rsidRPr="00F25463">
        <w:rPr>
          <w:rFonts w:hAnsi="Times New Roman" w:cs="Times New Roman"/>
          <w:sz w:val="22"/>
          <w:szCs w:val="22"/>
        </w:rPr>
        <w:t xml:space="preserve"> Elle est tacite (</w:t>
      </w:r>
      <w:r w:rsidRPr="00F25463">
        <w:rPr>
          <w:rFonts w:hAnsi="Times New Roman" w:cs="Times New Roman"/>
          <w:b/>
          <w:bCs/>
          <w:sz w:val="22"/>
          <w:szCs w:val="22"/>
        </w:rPr>
        <w:t>2</w:t>
      </w:r>
      <w:r w:rsidRPr="00F25463">
        <w:rPr>
          <w:rFonts w:hAnsi="Times New Roman" w:cs="Times New Roman"/>
          <w:sz w:val="22"/>
          <w:szCs w:val="22"/>
        </w:rPr>
        <w:t xml:space="preserve">) lorsque l’État reçoit un avis de la réserve et garde le silence pendant 12 mois après la réception </w:t>
      </w:r>
      <w:r w:rsidRPr="00F25463">
        <w:rPr>
          <w:rFonts w:hAnsi="Times New Roman" w:cs="Times New Roman"/>
          <w:b/>
          <w:bCs/>
          <w:sz w:val="22"/>
          <w:szCs w:val="22"/>
        </w:rPr>
        <w:t>(3</w:t>
      </w:r>
      <w:r w:rsidRPr="00F25463">
        <w:rPr>
          <w:rFonts w:hAnsi="Times New Roman" w:cs="Times New Roman"/>
          <w:sz w:val="22"/>
          <w:szCs w:val="22"/>
        </w:rPr>
        <w:t>).  Elle peut aussi avoir lieu immédiatement, dès qu’un État adhère à un traité sans opposer aux réserves antérieurs à son engagement.</w:t>
      </w:r>
    </w:p>
    <w:p w14:paraId="6F90A74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1B6F800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Art 20 al 4 </w:t>
      </w:r>
      <w:proofErr w:type="gramStart"/>
      <w:r w:rsidRPr="00F25463">
        <w:rPr>
          <w:rFonts w:hAnsi="Times New Roman" w:cs="Times New Roman"/>
          <w:b/>
          <w:bCs/>
          <w:sz w:val="22"/>
          <w:szCs w:val="22"/>
        </w:rPr>
        <w:t>a)c</w:t>
      </w:r>
      <w:proofErr w:type="gramEnd"/>
      <w:r w:rsidRPr="00F25463">
        <w:rPr>
          <w:rFonts w:hAnsi="Times New Roman" w:cs="Times New Roman"/>
          <w:b/>
          <w:bCs/>
          <w:sz w:val="22"/>
          <w:szCs w:val="22"/>
        </w:rPr>
        <w:t>) </w:t>
      </w:r>
      <w:r w:rsidRPr="00F25463">
        <w:rPr>
          <w:rFonts w:hAnsi="Times New Roman" w:cs="Times New Roman"/>
          <w:sz w:val="22"/>
          <w:szCs w:val="22"/>
        </w:rPr>
        <w:t> : Il suffit qu’un État accepte la réserve pour que son auteur soit partie au traité à l’égard de l’acceptant. Du moins à l’égard de l’État qui a accepté.</w:t>
      </w:r>
    </w:p>
    <w:p w14:paraId="1F8F6FF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CC77EB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553BD2" w14:textId="77777777" w:rsidR="00EC0180" w:rsidRPr="00F25463" w:rsidRDefault="004270F6">
      <w:pPr>
        <w:pStyle w:val="Corpsdetexte3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Effet de l’Objection :</w:t>
      </w:r>
    </w:p>
    <w:p w14:paraId="1CE4E57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44401F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30</w:t>
      </w:r>
      <w:r w:rsidRPr="00F25463">
        <w:rPr>
          <w:rFonts w:hAnsi="Times New Roman" w:cs="Times New Roman"/>
          <w:sz w:val="22"/>
          <w:szCs w:val="22"/>
        </w:rPr>
        <w:t xml:space="preserve"> : s’il y a un différent, c’est la Cour </w:t>
      </w:r>
      <w:proofErr w:type="spellStart"/>
      <w:r w:rsidRPr="00F25463">
        <w:rPr>
          <w:rFonts w:hAnsi="Times New Roman" w:cs="Times New Roman"/>
          <w:sz w:val="22"/>
          <w:szCs w:val="22"/>
        </w:rPr>
        <w:t>internationnal</w:t>
      </w:r>
      <w:proofErr w:type="spellEnd"/>
      <w:r w:rsidRPr="00F25463">
        <w:rPr>
          <w:rFonts w:hAnsi="Times New Roman" w:cs="Times New Roman"/>
          <w:sz w:val="22"/>
          <w:szCs w:val="22"/>
        </w:rPr>
        <w:t xml:space="preserve"> de justice qui a compétence obligatoire.</w:t>
      </w:r>
    </w:p>
    <w:p w14:paraId="100B29C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74DBB9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21 al 1</w:t>
      </w:r>
      <w:r w:rsidRPr="00F25463">
        <w:rPr>
          <w:rFonts w:hAnsi="Times New Roman" w:cs="Times New Roman"/>
          <w:sz w:val="22"/>
          <w:szCs w:val="22"/>
        </w:rPr>
        <w:t xml:space="preserve"> : une réserve </w:t>
      </w:r>
      <w:proofErr w:type="spellStart"/>
      <w:r w:rsidRPr="00F25463">
        <w:rPr>
          <w:rFonts w:hAnsi="Times New Roman" w:cs="Times New Roman"/>
          <w:sz w:val="22"/>
          <w:szCs w:val="22"/>
        </w:rPr>
        <w:t>và</w:t>
      </w:r>
      <w:proofErr w:type="spellEnd"/>
      <w:r w:rsidRPr="00F25463">
        <w:rPr>
          <w:rFonts w:hAnsi="Times New Roman" w:cs="Times New Roman"/>
          <w:sz w:val="22"/>
          <w:szCs w:val="22"/>
        </w:rPr>
        <w:t xml:space="preserve"> pouvoir être invoqué indistinctement par les deux pays (auteur et acceptant)</w:t>
      </w:r>
    </w:p>
    <w:p w14:paraId="1C22479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A21BE2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21 al 2</w:t>
      </w:r>
      <w:r w:rsidRPr="00F25463">
        <w:rPr>
          <w:rFonts w:hAnsi="Times New Roman" w:cs="Times New Roman"/>
          <w:sz w:val="22"/>
          <w:szCs w:val="22"/>
        </w:rPr>
        <w:t> : les réserves s’appliquent seulement entre l’auteur et celui qui l’accepte</w:t>
      </w:r>
    </w:p>
    <w:p w14:paraId="2B89BF6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E7FCFD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23 al 1 :</w:t>
      </w:r>
      <w:r w:rsidRPr="00F25463">
        <w:rPr>
          <w:rFonts w:hAnsi="Times New Roman" w:cs="Times New Roman"/>
          <w:sz w:val="22"/>
          <w:szCs w:val="22"/>
        </w:rPr>
        <w:t xml:space="preserve"> Objection d’une réserve doit être faite de façon écrite</w:t>
      </w:r>
    </w:p>
    <w:p w14:paraId="68546E1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A119C5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*L’état qui s’objecte, peut ne pas ``empêcher`` l’autre état de faire partie de la convention s’il décide que la réserve n’est pas ``dangereuse``. Par contre l’état peut aussi dire qu’il ne </w:t>
      </w:r>
      <w:proofErr w:type="spellStart"/>
      <w:r w:rsidRPr="00F25463">
        <w:rPr>
          <w:rFonts w:hAnsi="Times New Roman" w:cs="Times New Roman"/>
          <w:sz w:val="22"/>
          <w:szCs w:val="22"/>
        </w:rPr>
        <w:t>concidère</w:t>
      </w:r>
      <w:proofErr w:type="spellEnd"/>
      <w:r w:rsidRPr="00F25463">
        <w:rPr>
          <w:rFonts w:hAnsi="Times New Roman" w:cs="Times New Roman"/>
          <w:sz w:val="22"/>
          <w:szCs w:val="22"/>
        </w:rPr>
        <w:t xml:space="preserve"> pas l’autre comme faisant partie du traité</w:t>
      </w:r>
    </w:p>
    <w:p w14:paraId="60A8745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9846EFF"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Régime des objections aux réserves</w:t>
      </w:r>
    </w:p>
    <w:p w14:paraId="28A2FF5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02B344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20 (4)b) CVDT :</w:t>
      </w:r>
      <w:r w:rsidRPr="00F25463">
        <w:rPr>
          <w:rFonts w:hAnsi="Times New Roman" w:cs="Times New Roman"/>
          <w:sz w:val="22"/>
          <w:szCs w:val="22"/>
        </w:rPr>
        <w:t xml:space="preserve"> L’Objection doit être écrite et donc expresse (n’a d’effet que lors de la modification </w:t>
      </w:r>
      <w:r w:rsidRPr="00F25463">
        <w:rPr>
          <w:rFonts w:hAnsi="Times New Roman" w:cs="Times New Roman"/>
          <w:b/>
          <w:bCs/>
          <w:sz w:val="22"/>
          <w:szCs w:val="22"/>
        </w:rPr>
        <w:t>art 22 CVDT</w:t>
      </w:r>
      <w:r w:rsidRPr="00F25463">
        <w:rPr>
          <w:rFonts w:hAnsi="Times New Roman" w:cs="Times New Roman"/>
          <w:sz w:val="22"/>
          <w:szCs w:val="22"/>
        </w:rPr>
        <w:t>). L’objection n’empêche pas l’entrée en vigueur du traité entre l’auteur de la réserve et l’objectant est seulement sur les points de la disposition touchés par la réserve. (à moins que l’objectant ait une opinion contraire)</w:t>
      </w:r>
    </w:p>
    <w:p w14:paraId="6481690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A7E8B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B97C23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lastRenderedPageBreak/>
        <w:t>Art 21 (3)</w:t>
      </w:r>
      <w:r w:rsidRPr="00F25463">
        <w:rPr>
          <w:rFonts w:hAnsi="Times New Roman" w:cs="Times New Roman"/>
          <w:sz w:val="22"/>
          <w:szCs w:val="22"/>
        </w:rPr>
        <w:t> </w:t>
      </w:r>
      <w:r w:rsidRPr="00F25463">
        <w:rPr>
          <w:rFonts w:hAnsi="Times New Roman" w:cs="Times New Roman"/>
          <w:b/>
          <w:bCs/>
          <w:sz w:val="22"/>
          <w:szCs w:val="22"/>
        </w:rPr>
        <w:t>CVDT</w:t>
      </w:r>
      <w:r w:rsidRPr="00F25463">
        <w:rPr>
          <w:rFonts w:hAnsi="Times New Roman" w:cs="Times New Roman"/>
          <w:sz w:val="22"/>
          <w:szCs w:val="22"/>
        </w:rPr>
        <w:t xml:space="preserve"> : l’objection ne fait qu’exclure entre l’auteur de la réserve et l’objectant la disposition sur laquelle porte la réserve</w:t>
      </w:r>
    </w:p>
    <w:p w14:paraId="3803B7D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1B07B9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Art. 40 a) b) : </w:t>
      </w:r>
      <w:r w:rsidRPr="00F25463">
        <w:rPr>
          <w:rFonts w:hAnsi="Times New Roman" w:cs="Times New Roman"/>
          <w:sz w:val="22"/>
          <w:szCs w:val="22"/>
        </w:rPr>
        <w:t>différents :</w:t>
      </w:r>
    </w:p>
    <w:p w14:paraId="6A810F96" w14:textId="77777777" w:rsidR="00EC0180" w:rsidRPr="00F25463" w:rsidRDefault="004270F6" w:rsidP="004270F6">
      <w:pPr>
        <w:numPr>
          <w:ilvl w:val="1"/>
          <w:numId w:val="50"/>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Art. 1 à 4 : juridiction obligatoire de la Cour international de justice</w:t>
      </w:r>
    </w:p>
    <w:p w14:paraId="743FEA3F" w14:textId="77777777" w:rsidR="00EC0180" w:rsidRPr="00F25463" w:rsidRDefault="004270F6" w:rsidP="004270F6">
      <w:pPr>
        <w:numPr>
          <w:ilvl w:val="1"/>
          <w:numId w:val="50"/>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 xml:space="preserve"> Autres articles : processus de conciliation</w:t>
      </w:r>
    </w:p>
    <w:p w14:paraId="530A744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1C090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Ex : </w:t>
      </w:r>
    </w:p>
    <w:p w14:paraId="7593630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 fait une réserve sur 40a) (il veut choix entre la cour et l’arbitrage)</w:t>
      </w:r>
    </w:p>
    <w:p w14:paraId="324BE02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-B accepte la réserve (donc A fait partie du traité à l’égard de B)</w:t>
      </w:r>
    </w:p>
    <w:p w14:paraId="23E44BA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 et B peuvent invoqué la réserve contre l’autre</w:t>
      </w:r>
    </w:p>
    <w:p w14:paraId="08374B0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 s’objecte à la disposition de A mais l’</w:t>
      </w:r>
      <w:proofErr w:type="spellStart"/>
      <w:r w:rsidRPr="00F25463">
        <w:rPr>
          <w:rFonts w:hAnsi="Times New Roman" w:cs="Times New Roman"/>
          <w:sz w:val="22"/>
          <w:szCs w:val="22"/>
        </w:rPr>
        <w:t>accept</w:t>
      </w:r>
      <w:proofErr w:type="spellEnd"/>
      <w:r w:rsidRPr="00F25463">
        <w:rPr>
          <w:rFonts w:hAnsi="Times New Roman" w:cs="Times New Roman"/>
          <w:sz w:val="22"/>
          <w:szCs w:val="22"/>
        </w:rPr>
        <w:t xml:space="preserve"> (l’état) dans la convention</w:t>
      </w:r>
    </w:p>
    <w:p w14:paraId="4C46A4C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 n’est pas lié par la réserve et l’art. 40a) à l’égard de l’état A</w:t>
      </w:r>
    </w:p>
    <w:p w14:paraId="4D2B966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-en cas de différent entre A et C, ils devront arriver à une entente (lorsque le conflit porte sur l’art. 40a) et non pas sur l’art. 40b) car celui-ci s’applique toujours entre les deux états. </w:t>
      </w:r>
    </w:p>
    <w:p w14:paraId="1C366EF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37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370"/>
      </w:tblGrid>
      <w:tr w:rsidR="00EC0180" w:rsidRPr="00F25463" w14:paraId="2FF97100" w14:textId="77777777">
        <w:trPr>
          <w:trHeight w:val="300"/>
        </w:trPr>
        <w:tc>
          <w:tcPr>
            <w:tcW w:w="837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6F4B1F37" w14:textId="0FDEA0D4" w:rsidR="00EC0180" w:rsidRPr="00F25463" w:rsidRDefault="004270F6" w:rsidP="000D2CC0">
            <w:pPr>
              <w:pStyle w:val="FreeForm"/>
              <w:keepNex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pPr>
            <w:r w:rsidRPr="00F25463">
              <w:rPr>
                <w:b/>
                <w:bCs/>
                <w:sz w:val="22"/>
                <w:szCs w:val="22"/>
                <w:lang w:val="fr-FR"/>
              </w:rPr>
              <w:t>Cour 10, le 1er février</w:t>
            </w:r>
          </w:p>
        </w:tc>
      </w:tr>
    </w:tbl>
    <w:p w14:paraId="0F70D5C2" w14:textId="77777777" w:rsidR="00EC0180" w:rsidRPr="00F25463" w:rsidRDefault="00EC0180">
      <w:pPr>
        <w:pStyle w:val="FreeForm"/>
        <w:ind w:left="108"/>
        <w:rPr>
          <w:sz w:val="22"/>
          <w:szCs w:val="22"/>
        </w:rPr>
      </w:pPr>
    </w:p>
    <w:p w14:paraId="76C5354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5"/>
        <w:rPr>
          <w:rFonts w:hAnsi="Times New Roman" w:cs="Times New Roman"/>
          <w:sz w:val="22"/>
          <w:szCs w:val="22"/>
        </w:rPr>
      </w:pPr>
    </w:p>
    <w:p w14:paraId="0699379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F747A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F8454F7" w14:textId="77777777" w:rsidR="00EC0180" w:rsidRPr="00F25463" w:rsidRDefault="004270F6">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Document 11 : Affaire du plateau continental de la Mer du Nord :</w:t>
      </w:r>
    </w:p>
    <w:p w14:paraId="02BC614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Par 63 et 64.</w:t>
      </w:r>
    </w:p>
    <w:p w14:paraId="0FEC703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C9A4AF1" w14:textId="77777777" w:rsidR="00EC0180" w:rsidRPr="00F25463" w:rsidRDefault="004270F6" w:rsidP="004270F6">
      <w:pPr>
        <w:numPr>
          <w:ilvl w:val="0"/>
          <w:numId w:val="51"/>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 xml:space="preserve">Dans cette affaire, on a souligné que les réserves sont </w:t>
      </w:r>
      <w:proofErr w:type="gramStart"/>
      <w:r w:rsidRPr="00F25463">
        <w:rPr>
          <w:rFonts w:hAnsi="Times New Roman" w:cs="Times New Roman"/>
          <w:b/>
          <w:bCs/>
          <w:sz w:val="22"/>
          <w:szCs w:val="22"/>
        </w:rPr>
        <w:t>impossible</w:t>
      </w:r>
      <w:proofErr w:type="gramEnd"/>
      <w:r w:rsidRPr="00F25463">
        <w:rPr>
          <w:rFonts w:hAnsi="Times New Roman" w:cs="Times New Roman"/>
          <w:b/>
          <w:bCs/>
          <w:sz w:val="22"/>
          <w:szCs w:val="22"/>
        </w:rPr>
        <w:t xml:space="preserve"> à l’égard des disposition d’une convention qui codifie des règles de droit international coutumier puisque le droit coutumier s’applique à tous.</w:t>
      </w:r>
    </w:p>
    <w:p w14:paraId="463A09A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Pas possible pour un État de codifier un droit coutumier.</w:t>
      </w:r>
    </w:p>
    <w:p w14:paraId="3B90CFC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roofErr w:type="spellStart"/>
      <w:r w:rsidRPr="00F25463">
        <w:rPr>
          <w:rFonts w:hAnsi="Times New Roman" w:cs="Times New Roman"/>
          <w:sz w:val="22"/>
          <w:szCs w:val="22"/>
        </w:rPr>
        <w:t>Arbour</w:t>
      </w:r>
      <w:proofErr w:type="spellEnd"/>
      <w:r w:rsidRPr="00F25463">
        <w:rPr>
          <w:rFonts w:hAnsi="Times New Roman" w:cs="Times New Roman"/>
          <w:sz w:val="22"/>
          <w:szCs w:val="22"/>
        </w:rPr>
        <w:t> : la règle de droit coutumier peut être modifier par un traité. (</w:t>
      </w:r>
      <w:proofErr w:type="gramStart"/>
      <w:r w:rsidRPr="00F25463">
        <w:rPr>
          <w:rFonts w:hAnsi="Times New Roman" w:cs="Times New Roman"/>
          <w:sz w:val="22"/>
          <w:szCs w:val="22"/>
        </w:rPr>
        <w:t>note</w:t>
      </w:r>
      <w:proofErr w:type="gramEnd"/>
      <w:r w:rsidRPr="00F25463">
        <w:rPr>
          <w:rFonts w:hAnsi="Times New Roman" w:cs="Times New Roman"/>
          <w:sz w:val="22"/>
          <w:szCs w:val="22"/>
        </w:rPr>
        <w:t xml:space="preserve"> plus haut) Le fait de la réserve de A accepter par B = traité bilatéral entre les 2.  Pourquoi 2 États ne pourrait pas faire la même chose dans le droit coutumier ? La CIJ a décider que le cas de la réserve c’est juste un État qui dit non, puis les autre embarque.  Un traité en bonne forme = au consentement d’État et non juste 1. </w:t>
      </w:r>
    </w:p>
    <w:p w14:paraId="3D8051D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ED0C70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De plus, cette affaire précise que toute disposition d’une convention qui autorise ou interdit la réserve doit être exprimé en terme précis et spécifiques.</w:t>
      </w:r>
    </w:p>
    <w:p w14:paraId="2A701F2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A68CDB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Ex</w:t>
      </w:r>
      <w:r w:rsidRPr="00F25463">
        <w:rPr>
          <w:rFonts w:hAnsi="Times New Roman" w:cs="Times New Roman"/>
          <w:sz w:val="22"/>
          <w:szCs w:val="22"/>
        </w:rPr>
        <w:t xml:space="preserve"> : Dans cette affaire, les réserves sur la limite de la mer territoriale sont autorisées tant qu’elle ne repousse pas cette limite </w:t>
      </w:r>
    </w:p>
    <w:p w14:paraId="11A8296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B48A13D" w14:textId="77777777" w:rsidR="00EC0180" w:rsidRPr="00F25463" w:rsidRDefault="004270F6" w:rsidP="004270F6">
      <w:pPr>
        <w:numPr>
          <w:ilvl w:val="0"/>
          <w:numId w:val="52"/>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b/>
          <w:bCs/>
          <w:sz w:val="22"/>
          <w:szCs w:val="22"/>
        </w:rPr>
        <w:t xml:space="preserve">On ne peut pas non plus faire des réserves à l’égard de disposition qui codifient </w:t>
      </w:r>
      <w:proofErr w:type="gramStart"/>
      <w:r w:rsidRPr="00F25463">
        <w:rPr>
          <w:rFonts w:hAnsi="Times New Roman" w:cs="Times New Roman"/>
          <w:b/>
          <w:bCs/>
          <w:sz w:val="22"/>
          <w:szCs w:val="22"/>
        </w:rPr>
        <w:t>une règles</w:t>
      </w:r>
      <w:proofErr w:type="gramEnd"/>
      <w:r w:rsidRPr="00F25463">
        <w:rPr>
          <w:rFonts w:hAnsi="Times New Roman" w:cs="Times New Roman"/>
          <w:b/>
          <w:bCs/>
          <w:sz w:val="22"/>
          <w:szCs w:val="22"/>
        </w:rPr>
        <w:t xml:space="preserve"> de jus cogens</w:t>
      </w:r>
      <w:r w:rsidRPr="00F25463">
        <w:rPr>
          <w:rFonts w:hAnsi="Times New Roman" w:cs="Times New Roman"/>
          <w:sz w:val="22"/>
          <w:szCs w:val="22"/>
        </w:rPr>
        <w:t>, c’est-à-dire d’ordre public international. Donc pas de réserve si contraire au concept de jus cogens.</w:t>
      </w:r>
    </w:p>
    <w:p w14:paraId="2C5E9F0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508227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 à l’authentification, un État décide de s’objecter à des réserves déjà émises, cette objection sera faite à titre conservatoire.  Elles deviendront définitives lors de l’engagement définitif.</w:t>
      </w:r>
    </w:p>
    <w:p w14:paraId="641F154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780542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 but de cette objection est de faire réfléchir les auteurs des réserves car la ratification fera en sorte d’exclure les pays contre qui il y aura des objections à leur réserves.  C’est donner un avis que le traité ne sera pas en vigueur entre les deux pays.</w:t>
      </w:r>
    </w:p>
    <w:p w14:paraId="3128623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54B8A0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22 al 1-2-3 et Art. 21 al 3</w:t>
      </w:r>
      <w:r w:rsidRPr="00F25463">
        <w:rPr>
          <w:rFonts w:hAnsi="Times New Roman" w:cs="Times New Roman"/>
          <w:sz w:val="22"/>
          <w:szCs w:val="22"/>
        </w:rPr>
        <w:t> : un état peut retirer sa réserve ou son objection n’importe quand. Elle doit être faite par écrit et ce n’est qu’au moment que l’auteur reçoit le retrait ainsi que les autres états qu’elle sera enlevée.</w:t>
      </w:r>
    </w:p>
    <w:p w14:paraId="6DFA158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E192C9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roofErr w:type="gramStart"/>
      <w:r w:rsidRPr="00F25463">
        <w:rPr>
          <w:rFonts w:hAnsi="Times New Roman" w:cs="Times New Roman"/>
          <w:b/>
          <w:bCs/>
          <w:sz w:val="22"/>
          <w:szCs w:val="22"/>
        </w:rPr>
        <w:t>La mot</w:t>
      </w:r>
      <w:proofErr w:type="gramEnd"/>
      <w:r w:rsidRPr="00F25463">
        <w:rPr>
          <w:rFonts w:hAnsi="Times New Roman" w:cs="Times New Roman"/>
          <w:b/>
          <w:bCs/>
          <w:sz w:val="22"/>
          <w:szCs w:val="22"/>
        </w:rPr>
        <w:t xml:space="preserve"> réserve est utilisé d’une autre manière :</w:t>
      </w:r>
    </w:p>
    <w:p w14:paraId="16CFA40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6D34800" w14:textId="77777777" w:rsidR="00EC0180" w:rsidRPr="00F25463" w:rsidRDefault="004270F6" w:rsidP="004270F6">
      <w:pPr>
        <w:numPr>
          <w:ilvl w:val="0"/>
          <w:numId w:val="52"/>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b/>
          <w:bCs/>
          <w:sz w:val="22"/>
          <w:szCs w:val="22"/>
        </w:rPr>
        <w:t>Art 36 (2) Statut de la CIJ</w:t>
      </w:r>
      <w:r w:rsidRPr="00F25463">
        <w:rPr>
          <w:rFonts w:hAnsi="Times New Roman" w:cs="Times New Roman"/>
          <w:sz w:val="22"/>
          <w:szCs w:val="22"/>
        </w:rPr>
        <w:t> : Les États peuvent accepter d’avance et qu’on fait une exception à une déclaration d’acceptation.</w:t>
      </w:r>
    </w:p>
    <w:p w14:paraId="627E041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La conclusion des traités au Canada.</w:t>
      </w:r>
    </w:p>
    <w:p w14:paraId="176FA2E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0C92267" w14:textId="77777777" w:rsidR="00EC0180" w:rsidRPr="00F25463" w:rsidRDefault="004270F6">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loi constitutionnel de 1867 ne nous dit rien sur le pouvoir de conclure un traité, car nous étions encore une colonie, nous n’étions pas indépendant donc on s’en remettait au Royaume-Uni.  </w:t>
      </w:r>
    </w:p>
    <w:p w14:paraId="2F39A2E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12A8D4B" w14:textId="77777777" w:rsidR="00EC0180" w:rsidRPr="00F25463" w:rsidRDefault="004270F6" w:rsidP="004270F6">
      <w:pPr>
        <w:numPr>
          <w:ilvl w:val="1"/>
          <w:numId w:val="53"/>
        </w:numPr>
        <w:tabs>
          <w:tab w:val="clear" w:pos="450"/>
          <w:tab w:val="num" w:pos="48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hanging="360"/>
        <w:jc w:val="both"/>
        <w:rPr>
          <w:rFonts w:hAnsi="Times New Roman" w:cs="Times New Roman"/>
          <w:b/>
          <w:bCs/>
          <w:sz w:val="22"/>
          <w:szCs w:val="22"/>
        </w:rPr>
      </w:pPr>
      <w:r w:rsidRPr="00F25463">
        <w:rPr>
          <w:rFonts w:hAnsi="Times New Roman" w:cs="Times New Roman"/>
          <w:b/>
          <w:bCs/>
          <w:sz w:val="22"/>
          <w:szCs w:val="22"/>
        </w:rPr>
        <w:t>Pouvoir de conclure des traités en droit interne canadien.</w:t>
      </w:r>
    </w:p>
    <w:p w14:paraId="687B643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0C16AE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b/>
          <w:bCs/>
          <w:sz w:val="22"/>
          <w:szCs w:val="22"/>
        </w:rPr>
        <w:t>Art 91 LC 1867</w:t>
      </w:r>
      <w:r w:rsidRPr="00F25463">
        <w:rPr>
          <w:rFonts w:hAnsi="Times New Roman" w:cs="Times New Roman"/>
          <w:sz w:val="22"/>
          <w:szCs w:val="22"/>
        </w:rPr>
        <w:t xml:space="preserve"> : Ce pouvoir est déterminé par le </w:t>
      </w:r>
      <w:r w:rsidRPr="00F25463">
        <w:rPr>
          <w:rFonts w:hAnsi="Times New Roman" w:cs="Times New Roman"/>
          <w:b/>
          <w:bCs/>
          <w:sz w:val="22"/>
          <w:szCs w:val="22"/>
        </w:rPr>
        <w:t>préambule</w:t>
      </w:r>
      <w:r w:rsidRPr="00F25463">
        <w:rPr>
          <w:rFonts w:hAnsi="Times New Roman" w:cs="Times New Roman"/>
          <w:sz w:val="22"/>
          <w:szCs w:val="22"/>
        </w:rPr>
        <w:t xml:space="preserve"> de cet article qui affirme que la Constitution du Canada est comme celle de l’Angleterre où ce pouvoir appartient à la Couronne. (Une prérogative royale.). Une convention constitutionnel s’est former en G-B qui énonce le principe du gouvernement responsable ; ce droit relève de la compétence de l’exécutif à conclure les traités.</w:t>
      </w:r>
    </w:p>
    <w:p w14:paraId="772DF0B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3879429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Pour savoir qui est compétent et comment il exerce son droit, il faut regarder la constitution.</w:t>
      </w:r>
    </w:p>
    <w:p w14:paraId="1EFBD8F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3EC06F1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En acquérant son indépendance, le Canada a acquis le droit de conclure un traité.</w:t>
      </w:r>
    </w:p>
    <w:p w14:paraId="77720DD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6D898DB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510F016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47B55E07" w14:textId="77777777" w:rsidR="00F25463" w:rsidRPr="00F25463" w:rsidRDefault="00F2546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13E50052" w14:textId="77777777" w:rsidR="00EC0180" w:rsidRPr="00F25463" w:rsidRDefault="004270F6" w:rsidP="004270F6">
      <w:pPr>
        <w:numPr>
          <w:ilvl w:val="1"/>
          <w:numId w:val="53"/>
        </w:numPr>
        <w:tabs>
          <w:tab w:val="clear" w:pos="450"/>
          <w:tab w:val="num" w:pos="48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hanging="360"/>
        <w:jc w:val="both"/>
        <w:rPr>
          <w:rFonts w:hAnsi="Times New Roman" w:cs="Times New Roman"/>
          <w:b/>
          <w:bCs/>
          <w:sz w:val="22"/>
          <w:szCs w:val="22"/>
        </w:rPr>
      </w:pPr>
      <w:r w:rsidRPr="00F25463">
        <w:rPr>
          <w:rFonts w:hAnsi="Times New Roman" w:cs="Times New Roman"/>
          <w:b/>
          <w:bCs/>
          <w:sz w:val="22"/>
          <w:szCs w:val="22"/>
        </w:rPr>
        <w:t>Procédure de conclusion des traités au Canada.</w:t>
      </w:r>
    </w:p>
    <w:p w14:paraId="534A121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BA5076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Que ce soit pour la négociation, la signature, la ratification ou l’adhésion, la procédure sera la même.  Elle le sera aussi pour les traités en forme simplifiée.</w:t>
      </w:r>
    </w:p>
    <w:p w14:paraId="651A98D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67664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41CC4FC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Traité inter-gouvernementaux formelle :</w:t>
      </w:r>
    </w:p>
    <w:p w14:paraId="561E04F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B0AED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Le ministre intéressé fait une recommandation au Gouverneur général en conseil qui adopte un arrêté en conseil (cabinet).  Cet arrêté autorise le ministre des affaires extérieures à émettre les instruments de </w:t>
      </w:r>
      <w:r w:rsidRPr="00F25463">
        <w:rPr>
          <w:rFonts w:hAnsi="Times New Roman" w:cs="Times New Roman"/>
          <w:i/>
          <w:iCs/>
          <w:sz w:val="22"/>
          <w:szCs w:val="22"/>
        </w:rPr>
        <w:t>pleins pouvoirs</w:t>
      </w:r>
      <w:r w:rsidRPr="00F25463">
        <w:rPr>
          <w:rFonts w:hAnsi="Times New Roman" w:cs="Times New Roman"/>
          <w:sz w:val="22"/>
          <w:szCs w:val="22"/>
        </w:rPr>
        <w:t xml:space="preserve"> en faveur d’un </w:t>
      </w:r>
      <w:r w:rsidRPr="00F25463">
        <w:rPr>
          <w:rFonts w:hAnsi="Times New Roman" w:cs="Times New Roman"/>
          <w:i/>
          <w:iCs/>
          <w:sz w:val="22"/>
          <w:szCs w:val="22"/>
        </w:rPr>
        <w:t>plénipotentiaire</w:t>
      </w:r>
      <w:r w:rsidRPr="00F25463">
        <w:rPr>
          <w:rFonts w:hAnsi="Times New Roman" w:cs="Times New Roman"/>
          <w:sz w:val="22"/>
          <w:szCs w:val="22"/>
        </w:rPr>
        <w:t>, soit à négocier, soit à authentifier, soit à ratifier, à adhérer.</w:t>
      </w:r>
    </w:p>
    <w:p w14:paraId="0D2FB89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Étape par Étape </w:t>
      </w:r>
      <w:proofErr w:type="gramStart"/>
      <w:r w:rsidRPr="00F25463">
        <w:rPr>
          <w:rFonts w:hAnsi="Times New Roman" w:cs="Times New Roman"/>
          <w:sz w:val="22"/>
          <w:szCs w:val="22"/>
        </w:rPr>
        <w:t>( pas</w:t>
      </w:r>
      <w:proofErr w:type="gramEnd"/>
      <w:r w:rsidRPr="00F25463">
        <w:rPr>
          <w:rFonts w:hAnsi="Times New Roman" w:cs="Times New Roman"/>
          <w:sz w:val="22"/>
          <w:szCs w:val="22"/>
        </w:rPr>
        <w:t xml:space="preserve"> les 3 premier en même temps, un ordre précis.)</w:t>
      </w:r>
    </w:p>
    <w:p w14:paraId="7AC9F7F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13B6B0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Art 7 (2) CVDT : </w:t>
      </w:r>
      <w:r w:rsidRPr="00F25463">
        <w:rPr>
          <w:rFonts w:hAnsi="Times New Roman" w:cs="Times New Roman"/>
          <w:sz w:val="22"/>
          <w:szCs w:val="22"/>
        </w:rPr>
        <w:t>Les chefs d’État sont dispensés d’avoir à présenter les pleins pouvoirs.</w:t>
      </w:r>
    </w:p>
    <w:p w14:paraId="4F865F6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108086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Les organes législatifs canadien n’exercent aucun contrôle sur le processus de conclusion des traités.  Cependant, il y a une pratique au Canada en vertu de laquelle les accords internationaux sont déposés à chaque sessions en vrac devant la Chambre et le Sénat.  Cela permet le contrôle politique sur l’exercice du pouvoir de l’exécutif.  Depuis 1928, on retrouve tous les traités du Canada dans le Recueil des traités du Canada. Au Canada, le pouvoir de conclure des traités n’appartient qu’à l’exécutif.  Aucun contrôle juridique n’est au législatif (seulement politique</w:t>
      </w:r>
      <w:proofErr w:type="gramStart"/>
      <w:r w:rsidRPr="00F25463">
        <w:rPr>
          <w:rFonts w:hAnsi="Times New Roman" w:cs="Times New Roman"/>
          <w:sz w:val="22"/>
          <w:szCs w:val="22"/>
        </w:rPr>
        <w:t>) .</w:t>
      </w:r>
      <w:proofErr w:type="gramEnd"/>
    </w:p>
    <w:p w14:paraId="5C36500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tbl>
      <w:tblPr>
        <w:tblStyle w:val="TableNormal1"/>
        <w:tblW w:w="8010" w:type="dxa"/>
        <w:tblInd w:w="2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8010"/>
      </w:tblGrid>
      <w:tr w:rsidR="00EC0180" w:rsidRPr="00F25463" w14:paraId="27F9703C" w14:textId="77777777">
        <w:trPr>
          <w:trHeight w:val="300"/>
        </w:trPr>
        <w:tc>
          <w:tcPr>
            <w:tcW w:w="8010" w:type="dxa"/>
            <w:tcBorders>
              <w:top w:val="single" w:sz="20" w:space="0" w:color="000000"/>
              <w:left w:val="single" w:sz="20" w:space="0" w:color="000000"/>
              <w:bottom w:val="single" w:sz="28" w:space="0" w:color="000000"/>
              <w:right w:val="single" w:sz="28" w:space="0" w:color="000000"/>
            </w:tcBorders>
            <w:shd w:val="clear" w:color="auto" w:fill="FEFFFF"/>
            <w:tcMar>
              <w:top w:w="0" w:type="dxa"/>
              <w:left w:w="0" w:type="dxa"/>
              <w:bottom w:w="0" w:type="dxa"/>
              <w:right w:w="0" w:type="dxa"/>
            </w:tcMar>
          </w:tcPr>
          <w:p w14:paraId="2AA8C77A" w14:textId="66B4A3F0" w:rsidR="00EC0180" w:rsidRPr="00F25463" w:rsidRDefault="004270F6" w:rsidP="00786BF7">
            <w:pPr>
              <w:pStyle w:val="FreeForm"/>
              <w:keepNext/>
              <w:tabs>
                <w:tab w:val="left" w:pos="720"/>
                <w:tab w:val="left" w:pos="1800"/>
                <w:tab w:val="left" w:pos="2124"/>
                <w:tab w:val="left" w:pos="2832"/>
                <w:tab w:val="left" w:pos="3540"/>
                <w:tab w:val="left" w:pos="4248"/>
                <w:tab w:val="left" w:pos="4956"/>
                <w:tab w:val="left" w:pos="5664"/>
                <w:tab w:val="left" w:pos="6372"/>
                <w:tab w:val="left" w:pos="7080"/>
                <w:tab w:val="left" w:pos="7788"/>
              </w:tabs>
              <w:suppressAutoHyphens/>
              <w:jc w:val="both"/>
            </w:pPr>
            <w:r w:rsidRPr="00F25463">
              <w:rPr>
                <w:b/>
                <w:bCs/>
                <w:sz w:val="22"/>
                <w:szCs w:val="22"/>
                <w:lang w:val="fr-FR"/>
              </w:rPr>
              <w:t xml:space="preserve">Cour 11, le 6 février </w:t>
            </w:r>
          </w:p>
        </w:tc>
      </w:tr>
    </w:tbl>
    <w:p w14:paraId="27536A44" w14:textId="77777777" w:rsidR="00EC0180" w:rsidRPr="00F25463" w:rsidRDefault="00EC0180">
      <w:pPr>
        <w:pStyle w:val="FreeForm"/>
        <w:ind w:left="108"/>
        <w:rPr>
          <w:sz w:val="22"/>
          <w:szCs w:val="22"/>
        </w:rPr>
      </w:pPr>
    </w:p>
    <w:p w14:paraId="46207C9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5"/>
        <w:rPr>
          <w:rFonts w:hAnsi="Times New Roman" w:cs="Times New Roman"/>
          <w:sz w:val="22"/>
          <w:szCs w:val="22"/>
        </w:rPr>
      </w:pPr>
    </w:p>
    <w:p w14:paraId="67583DB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F446A4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AED720" w14:textId="77777777" w:rsidR="00EC0180" w:rsidRPr="00F25463" w:rsidRDefault="004270F6" w:rsidP="004270F6">
      <w:pPr>
        <w:numPr>
          <w:ilvl w:val="1"/>
          <w:numId w:val="54"/>
        </w:numPr>
        <w:tabs>
          <w:tab w:val="clear" w:pos="330"/>
          <w:tab w:val="num" w:pos="36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hanging="360"/>
        <w:jc w:val="both"/>
        <w:rPr>
          <w:rFonts w:hAnsi="Times New Roman" w:cs="Times New Roman"/>
          <w:b/>
          <w:bCs/>
          <w:sz w:val="22"/>
          <w:szCs w:val="22"/>
        </w:rPr>
      </w:pPr>
      <w:r w:rsidRPr="00F25463">
        <w:rPr>
          <w:rFonts w:hAnsi="Times New Roman" w:cs="Times New Roman"/>
          <w:b/>
          <w:bCs/>
          <w:sz w:val="22"/>
          <w:szCs w:val="22"/>
        </w:rPr>
        <w:t>De la capacité juridique des provinces de conclure des traités.</w:t>
      </w:r>
    </w:p>
    <w:p w14:paraId="547FC79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45187A9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r w:rsidRPr="00F25463">
        <w:rPr>
          <w:rFonts w:hAnsi="Times New Roman" w:cs="Times New Roman"/>
          <w:b/>
          <w:bCs/>
          <w:sz w:val="22"/>
          <w:szCs w:val="22"/>
        </w:rPr>
        <w:t>Deux thèses s’affrontent.</w:t>
      </w:r>
    </w:p>
    <w:p w14:paraId="5724D0E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p>
    <w:p w14:paraId="3A6FB930" w14:textId="77777777" w:rsidR="00EC0180" w:rsidRPr="00F25463" w:rsidRDefault="004270F6" w:rsidP="004270F6">
      <w:pPr>
        <w:numPr>
          <w:ilvl w:val="0"/>
          <w:numId w:val="5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La thèse Fédérale</w:t>
      </w:r>
    </w:p>
    <w:p w14:paraId="6B203CE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CD5B4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Le fédéral soutient qu’il a la responsabilité exclusive pour conclure des traités pour les motifs suivants :</w:t>
      </w:r>
    </w:p>
    <w:p w14:paraId="3733D29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A23BBBB" w14:textId="77777777" w:rsidR="00EC0180" w:rsidRPr="00F25463" w:rsidRDefault="004270F6" w:rsidP="004270F6">
      <w:pPr>
        <w:numPr>
          <w:ilvl w:val="1"/>
          <w:numId w:val="56"/>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b/>
          <w:bCs/>
          <w:sz w:val="22"/>
          <w:szCs w:val="22"/>
        </w:rPr>
      </w:pPr>
      <w:r w:rsidRPr="00F25463">
        <w:rPr>
          <w:rFonts w:hAnsi="Times New Roman" w:cs="Times New Roman"/>
          <w:b/>
          <w:bCs/>
          <w:sz w:val="22"/>
          <w:szCs w:val="22"/>
        </w:rPr>
        <w:t>Selon le droit international, on doit se référer à la Constitution interne du pays</w:t>
      </w:r>
    </w:p>
    <w:p w14:paraId="27E5E7F3" w14:textId="77777777" w:rsidR="00EC0180" w:rsidRPr="00F25463" w:rsidRDefault="004270F6" w:rsidP="004270F6">
      <w:pPr>
        <w:numPr>
          <w:ilvl w:val="1"/>
          <w:numId w:val="56"/>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b/>
          <w:bCs/>
          <w:sz w:val="22"/>
          <w:szCs w:val="22"/>
        </w:rPr>
      </w:pPr>
      <w:r w:rsidRPr="00F25463">
        <w:rPr>
          <w:rFonts w:hAnsi="Times New Roman" w:cs="Times New Roman"/>
          <w:b/>
          <w:bCs/>
          <w:sz w:val="22"/>
          <w:szCs w:val="22"/>
        </w:rPr>
        <w:t>Selon la pratique des autres fédérations dans le monde :</w:t>
      </w:r>
    </w:p>
    <w:p w14:paraId="3A002826" w14:textId="77777777" w:rsidR="00EC0180" w:rsidRPr="00F25463" w:rsidRDefault="004270F6" w:rsidP="004270F6">
      <w:pPr>
        <w:numPr>
          <w:ilvl w:val="2"/>
          <w:numId w:val="57"/>
        </w:numPr>
        <w:tabs>
          <w:tab w:val="clear" w:pos="2132"/>
          <w:tab w:val="num" w:pos="2160"/>
          <w:tab w:val="left" w:pos="2832"/>
          <w:tab w:val="left" w:pos="3540"/>
          <w:tab w:val="left" w:pos="4248"/>
          <w:tab w:val="left" w:pos="4956"/>
          <w:tab w:val="left" w:pos="5664"/>
          <w:tab w:val="left" w:pos="6372"/>
          <w:tab w:val="left" w:pos="7080"/>
          <w:tab w:val="left" w:pos="7788"/>
          <w:tab w:val="left" w:pos="8496"/>
          <w:tab w:val="left" w:pos="9204"/>
          <w:tab w:val="left" w:pos="9472"/>
        </w:tabs>
        <w:ind w:left="2160" w:hanging="340"/>
        <w:jc w:val="both"/>
        <w:rPr>
          <w:rFonts w:hAnsi="Times New Roman" w:cs="Times New Roman"/>
          <w:sz w:val="22"/>
          <w:szCs w:val="22"/>
        </w:rPr>
      </w:pPr>
      <w:r w:rsidRPr="00F25463">
        <w:rPr>
          <w:rFonts w:hAnsi="Times New Roman" w:cs="Times New Roman"/>
          <w:sz w:val="22"/>
          <w:szCs w:val="22"/>
        </w:rPr>
        <w:t>On constate que la majorité des Constitutions des fédérations réserve ce pouvoir au Fédéral et que les membres des fédérations (donc les provinces) ne l’ont pas.</w:t>
      </w:r>
    </w:p>
    <w:p w14:paraId="33110F99" w14:textId="77777777" w:rsidR="00EC0180" w:rsidRPr="00F25463" w:rsidRDefault="004270F6" w:rsidP="004270F6">
      <w:pPr>
        <w:numPr>
          <w:ilvl w:val="2"/>
          <w:numId w:val="57"/>
        </w:numPr>
        <w:tabs>
          <w:tab w:val="clear" w:pos="2132"/>
          <w:tab w:val="num" w:pos="2160"/>
          <w:tab w:val="left" w:pos="2832"/>
          <w:tab w:val="left" w:pos="3540"/>
          <w:tab w:val="left" w:pos="4248"/>
          <w:tab w:val="left" w:pos="4956"/>
          <w:tab w:val="left" w:pos="5664"/>
          <w:tab w:val="left" w:pos="6372"/>
          <w:tab w:val="left" w:pos="7080"/>
          <w:tab w:val="left" w:pos="7788"/>
          <w:tab w:val="left" w:pos="8496"/>
          <w:tab w:val="left" w:pos="9204"/>
          <w:tab w:val="left" w:pos="9472"/>
        </w:tabs>
        <w:ind w:left="2160" w:hanging="340"/>
        <w:jc w:val="both"/>
        <w:rPr>
          <w:rFonts w:hAnsi="Times New Roman" w:cs="Times New Roman"/>
          <w:sz w:val="22"/>
          <w:szCs w:val="22"/>
        </w:rPr>
      </w:pPr>
      <w:r w:rsidRPr="00F25463">
        <w:rPr>
          <w:rFonts w:hAnsi="Times New Roman" w:cs="Times New Roman"/>
          <w:sz w:val="22"/>
          <w:szCs w:val="22"/>
        </w:rPr>
        <w:t>On constate que quelques Fédérations permettent à leurs membres de conclure certains types d’accords avec des États étrangers, mais cela, toujours par l’entremise ou le contrôle du Fédéral.  Aucune constitution fédérale ne permet à ses membres de conclure librement des traités avec des États étrangers.</w:t>
      </w:r>
    </w:p>
    <w:p w14:paraId="3090399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7FE745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w:t>
      </w:r>
      <w:r w:rsidRPr="00F25463">
        <w:rPr>
          <w:rFonts w:hAnsi="Times New Roman" w:cs="Times New Roman"/>
          <w:b/>
          <w:bCs/>
          <w:sz w:val="22"/>
          <w:szCs w:val="22"/>
        </w:rPr>
        <w:t>xempl</w:t>
      </w:r>
      <w:r w:rsidRPr="00F25463">
        <w:rPr>
          <w:rFonts w:hAnsi="Times New Roman" w:cs="Times New Roman"/>
          <w:sz w:val="22"/>
          <w:szCs w:val="22"/>
        </w:rPr>
        <w:t>e : Suisse, Allemagne et USA</w:t>
      </w:r>
    </w:p>
    <w:p w14:paraId="67C19AD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95F4D7C" w14:textId="77777777" w:rsidR="00EC0180" w:rsidRPr="00F25463" w:rsidRDefault="004270F6" w:rsidP="004270F6">
      <w:pPr>
        <w:numPr>
          <w:ilvl w:val="1"/>
          <w:numId w:val="56"/>
        </w:numPr>
        <w:tabs>
          <w:tab w:val="clear" w:pos="1410"/>
          <w:tab w:val="num" w:pos="144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b/>
          <w:bCs/>
          <w:sz w:val="22"/>
          <w:szCs w:val="22"/>
        </w:rPr>
      </w:pPr>
      <w:r w:rsidRPr="00F25463">
        <w:rPr>
          <w:rFonts w:hAnsi="Times New Roman" w:cs="Times New Roman"/>
          <w:b/>
          <w:bCs/>
          <w:sz w:val="22"/>
          <w:szCs w:val="22"/>
        </w:rPr>
        <w:t>Selon la Constitution Canadienne</w:t>
      </w:r>
    </w:p>
    <w:p w14:paraId="282C33D0" w14:textId="77777777" w:rsidR="00EC0180" w:rsidRPr="00F25463" w:rsidRDefault="004270F6" w:rsidP="004270F6">
      <w:pPr>
        <w:numPr>
          <w:ilvl w:val="3"/>
          <w:numId w:val="58"/>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 xml:space="preserve">Par </w:t>
      </w:r>
      <w:r w:rsidRPr="00F25463">
        <w:rPr>
          <w:rFonts w:hAnsi="Times New Roman" w:cs="Times New Roman"/>
          <w:i/>
          <w:iCs/>
          <w:sz w:val="22"/>
          <w:szCs w:val="22"/>
        </w:rPr>
        <w:t>lettres patente de 1947</w:t>
      </w:r>
      <w:r w:rsidRPr="00F25463">
        <w:rPr>
          <w:rFonts w:hAnsi="Times New Roman" w:cs="Times New Roman"/>
          <w:sz w:val="22"/>
          <w:szCs w:val="22"/>
        </w:rPr>
        <w:t>, la Couronne britannique déléguait au Gouverneur-Général tous les pouvoirs qu’elle exerçait à l’égard du Canada.  Depuis cette date, cette prérogative royale doit être exercée par le Gouverneur-Général au nom du Canada, sous réserve des conventions constitutionnelles.</w:t>
      </w:r>
    </w:p>
    <w:p w14:paraId="42CC7B05" w14:textId="77777777" w:rsidR="00EC0180" w:rsidRPr="00F25463" w:rsidRDefault="004270F6" w:rsidP="004270F6">
      <w:pPr>
        <w:numPr>
          <w:ilvl w:val="3"/>
          <w:numId w:val="58"/>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 xml:space="preserve">De plus, dans </w:t>
      </w:r>
      <w:r w:rsidRPr="00F25463">
        <w:rPr>
          <w:rFonts w:hAnsi="Times New Roman" w:cs="Times New Roman"/>
          <w:i/>
          <w:iCs/>
          <w:sz w:val="22"/>
          <w:szCs w:val="22"/>
        </w:rPr>
        <w:t>l’Affaire des Convention de travail de 1937</w:t>
      </w:r>
      <w:r w:rsidRPr="00F25463">
        <w:rPr>
          <w:rFonts w:hAnsi="Times New Roman" w:cs="Times New Roman"/>
          <w:sz w:val="22"/>
          <w:szCs w:val="22"/>
        </w:rPr>
        <w:t xml:space="preserve">, </w:t>
      </w:r>
      <w:r w:rsidRPr="00F25463">
        <w:rPr>
          <w:rFonts w:hAnsi="Times New Roman" w:cs="Times New Roman"/>
          <w:b/>
          <w:bCs/>
          <w:i/>
          <w:iCs/>
          <w:sz w:val="22"/>
          <w:szCs w:val="22"/>
        </w:rPr>
        <w:t>la Cour Suprême a décidé que le pouvoir de conclure des traités appartient exclusivement au Fédéral</w:t>
      </w:r>
      <w:r w:rsidRPr="00F25463">
        <w:rPr>
          <w:rFonts w:hAnsi="Times New Roman" w:cs="Times New Roman"/>
          <w:sz w:val="22"/>
          <w:szCs w:val="22"/>
        </w:rPr>
        <w:t xml:space="preserve"> et cette décision n’a pas été renversée par le Conseil Privé. </w:t>
      </w:r>
    </w:p>
    <w:p w14:paraId="39983B18"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01FDE1D" w14:textId="77777777" w:rsidR="00EC0180" w:rsidRPr="00F25463" w:rsidRDefault="004270F6" w:rsidP="004270F6">
      <w:pPr>
        <w:numPr>
          <w:ilvl w:val="0"/>
          <w:numId w:val="55"/>
        </w:numPr>
        <w:tabs>
          <w:tab w:val="clear" w:pos="690"/>
          <w:tab w:val="num"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La thèse Québécoise</w:t>
      </w:r>
    </w:p>
    <w:p w14:paraId="0198C293"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5C6D322E" w14:textId="77777777" w:rsidR="00EC0180" w:rsidRPr="00F25463" w:rsidRDefault="004270F6" w:rsidP="004270F6">
      <w:pPr>
        <w:numPr>
          <w:ilvl w:val="1"/>
          <w:numId w:val="59"/>
        </w:numPr>
        <w:tabs>
          <w:tab w:val="clear" w:pos="1410"/>
          <w:tab w:val="num" w:pos="144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Selon le Québec, aucun article ni autorité judiciaire n’attribut au Fédéral le pouvoir exclusif de conclure des traités.</w:t>
      </w:r>
    </w:p>
    <w:p w14:paraId="642AF211" w14:textId="77777777" w:rsidR="00EC0180" w:rsidRPr="00F25463" w:rsidRDefault="004270F6" w:rsidP="004270F6">
      <w:pPr>
        <w:numPr>
          <w:ilvl w:val="1"/>
          <w:numId w:val="59"/>
        </w:numPr>
        <w:tabs>
          <w:tab w:val="clear" w:pos="1410"/>
          <w:tab w:val="num" w:pos="144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 xml:space="preserve">Le Conseil Privé, à propos de </w:t>
      </w:r>
      <w:r w:rsidRPr="00F25463">
        <w:rPr>
          <w:rFonts w:hAnsi="Times New Roman" w:cs="Times New Roman"/>
          <w:i/>
          <w:iCs/>
          <w:sz w:val="22"/>
          <w:szCs w:val="22"/>
        </w:rPr>
        <w:t>l’Affaire sur les Conventions de travail</w:t>
      </w:r>
      <w:r w:rsidRPr="00F25463">
        <w:rPr>
          <w:rFonts w:hAnsi="Times New Roman" w:cs="Times New Roman"/>
          <w:sz w:val="22"/>
          <w:szCs w:val="22"/>
        </w:rPr>
        <w:t>, a affirmé qu’il n’était pas nécessaire de se prononcer sur la compétence pour conclure des traités.  Selon le Québec, cette affirmation prive la Cour Suprême de toute autorité pour décider de la compétence sur la conclusion des traités.</w:t>
      </w:r>
    </w:p>
    <w:p w14:paraId="5E9555EF" w14:textId="77777777" w:rsidR="00EC0180" w:rsidRPr="00F25463" w:rsidRDefault="004270F6" w:rsidP="004270F6">
      <w:pPr>
        <w:numPr>
          <w:ilvl w:val="1"/>
          <w:numId w:val="59"/>
        </w:numPr>
        <w:tabs>
          <w:tab w:val="clear" w:pos="1410"/>
          <w:tab w:val="num" w:pos="144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 xml:space="preserve">Concernant les Lettres Patentes de 1947, l’Affaire des liquidateurs de la Banque Maritime vient préciser qu’il y a partage de la Couronne Fédéral et provinciale et ce partage des compétences exécutives suit le partage des compétences législatives. Ou Bonanza Creek Gold Mining </w:t>
      </w:r>
      <w:proofErr w:type="spellStart"/>
      <w:r w:rsidRPr="00F25463">
        <w:rPr>
          <w:rFonts w:hAnsi="Times New Roman" w:cs="Times New Roman"/>
          <w:sz w:val="22"/>
          <w:szCs w:val="22"/>
        </w:rPr>
        <w:t>Company</w:t>
      </w:r>
      <w:proofErr w:type="spellEnd"/>
      <w:r w:rsidRPr="00F25463">
        <w:rPr>
          <w:rFonts w:hAnsi="Times New Roman" w:cs="Times New Roman"/>
          <w:sz w:val="22"/>
          <w:szCs w:val="22"/>
        </w:rPr>
        <w:t xml:space="preserve">. On dit que l'acte de </w:t>
      </w:r>
      <w:proofErr w:type="spellStart"/>
      <w:r w:rsidRPr="00F25463">
        <w:rPr>
          <w:rFonts w:hAnsi="Times New Roman" w:cs="Times New Roman"/>
          <w:sz w:val="22"/>
          <w:szCs w:val="22"/>
        </w:rPr>
        <w:t>l'amérique</w:t>
      </w:r>
      <w:proofErr w:type="spellEnd"/>
      <w:r w:rsidRPr="00F25463">
        <w:rPr>
          <w:rFonts w:hAnsi="Times New Roman" w:cs="Times New Roman"/>
          <w:sz w:val="22"/>
          <w:szCs w:val="22"/>
        </w:rPr>
        <w:t xml:space="preserve"> du nord </w:t>
      </w:r>
      <w:proofErr w:type="spellStart"/>
      <w:r w:rsidRPr="00F25463">
        <w:rPr>
          <w:rFonts w:hAnsi="Times New Roman" w:cs="Times New Roman"/>
          <w:sz w:val="22"/>
          <w:szCs w:val="22"/>
        </w:rPr>
        <w:t>britanique</w:t>
      </w:r>
      <w:proofErr w:type="spellEnd"/>
      <w:r w:rsidRPr="00F25463">
        <w:rPr>
          <w:rFonts w:hAnsi="Times New Roman" w:cs="Times New Roman"/>
          <w:sz w:val="22"/>
          <w:szCs w:val="22"/>
        </w:rPr>
        <w:t xml:space="preserve"> répartit les pouvoirs entre </w:t>
      </w:r>
      <w:proofErr w:type="gramStart"/>
      <w:r w:rsidRPr="00F25463">
        <w:rPr>
          <w:rFonts w:hAnsi="Times New Roman" w:cs="Times New Roman"/>
          <w:sz w:val="22"/>
          <w:szCs w:val="22"/>
        </w:rPr>
        <w:t>le gouvernements</w:t>
      </w:r>
      <w:proofErr w:type="gramEnd"/>
      <w:r w:rsidRPr="00F25463">
        <w:rPr>
          <w:rFonts w:hAnsi="Times New Roman" w:cs="Times New Roman"/>
          <w:sz w:val="22"/>
          <w:szCs w:val="22"/>
        </w:rPr>
        <w:t xml:space="preserve">. </w:t>
      </w:r>
      <w:proofErr w:type="gramStart"/>
      <w:r w:rsidRPr="00F25463">
        <w:rPr>
          <w:rFonts w:hAnsi="Times New Roman" w:cs="Times New Roman"/>
          <w:sz w:val="22"/>
          <w:szCs w:val="22"/>
        </w:rPr>
        <w:t>Mais ,</w:t>
      </w:r>
      <w:proofErr w:type="gramEnd"/>
      <w:r w:rsidRPr="00F25463">
        <w:rPr>
          <w:rFonts w:hAnsi="Times New Roman" w:cs="Times New Roman"/>
          <w:sz w:val="22"/>
          <w:szCs w:val="22"/>
        </w:rPr>
        <w:t xml:space="preserve"> elle ne fait pas que répartir les pouvoir entres les </w:t>
      </w:r>
      <w:proofErr w:type="spellStart"/>
      <w:r w:rsidRPr="00F25463">
        <w:rPr>
          <w:rFonts w:hAnsi="Times New Roman" w:cs="Times New Roman"/>
          <w:sz w:val="22"/>
          <w:szCs w:val="22"/>
        </w:rPr>
        <w:t>provincies</w:t>
      </w:r>
      <w:proofErr w:type="spellEnd"/>
      <w:r w:rsidRPr="00F25463">
        <w:rPr>
          <w:rFonts w:hAnsi="Times New Roman" w:cs="Times New Roman"/>
          <w:sz w:val="22"/>
          <w:szCs w:val="22"/>
        </w:rPr>
        <w:t xml:space="preserve"> mais aussi les pouvoir de prérogative royale suit la répartition des pouvoirs législatif.</w:t>
      </w:r>
    </w:p>
    <w:p w14:paraId="220E90E9"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3DA0161" w14:textId="77777777" w:rsidR="00EC0180" w:rsidRPr="00F25463" w:rsidRDefault="004270F6">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Le Québec soutient donc qu’il peut conclure des traités dans ses domaines de compétence législative.  En fait, le Québec est la seule province qui cherche à conclure des traités.</w:t>
      </w:r>
    </w:p>
    <w:p w14:paraId="7D73ABB2"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p>
    <w:p w14:paraId="598EB41D" w14:textId="77777777" w:rsidR="00EC0180" w:rsidRPr="00F25463" w:rsidRDefault="004270F6">
      <w:pPr>
        <w:pStyle w:val="BodyText"/>
        <w:tabs>
          <w:tab w:val="clear" w:pos="36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En </w:t>
      </w:r>
      <w:proofErr w:type="spellStart"/>
      <w:r w:rsidRPr="00F25463">
        <w:rPr>
          <w:rFonts w:hAnsi="Times New Roman" w:cs="Times New Roman"/>
          <w:sz w:val="22"/>
          <w:szCs w:val="22"/>
        </w:rPr>
        <w:t>défence</w:t>
      </w:r>
      <w:proofErr w:type="spellEnd"/>
      <w:r w:rsidRPr="00F25463">
        <w:rPr>
          <w:rFonts w:hAnsi="Times New Roman" w:cs="Times New Roman"/>
          <w:sz w:val="22"/>
          <w:szCs w:val="22"/>
        </w:rPr>
        <w:t xml:space="preserve">, le fédéral dit que lors de la décision, et </w:t>
      </w:r>
      <w:proofErr w:type="gramStart"/>
      <w:r w:rsidRPr="00F25463">
        <w:rPr>
          <w:rFonts w:hAnsi="Times New Roman" w:cs="Times New Roman"/>
          <w:sz w:val="22"/>
          <w:szCs w:val="22"/>
        </w:rPr>
        <w:t>lorsqu’il disent</w:t>
      </w:r>
      <w:proofErr w:type="gramEnd"/>
      <w:r w:rsidRPr="00F25463">
        <w:rPr>
          <w:rFonts w:hAnsi="Times New Roman" w:cs="Times New Roman"/>
          <w:sz w:val="22"/>
          <w:szCs w:val="22"/>
        </w:rPr>
        <w:t xml:space="preserve"> que l’exécutif suit le législatif et que les gouverneur-généraux étaient égales aux lieutenant-généraux sur leur sphère de compétence, à cette époque, la Grande-Bretagne faisait nos traités. Donc il est </w:t>
      </w:r>
      <w:proofErr w:type="spellStart"/>
      <w:r w:rsidRPr="00F25463">
        <w:rPr>
          <w:rFonts w:hAnsi="Times New Roman" w:cs="Times New Roman"/>
          <w:sz w:val="22"/>
          <w:szCs w:val="22"/>
        </w:rPr>
        <w:t>sousentendu</w:t>
      </w:r>
      <w:proofErr w:type="spellEnd"/>
      <w:r w:rsidRPr="00F25463">
        <w:rPr>
          <w:rFonts w:hAnsi="Times New Roman" w:cs="Times New Roman"/>
          <w:sz w:val="22"/>
          <w:szCs w:val="22"/>
        </w:rPr>
        <w:t xml:space="preserve"> qu’il ne parlait pas du pouvoir de conclure des traités.</w:t>
      </w:r>
    </w:p>
    <w:p w14:paraId="52A09E77"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6EC2494" w14:textId="77777777" w:rsidR="00EC0180" w:rsidRPr="00F25463" w:rsidRDefault="004270F6" w:rsidP="004270F6">
      <w:pPr>
        <w:numPr>
          <w:ilvl w:val="1"/>
          <w:numId w:val="54"/>
        </w:numPr>
        <w:tabs>
          <w:tab w:val="clear" w:pos="330"/>
          <w:tab w:val="num" w:pos="36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hanging="360"/>
        <w:jc w:val="both"/>
        <w:rPr>
          <w:rFonts w:hAnsi="Times New Roman" w:cs="Times New Roman"/>
          <w:b/>
          <w:bCs/>
          <w:sz w:val="22"/>
          <w:szCs w:val="22"/>
        </w:rPr>
      </w:pPr>
      <w:r w:rsidRPr="00F25463">
        <w:rPr>
          <w:rFonts w:hAnsi="Times New Roman" w:cs="Times New Roman"/>
          <w:b/>
          <w:bCs/>
          <w:sz w:val="22"/>
          <w:szCs w:val="22"/>
        </w:rPr>
        <w:t>Techniques permettant au provincial de conclure des traités.</w:t>
      </w:r>
    </w:p>
    <w:p w14:paraId="5C442A70" w14:textId="77777777" w:rsidR="00EC0180" w:rsidRPr="00F25463" w:rsidRDefault="004270F6">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Destiné a aider les provinces a faire des « traités »:</w:t>
      </w:r>
    </w:p>
    <w:p w14:paraId="3E1D0173" w14:textId="77777777" w:rsidR="00EC0180" w:rsidRPr="00F25463" w:rsidRDefault="00EC0180">
      <w:pPr>
        <w:tabs>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79CD6ECB" w14:textId="77777777" w:rsidR="00EC0180" w:rsidRPr="00F25463" w:rsidRDefault="004270F6">
      <w:pPr>
        <w:tabs>
          <w:tab w:val="left" w:pos="4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r w:rsidRPr="00F25463">
        <w:rPr>
          <w:rFonts w:hAnsi="Times New Roman" w:cs="Times New Roman"/>
          <w:b/>
          <w:bCs/>
          <w:sz w:val="22"/>
          <w:szCs w:val="22"/>
        </w:rPr>
        <w:lastRenderedPageBreak/>
        <w:t xml:space="preserve">1. Accord spécial de garanti : </w:t>
      </w:r>
    </w:p>
    <w:p w14:paraId="59204FAA" w14:textId="77777777" w:rsidR="00EC0180" w:rsidRPr="00F25463" w:rsidRDefault="004270F6">
      <w:pPr>
        <w:tabs>
          <w:tab w:val="left" w:pos="4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Le provincial peut conclure un accord avec un État étranger mais le traité est conclu par un échange de notes entre le Fédéral et l’État étranger et seulement dans le domaine qui relève de sa compétence.</w:t>
      </w:r>
    </w:p>
    <w:p w14:paraId="479D1894" w14:textId="77777777" w:rsidR="00EC0180" w:rsidRPr="00F25463" w:rsidRDefault="00EC0180">
      <w:pPr>
        <w:tabs>
          <w:tab w:val="left" w:pos="48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70C4CE37" w14:textId="77777777" w:rsidR="00EC0180" w:rsidRPr="00F25463" w:rsidRDefault="004270F6" w:rsidP="004270F6">
      <w:pPr>
        <w:numPr>
          <w:ilvl w:val="0"/>
          <w:numId w:val="60"/>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 xml:space="preserve">Système des </w:t>
      </w:r>
      <w:proofErr w:type="spellStart"/>
      <w:r w:rsidRPr="00F25463">
        <w:rPr>
          <w:rFonts w:hAnsi="Times New Roman" w:cs="Times New Roman"/>
          <w:b/>
          <w:bCs/>
          <w:sz w:val="22"/>
          <w:szCs w:val="22"/>
        </w:rPr>
        <w:t>accord-cadres</w:t>
      </w:r>
      <w:proofErr w:type="spellEnd"/>
      <w:r w:rsidRPr="00F25463">
        <w:rPr>
          <w:rFonts w:hAnsi="Times New Roman" w:cs="Times New Roman"/>
          <w:b/>
          <w:bCs/>
          <w:sz w:val="22"/>
          <w:szCs w:val="22"/>
        </w:rPr>
        <w:t> : (plus utilisé)</w:t>
      </w:r>
    </w:p>
    <w:p w14:paraId="4927F5C3" w14:textId="77777777" w:rsidR="00EC0180" w:rsidRPr="00F25463" w:rsidRDefault="004270F6">
      <w:pPr>
        <w:pStyle w:val="BodyTextIndent"/>
        <w:tabs>
          <w:tab w:val="left" w:pos="36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fédéral conclue des accords avec un État tiers et cet accord dit que les provinces peuvent conclure des accords qui respectent le cadre de l'accord.</w:t>
      </w:r>
    </w:p>
    <w:p w14:paraId="1D0C1554"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39B0909"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Exemple:</w:t>
      </w:r>
    </w:p>
    <w:p w14:paraId="1DB69017"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Pour permettre l'exécution des jugements à l'étranger, en juin 1997, le fédéral apprends que le Québec est en train de conclure un accord de cette nature avec la France. </w:t>
      </w:r>
    </w:p>
    <w:p w14:paraId="7FC27288"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1B0C3BD" w14:textId="77777777" w:rsidR="00EC0180" w:rsidRPr="00F25463" w:rsidRDefault="004270F6" w:rsidP="004270F6">
      <w:pPr>
        <w:numPr>
          <w:ilvl w:val="0"/>
          <w:numId w:val="60"/>
        </w:numPr>
        <w:tabs>
          <w:tab w:val="clear" w:pos="690"/>
          <w:tab w:val="num"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Arrangements :</w:t>
      </w:r>
    </w:p>
    <w:p w14:paraId="55521F12" w14:textId="77777777" w:rsidR="00EC0180" w:rsidRPr="00F25463" w:rsidRDefault="004270F6">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Définition : Ententes qui n’ont pas pour but de créer une obligation internationale mais qui visent à reconnaître sur une base réciproque un acte administratif ou législatif d’un autre juridiction. Ces arrangements font en sorte que les provinces peuvent conclure des traités de façon seul avec les états étrangers.</w:t>
      </w:r>
    </w:p>
    <w:p w14:paraId="4A7EE794"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1870424"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Document 9 : P-G. Ontario c. Scott (1956)</w:t>
      </w:r>
    </w:p>
    <w:p w14:paraId="33B697B8"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EE741FC"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Dans cette affaire, l’Ontario et le Parlement Britannique s’étaient entendus pour adopter chacun de leur côté une loi permettant l’exécution réciproque des ordonnances de pensions alimentaires contre le conjoint résidant dans l’autre juridiction.  La Cour Suprême devait décider si l’arrangement constituaient un traité et si aussi il était valide pour la province.</w:t>
      </w:r>
    </w:p>
    <w:p w14:paraId="08DB6B94"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4BAD4C5"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Conclusion de la Cour : Cette entente est valide.  L’Ontario peut conclure des arrangements parce que cet accord n’est pas un traité.  Elle est adoptée sur la base volontaire.  Puisque chaque juridiction peut décider d’abroger ou non sa loi, l’accord n’est pas un traité. Donc ils peuvent abrogé la loi sans le fédéral.</w:t>
      </w:r>
    </w:p>
    <w:p w14:paraId="6E8178C2"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8029998"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Cette affaire a été confirmé 30 ans plus tard par l’Affaire </w:t>
      </w:r>
      <w:proofErr w:type="spellStart"/>
      <w:r w:rsidRPr="00F25463">
        <w:rPr>
          <w:rFonts w:hAnsi="Times New Roman" w:cs="Times New Roman"/>
          <w:sz w:val="22"/>
          <w:szCs w:val="22"/>
        </w:rPr>
        <w:t>Bazylo</w:t>
      </w:r>
      <w:proofErr w:type="spellEnd"/>
      <w:r w:rsidRPr="00F25463">
        <w:rPr>
          <w:rFonts w:hAnsi="Times New Roman" w:cs="Times New Roman"/>
          <w:sz w:val="22"/>
          <w:szCs w:val="22"/>
        </w:rPr>
        <w:t xml:space="preserve"> c. Collins.</w:t>
      </w:r>
    </w:p>
    <w:p w14:paraId="16CB447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0F0D965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174E5C88" w14:textId="5F7DCF81" w:rsidR="00EC0180" w:rsidRPr="00F25463" w:rsidRDefault="004270F6">
      <w:pPr>
        <w:pStyle w:val="Heading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Cour 12, le 9 février </w:t>
      </w:r>
      <w:bookmarkStart w:id="0" w:name="_GoBack"/>
      <w:bookmarkEnd w:id="0"/>
    </w:p>
    <w:p w14:paraId="344092B7"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C4950FF"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3B50A4D"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u w:val="single"/>
        </w:rPr>
      </w:pPr>
      <w:r w:rsidRPr="00F25463">
        <w:rPr>
          <w:rFonts w:hAnsi="Times New Roman" w:cs="Times New Roman"/>
          <w:sz w:val="22"/>
          <w:szCs w:val="22"/>
        </w:rPr>
        <w:t xml:space="preserve">3. </w:t>
      </w:r>
      <w:r w:rsidRPr="00F25463">
        <w:rPr>
          <w:rFonts w:hAnsi="Times New Roman" w:cs="Times New Roman"/>
          <w:b/>
          <w:bCs/>
          <w:sz w:val="22"/>
          <w:szCs w:val="22"/>
          <w:u w:val="single"/>
        </w:rPr>
        <w:t>Application ou Exécution des traités internationaux</w:t>
      </w:r>
    </w:p>
    <w:p w14:paraId="2358E046"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p>
    <w:p w14:paraId="23A0AF07" w14:textId="77777777" w:rsidR="00EC0180" w:rsidRPr="00F25463" w:rsidRDefault="004270F6">
      <w:pPr>
        <w:pStyle w:val="BodyText"/>
        <w:tabs>
          <w:tab w:val="clear" w:pos="360"/>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A. Réglementation Générale (art 26-41 CVDT)</w:t>
      </w:r>
    </w:p>
    <w:p w14:paraId="666771F6"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298BE314"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26 CVDT</w:t>
      </w:r>
      <w:r w:rsidRPr="00F25463">
        <w:rPr>
          <w:rFonts w:hAnsi="Times New Roman" w:cs="Times New Roman"/>
          <w:sz w:val="22"/>
          <w:szCs w:val="22"/>
        </w:rPr>
        <w:t> </w:t>
      </w:r>
      <w:r w:rsidRPr="00F25463">
        <w:rPr>
          <w:rFonts w:hAnsi="Times New Roman" w:cs="Times New Roman"/>
          <w:b/>
          <w:bCs/>
          <w:sz w:val="22"/>
          <w:szCs w:val="22"/>
        </w:rPr>
        <w:t xml:space="preserve">: La règle </w:t>
      </w:r>
      <w:proofErr w:type="spellStart"/>
      <w:r w:rsidRPr="00F25463">
        <w:rPr>
          <w:rFonts w:hAnsi="Times New Roman" w:cs="Times New Roman"/>
          <w:b/>
          <w:bCs/>
          <w:sz w:val="22"/>
          <w:szCs w:val="22"/>
        </w:rPr>
        <w:t>Pacta</w:t>
      </w:r>
      <w:proofErr w:type="spellEnd"/>
      <w:r w:rsidRPr="00F25463">
        <w:rPr>
          <w:rFonts w:hAnsi="Times New Roman" w:cs="Times New Roman"/>
          <w:b/>
          <w:bCs/>
          <w:sz w:val="22"/>
          <w:szCs w:val="22"/>
        </w:rPr>
        <w:t xml:space="preserve"> </w:t>
      </w:r>
      <w:proofErr w:type="spellStart"/>
      <w:r w:rsidRPr="00F25463">
        <w:rPr>
          <w:rFonts w:hAnsi="Times New Roman" w:cs="Times New Roman"/>
          <w:b/>
          <w:bCs/>
          <w:sz w:val="22"/>
          <w:szCs w:val="22"/>
        </w:rPr>
        <w:t>Sunt</w:t>
      </w:r>
      <w:proofErr w:type="spellEnd"/>
      <w:r w:rsidRPr="00F25463">
        <w:rPr>
          <w:rFonts w:hAnsi="Times New Roman" w:cs="Times New Roman"/>
          <w:b/>
          <w:bCs/>
          <w:sz w:val="22"/>
          <w:szCs w:val="22"/>
        </w:rPr>
        <w:t xml:space="preserve"> </w:t>
      </w:r>
      <w:proofErr w:type="spellStart"/>
      <w:r w:rsidRPr="00F25463">
        <w:rPr>
          <w:rFonts w:hAnsi="Times New Roman" w:cs="Times New Roman"/>
          <w:b/>
          <w:bCs/>
          <w:sz w:val="22"/>
          <w:szCs w:val="22"/>
        </w:rPr>
        <w:t>Servanda</w:t>
      </w:r>
      <w:proofErr w:type="spellEnd"/>
      <w:r w:rsidRPr="00F25463">
        <w:rPr>
          <w:rFonts w:hAnsi="Times New Roman" w:cs="Times New Roman"/>
          <w:b/>
          <w:bCs/>
          <w:sz w:val="22"/>
          <w:szCs w:val="22"/>
        </w:rPr>
        <w:t> </w:t>
      </w:r>
      <w:r w:rsidRPr="00F25463">
        <w:rPr>
          <w:rFonts w:hAnsi="Times New Roman" w:cs="Times New Roman"/>
          <w:sz w:val="22"/>
          <w:szCs w:val="22"/>
        </w:rPr>
        <w:t xml:space="preserve">: tout traité en </w:t>
      </w:r>
      <w:proofErr w:type="spellStart"/>
      <w:r w:rsidRPr="00F25463">
        <w:rPr>
          <w:rFonts w:hAnsi="Times New Roman" w:cs="Times New Roman"/>
          <w:sz w:val="22"/>
          <w:szCs w:val="22"/>
        </w:rPr>
        <w:t>vigeur</w:t>
      </w:r>
      <w:proofErr w:type="spellEnd"/>
      <w:r w:rsidRPr="00F25463">
        <w:rPr>
          <w:rFonts w:hAnsi="Times New Roman" w:cs="Times New Roman"/>
          <w:sz w:val="22"/>
          <w:szCs w:val="22"/>
        </w:rPr>
        <w:t xml:space="preserve"> lie les parties et doit être exécuté par elles de bonne foi.  Pour se soumettre à cette règle de conduite obligatoire, les États doivent mettre en œuvre le traité. –La mise en œuvre se fait en 3 étapes :</w:t>
      </w:r>
    </w:p>
    <w:p w14:paraId="769341A4"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A4A2672" w14:textId="77777777" w:rsidR="00EC0180" w:rsidRPr="00F25463" w:rsidRDefault="004270F6" w:rsidP="004270F6">
      <w:pPr>
        <w:numPr>
          <w:ilvl w:val="3"/>
          <w:numId w:val="58"/>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L’État doit introduire le traité dans l’ordre juridique interne selon les règles de sa constitution (donc il faut adopter une loi chez lui)</w:t>
      </w:r>
    </w:p>
    <w:p w14:paraId="59B18C40" w14:textId="77777777" w:rsidR="00EC0180" w:rsidRPr="00F25463" w:rsidRDefault="004270F6" w:rsidP="004270F6">
      <w:pPr>
        <w:numPr>
          <w:ilvl w:val="3"/>
          <w:numId w:val="58"/>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Il est possible que l’exécution du traité exige que certaines mesures additionnelles soient prises au niveau interne.</w:t>
      </w:r>
    </w:p>
    <w:p w14:paraId="0B5E4CDE"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 xml:space="preserve">Ex : Si l’exécution d’un traité nécessite des sommes d’argent, il faut qu’un budget soit volé. Abroger des lois, </w:t>
      </w:r>
      <w:proofErr w:type="spellStart"/>
      <w:r w:rsidRPr="00F25463">
        <w:rPr>
          <w:rFonts w:hAnsi="Times New Roman" w:cs="Times New Roman"/>
          <w:sz w:val="22"/>
          <w:szCs w:val="22"/>
        </w:rPr>
        <w:t>ect</w:t>
      </w:r>
      <w:proofErr w:type="spellEnd"/>
      <w:r w:rsidRPr="00F25463">
        <w:rPr>
          <w:rFonts w:hAnsi="Times New Roman" w:cs="Times New Roman"/>
          <w:sz w:val="22"/>
          <w:szCs w:val="22"/>
        </w:rPr>
        <w:t>…</w:t>
      </w:r>
    </w:p>
    <w:p w14:paraId="3BB79D6A"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p>
    <w:p w14:paraId="0E1ED144"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r w:rsidRPr="00F25463">
        <w:rPr>
          <w:rFonts w:hAnsi="Times New Roman" w:cs="Times New Roman"/>
          <w:b/>
          <w:bCs/>
          <w:sz w:val="22"/>
          <w:szCs w:val="22"/>
        </w:rPr>
        <w:t>Art 27 CVDT</w:t>
      </w:r>
      <w:r w:rsidRPr="00F25463">
        <w:rPr>
          <w:rFonts w:hAnsi="Times New Roman" w:cs="Times New Roman"/>
          <w:sz w:val="22"/>
          <w:szCs w:val="22"/>
        </w:rPr>
        <w:t xml:space="preserve"> : Un état ne pourra </w:t>
      </w:r>
      <w:r w:rsidRPr="00F25463">
        <w:rPr>
          <w:rFonts w:hAnsi="Times New Roman" w:cs="Times New Roman"/>
          <w:b/>
          <w:bCs/>
          <w:sz w:val="22"/>
          <w:szCs w:val="22"/>
        </w:rPr>
        <w:t>jamais</w:t>
      </w:r>
      <w:r w:rsidRPr="00F25463">
        <w:rPr>
          <w:rFonts w:hAnsi="Times New Roman" w:cs="Times New Roman"/>
          <w:sz w:val="22"/>
          <w:szCs w:val="22"/>
        </w:rPr>
        <w:t xml:space="preserve"> sur le plan international, ne pas respecter un traité en invoquant l’incompatibilité avec don droit interne.  Cet article est sans </w:t>
      </w:r>
      <w:r w:rsidRPr="00F25463">
        <w:rPr>
          <w:rFonts w:hAnsi="Times New Roman" w:cs="Times New Roman"/>
          <w:sz w:val="22"/>
          <w:szCs w:val="22"/>
        </w:rPr>
        <w:lastRenderedPageBreak/>
        <w:t>préjudice à l’art 46 CVDT (exception d’un cas ou il s’agit d’une règle de droit interne fondamentale)</w:t>
      </w:r>
    </w:p>
    <w:p w14:paraId="4F4EC471"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p>
    <w:p w14:paraId="1BD2F95F"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r w:rsidRPr="00F25463">
        <w:rPr>
          <w:rFonts w:hAnsi="Times New Roman" w:cs="Times New Roman"/>
          <w:b/>
          <w:bCs/>
          <w:sz w:val="22"/>
          <w:szCs w:val="22"/>
        </w:rPr>
        <w:t>Art 46 CVDT</w:t>
      </w:r>
      <w:r w:rsidRPr="00F25463">
        <w:rPr>
          <w:rFonts w:hAnsi="Times New Roman" w:cs="Times New Roman"/>
          <w:sz w:val="22"/>
          <w:szCs w:val="22"/>
        </w:rPr>
        <w:t xml:space="preserve"> : L’État peut invoquer que son </w:t>
      </w:r>
      <w:r w:rsidRPr="00F25463">
        <w:rPr>
          <w:rFonts w:hAnsi="Times New Roman" w:cs="Times New Roman"/>
          <w:b/>
          <w:bCs/>
          <w:sz w:val="22"/>
          <w:szCs w:val="22"/>
        </w:rPr>
        <w:t>consentement</w:t>
      </w:r>
      <w:r w:rsidRPr="00F25463">
        <w:rPr>
          <w:rFonts w:hAnsi="Times New Roman" w:cs="Times New Roman"/>
          <w:sz w:val="22"/>
          <w:szCs w:val="22"/>
        </w:rPr>
        <w:t xml:space="preserve"> a été </w:t>
      </w:r>
      <w:r w:rsidRPr="00F25463">
        <w:rPr>
          <w:rFonts w:hAnsi="Times New Roman" w:cs="Times New Roman"/>
          <w:b/>
          <w:bCs/>
          <w:sz w:val="22"/>
          <w:szCs w:val="22"/>
        </w:rPr>
        <w:t>vicié</w:t>
      </w:r>
      <w:r w:rsidRPr="00F25463">
        <w:rPr>
          <w:rFonts w:hAnsi="Times New Roman" w:cs="Times New Roman"/>
          <w:sz w:val="22"/>
          <w:szCs w:val="22"/>
        </w:rPr>
        <w:t xml:space="preserve"> si la violation est manifeste et concerne une règle de son droit interne d’importance fondamentale. (Exception à l’art 27)</w:t>
      </w:r>
    </w:p>
    <w:p w14:paraId="07B56E95"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520"/>
        <w:jc w:val="both"/>
        <w:rPr>
          <w:rFonts w:hAnsi="Times New Roman" w:cs="Times New Roman"/>
          <w:sz w:val="22"/>
          <w:szCs w:val="22"/>
        </w:rPr>
      </w:pPr>
    </w:p>
    <w:p w14:paraId="565FFF07" w14:textId="77777777" w:rsidR="00EC0180" w:rsidRPr="00F25463" w:rsidRDefault="004270F6" w:rsidP="004270F6">
      <w:pPr>
        <w:numPr>
          <w:ilvl w:val="3"/>
          <w:numId w:val="58"/>
        </w:numPr>
        <w:tabs>
          <w:tab w:val="clear" w:pos="2850"/>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60"/>
        <w:jc w:val="both"/>
        <w:rPr>
          <w:rFonts w:hAnsi="Times New Roman" w:cs="Times New Roman"/>
          <w:sz w:val="22"/>
          <w:szCs w:val="22"/>
        </w:rPr>
      </w:pPr>
      <w:r w:rsidRPr="00F25463">
        <w:rPr>
          <w:rFonts w:hAnsi="Times New Roman" w:cs="Times New Roman"/>
          <w:sz w:val="22"/>
          <w:szCs w:val="22"/>
        </w:rPr>
        <w:t>Le traité doit être exécuté de bonne foi</w:t>
      </w:r>
    </w:p>
    <w:p w14:paraId="3BC79286"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p>
    <w:p w14:paraId="724CF67E"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26 CVDT</w:t>
      </w:r>
      <w:r w:rsidRPr="00F25463">
        <w:rPr>
          <w:rFonts w:hAnsi="Times New Roman" w:cs="Times New Roman"/>
          <w:sz w:val="22"/>
          <w:szCs w:val="22"/>
        </w:rPr>
        <w:t> : Codification de cette règle (3</w:t>
      </w:r>
      <w:r w:rsidRPr="00F25463">
        <w:rPr>
          <w:rFonts w:hAnsi="Times New Roman" w:cs="Times New Roman"/>
          <w:sz w:val="22"/>
          <w:szCs w:val="22"/>
          <w:vertAlign w:val="superscript"/>
        </w:rPr>
        <w:t>e</w:t>
      </w:r>
      <w:r w:rsidRPr="00F25463">
        <w:rPr>
          <w:rFonts w:hAnsi="Times New Roman" w:cs="Times New Roman"/>
          <w:sz w:val="22"/>
          <w:szCs w:val="22"/>
        </w:rPr>
        <w:t xml:space="preserve"> règle)</w:t>
      </w:r>
    </w:p>
    <w:p w14:paraId="0D993B7C" w14:textId="77777777" w:rsidR="00EC0180" w:rsidRPr="00F25463" w:rsidRDefault="00EC0180">
      <w:pPr>
        <w:pStyle w:val="BodyText"/>
        <w:tabs>
          <w:tab w:val="clear" w:pos="360"/>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8BB354" w14:textId="77777777" w:rsidR="00EC0180" w:rsidRPr="00F25463" w:rsidRDefault="004270F6">
      <w:pPr>
        <w:pStyle w:val="BodyText"/>
        <w:tabs>
          <w:tab w:val="clear" w:pos="360"/>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Exemple </w:t>
      </w:r>
      <w:r w:rsidRPr="00F25463">
        <w:rPr>
          <w:rFonts w:hAnsi="Times New Roman" w:cs="Times New Roman"/>
          <w:sz w:val="22"/>
          <w:szCs w:val="22"/>
        </w:rPr>
        <w:t>: (1932) L’avis du traitement des Nationaux Polonais à Dantzig (en Allemagne- Hitler qui voulait l’envahir, déclenche la 2</w:t>
      </w:r>
      <w:r w:rsidRPr="00F25463">
        <w:rPr>
          <w:rFonts w:hAnsi="Times New Roman" w:cs="Times New Roman"/>
          <w:sz w:val="22"/>
          <w:szCs w:val="22"/>
          <w:vertAlign w:val="superscript"/>
        </w:rPr>
        <w:t>e</w:t>
      </w:r>
      <w:r w:rsidRPr="00F25463">
        <w:rPr>
          <w:rFonts w:hAnsi="Times New Roman" w:cs="Times New Roman"/>
          <w:sz w:val="22"/>
          <w:szCs w:val="22"/>
        </w:rPr>
        <w:t xml:space="preserve"> guerre mondiale) clause de non-discrimination des polonais </w:t>
      </w:r>
      <w:proofErr w:type="spellStart"/>
      <w:r w:rsidRPr="00F25463">
        <w:rPr>
          <w:rFonts w:hAnsi="Times New Roman" w:cs="Times New Roman"/>
          <w:sz w:val="22"/>
          <w:szCs w:val="22"/>
        </w:rPr>
        <w:t>parceque</w:t>
      </w:r>
      <w:proofErr w:type="spellEnd"/>
      <w:r w:rsidRPr="00F25463">
        <w:rPr>
          <w:rFonts w:hAnsi="Times New Roman" w:cs="Times New Roman"/>
          <w:sz w:val="22"/>
          <w:szCs w:val="22"/>
        </w:rPr>
        <w:t xml:space="preserve"> 96% des Allemand en Pologne.</w:t>
      </w:r>
    </w:p>
    <w:p w14:paraId="6C6B6897"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p>
    <w:p w14:paraId="6F986934"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Le conseil privé a décidé que d’adopter une loi anti-discrimination ça ne suffit pas, il faut aussi l’exécuter dans les faits. Donc, la Pologne, pour respecter une disposition interdisant la discrimination devait démontrer sa bonne foi,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faire tout ce qu’elle pouvait pour éliminer la discrimination contre les Polonais, en adoptant des lois et en démontrant dans les faits qu’elle faisait des efforts pour l’éliminer.</w:t>
      </w:r>
    </w:p>
    <w:p w14:paraId="4508F5F0"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3CFD062" w14:textId="77777777" w:rsidR="00EC0180" w:rsidRPr="00F25463" w:rsidRDefault="004270F6" w:rsidP="004270F6">
      <w:pPr>
        <w:numPr>
          <w:ilvl w:val="0"/>
          <w:numId w:val="26"/>
        </w:numPr>
        <w:tabs>
          <w:tab w:val="clear" w:pos="1038"/>
          <w:tab w:val="num" w:pos="1068"/>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Il ne suffit pas d’appliquer une loi, il faut montrer qu’on a  essayé dans les faits d’arrêter la discrimination.</w:t>
      </w:r>
    </w:p>
    <w:p w14:paraId="5679EB0F"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E3B85C7" w14:textId="77777777" w:rsidR="00EC0180" w:rsidRPr="00F25463" w:rsidRDefault="004270F6" w:rsidP="004270F6">
      <w:pPr>
        <w:numPr>
          <w:ilvl w:val="0"/>
          <w:numId w:val="61"/>
        </w:numPr>
        <w:tabs>
          <w:tab w:val="clear" w:pos="1038"/>
          <w:tab w:val="num" w:pos="1068"/>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i/>
          <w:iCs/>
          <w:sz w:val="22"/>
          <w:szCs w:val="22"/>
        </w:rPr>
      </w:pPr>
      <w:r w:rsidRPr="00F25463">
        <w:rPr>
          <w:rFonts w:hAnsi="Times New Roman" w:cs="Times New Roman"/>
          <w:i/>
          <w:iCs/>
          <w:sz w:val="22"/>
          <w:szCs w:val="22"/>
        </w:rPr>
        <w:t>Sanction de la règle PACTA SUNT SERVANDA</w:t>
      </w:r>
    </w:p>
    <w:p w14:paraId="6C87E946"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 les trois étapes de cette règle ne sont pas respectées, L’État fautif engagera sa responsabilité internationale à l’endroit des autres signatures.</w:t>
      </w:r>
    </w:p>
    <w:p w14:paraId="350D154C" w14:textId="77777777" w:rsidR="00EC0180" w:rsidRPr="00F25463" w:rsidRDefault="00EC0180">
      <w:pPr>
        <w:pStyle w:val="Heading9"/>
        <w:tabs>
          <w:tab w:val="clear" w:pos="360"/>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1F6C99E" w14:textId="77777777" w:rsidR="00EC0180" w:rsidRPr="00F25463" w:rsidRDefault="004270F6">
      <w:pPr>
        <w:pStyle w:val="Heading9"/>
        <w:tabs>
          <w:tab w:val="clear" w:pos="360"/>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Champs d’application des traités</w:t>
      </w:r>
    </w:p>
    <w:p w14:paraId="03A19768"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93A1E8F"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Art 29 CVDT</w:t>
      </w:r>
      <w:r w:rsidRPr="00F25463">
        <w:rPr>
          <w:rFonts w:hAnsi="Times New Roman" w:cs="Times New Roman"/>
          <w:sz w:val="22"/>
          <w:szCs w:val="22"/>
        </w:rPr>
        <w:t xml:space="preserve"> : En principe, un traité s’applique à l’ensemble du territoire d’une partie contractante, sauf s’il est prévu dans le traité une </w:t>
      </w:r>
      <w:r w:rsidRPr="00F25463">
        <w:rPr>
          <w:rFonts w:hAnsi="Times New Roman" w:cs="Times New Roman"/>
          <w:i/>
          <w:iCs/>
          <w:sz w:val="22"/>
          <w:szCs w:val="22"/>
        </w:rPr>
        <w:t>clause fédérale</w:t>
      </w:r>
      <w:r w:rsidRPr="00F25463">
        <w:rPr>
          <w:rFonts w:hAnsi="Times New Roman" w:cs="Times New Roman"/>
          <w:sz w:val="22"/>
          <w:szCs w:val="22"/>
        </w:rPr>
        <w:t xml:space="preserve"> (on permet à l’état de préciser a quel niveau le traité s’applique (quel territoire) ex : au Canada sauf au Québec et en Ontario- permet a une fédération de s’engager en excluant certains membres de la fédération) ou </w:t>
      </w:r>
      <w:r w:rsidRPr="00F25463">
        <w:rPr>
          <w:rFonts w:hAnsi="Times New Roman" w:cs="Times New Roman"/>
          <w:i/>
          <w:iCs/>
          <w:sz w:val="22"/>
          <w:szCs w:val="22"/>
        </w:rPr>
        <w:t>une clause coloniale</w:t>
      </w:r>
      <w:r w:rsidRPr="00F25463">
        <w:rPr>
          <w:rFonts w:hAnsi="Times New Roman" w:cs="Times New Roman"/>
          <w:sz w:val="22"/>
          <w:szCs w:val="22"/>
        </w:rPr>
        <w:t xml:space="preserve"> (même chose, colonisateur s’engage pour lui sauf tel, tel colonies) </w:t>
      </w:r>
      <w:r w:rsidRPr="00F25463">
        <w:rPr>
          <w:rFonts w:hAnsi="Times New Roman" w:cs="Times New Roman"/>
          <w:b/>
          <w:bCs/>
          <w:sz w:val="22"/>
          <w:szCs w:val="22"/>
        </w:rPr>
        <w:t>excluant une partie de territoire</w:t>
      </w:r>
    </w:p>
    <w:p w14:paraId="75B35379" w14:textId="77777777" w:rsidR="00EC0180" w:rsidRPr="00F25463" w:rsidRDefault="004270F6" w:rsidP="004270F6">
      <w:pPr>
        <w:numPr>
          <w:ilvl w:val="0"/>
          <w:numId w:val="26"/>
        </w:numPr>
        <w:tabs>
          <w:tab w:val="clear" w:pos="1038"/>
          <w:tab w:val="num" w:pos="1068"/>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Permet un champs d’application plus restreint du traité</w:t>
      </w:r>
    </w:p>
    <w:p w14:paraId="7B964F00" w14:textId="77777777" w:rsidR="00EC0180" w:rsidRPr="00F25463" w:rsidRDefault="004270F6" w:rsidP="004270F6">
      <w:pPr>
        <w:numPr>
          <w:ilvl w:val="0"/>
          <w:numId w:val="26"/>
        </w:numPr>
        <w:tabs>
          <w:tab w:val="clear" w:pos="1038"/>
          <w:tab w:val="num" w:pos="1068"/>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Presque inexistant car il n’y a pas beaucoup de colonie.</w:t>
      </w:r>
    </w:p>
    <w:p w14:paraId="5061B18E"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p>
    <w:p w14:paraId="4EE5667B"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28 CVDT</w:t>
      </w:r>
      <w:r w:rsidRPr="00F25463">
        <w:rPr>
          <w:rFonts w:hAnsi="Times New Roman" w:cs="Times New Roman"/>
          <w:sz w:val="22"/>
          <w:szCs w:val="22"/>
        </w:rPr>
        <w:t xml:space="preserve"> : En principe, les dispositions d’un traité n’ont pas d’effets rétroactifs,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entre en vigueur à sa signature et donc ne produit des effets juridiques qu’à partir de ce moment là. (</w:t>
      </w:r>
      <w:proofErr w:type="gramStart"/>
      <w:r w:rsidRPr="00F25463">
        <w:rPr>
          <w:rFonts w:hAnsi="Times New Roman" w:cs="Times New Roman"/>
          <w:b/>
          <w:bCs/>
          <w:sz w:val="22"/>
          <w:szCs w:val="22"/>
        </w:rPr>
        <w:t>temporel</w:t>
      </w:r>
      <w:proofErr w:type="gramEnd"/>
      <w:r w:rsidRPr="00F25463">
        <w:rPr>
          <w:rFonts w:hAnsi="Times New Roman" w:cs="Times New Roman"/>
          <w:sz w:val="22"/>
          <w:szCs w:val="22"/>
        </w:rPr>
        <w:t>)</w:t>
      </w:r>
    </w:p>
    <w:p w14:paraId="51996AFA"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05A9E10D"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xml:space="preserve"> : L’Affaire </w:t>
      </w:r>
      <w:proofErr w:type="spellStart"/>
      <w:r w:rsidRPr="00F25463">
        <w:rPr>
          <w:rFonts w:hAnsi="Times New Roman" w:cs="Times New Roman"/>
          <w:sz w:val="22"/>
          <w:szCs w:val="22"/>
        </w:rPr>
        <w:t>DeBecker</w:t>
      </w:r>
      <w:proofErr w:type="spellEnd"/>
      <w:r w:rsidRPr="00F25463">
        <w:rPr>
          <w:rFonts w:hAnsi="Times New Roman" w:cs="Times New Roman"/>
          <w:sz w:val="22"/>
          <w:szCs w:val="22"/>
        </w:rPr>
        <w:t xml:space="preserve"> c. Belgique (1958) – confirmation de la non rétroactivité des dispositions des traités.</w:t>
      </w:r>
    </w:p>
    <w:p w14:paraId="612B563C"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En 1947, Becker, condamné à la prison à vie, est privé de tous ses droits civils.  En 1955, la Belgique adhère à la Convention d’Europe des droits de l’Homme.  En 1958, Becker allègue que sa sentence à vie viole l’art 10 de ladite convention.</w:t>
      </w:r>
    </w:p>
    <w:p w14:paraId="56982392"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59987D6"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En réponse aux allégations de Becker, la Belgique affirme que la sentence avait été rendue avant son adhésion au traité.  La sentence reste donc valable puisque la convention ne peut annuler une sentence antérieure à l’adhésion.</w:t>
      </w:r>
    </w:p>
    <w:p w14:paraId="0DFCD085"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6D84580"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Par contre, les effets de la sentence après 1955 sont contraires à la convention et donc peuvent être annulés.</w:t>
      </w:r>
    </w:p>
    <w:p w14:paraId="21EF0868"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A224D81"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Traités successifs</w:t>
      </w:r>
    </w:p>
    <w:p w14:paraId="410431E5"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FAE479" w14:textId="77777777" w:rsidR="00EC0180" w:rsidRPr="00F25463" w:rsidRDefault="004270F6" w:rsidP="004270F6">
      <w:pPr>
        <w:numPr>
          <w:ilvl w:val="0"/>
          <w:numId w:val="61"/>
        </w:numPr>
        <w:tabs>
          <w:tab w:val="clear" w:pos="1038"/>
          <w:tab w:val="num" w:pos="1068"/>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i/>
          <w:iCs/>
          <w:sz w:val="22"/>
          <w:szCs w:val="22"/>
        </w:rPr>
      </w:pPr>
      <w:r w:rsidRPr="00F25463">
        <w:rPr>
          <w:rFonts w:hAnsi="Times New Roman" w:cs="Times New Roman"/>
          <w:i/>
          <w:iCs/>
          <w:sz w:val="22"/>
          <w:szCs w:val="22"/>
        </w:rPr>
        <w:t>Concurrence des traités successifs (art 30, 41, 60 CVDT) (si contradictoire, on applique le plus ressent)</w:t>
      </w:r>
    </w:p>
    <w:p w14:paraId="2C1BDE55"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42D3DB1" w14:textId="77777777" w:rsidR="00EC0180" w:rsidRPr="00F25463" w:rsidRDefault="004270F6">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60 CVDT</w:t>
      </w:r>
      <w:r w:rsidRPr="00F25463">
        <w:rPr>
          <w:rFonts w:hAnsi="Times New Roman" w:cs="Times New Roman"/>
          <w:sz w:val="22"/>
          <w:szCs w:val="22"/>
        </w:rPr>
        <w:t xml:space="preserve"> : Les dispositions de la CVDT, sauf art 60, sont supplétives aux conventions et on peut y déroger,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que les traités particuliers peuvent y déroger.</w:t>
      </w:r>
    </w:p>
    <w:p w14:paraId="16A48ED6" w14:textId="77777777" w:rsidR="00EC0180" w:rsidRPr="00F25463" w:rsidRDefault="00EC0180">
      <w:pPr>
        <w:tabs>
          <w:tab w:val="left" w:pos="72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20871E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b/>
          <w:bCs/>
          <w:sz w:val="22"/>
          <w:szCs w:val="22"/>
        </w:rPr>
        <w:t>Exemple de traités successifs</w:t>
      </w:r>
      <w:r w:rsidRPr="00F25463">
        <w:rPr>
          <w:rFonts w:hAnsi="Times New Roman" w:cs="Times New Roman"/>
          <w:sz w:val="22"/>
          <w:szCs w:val="22"/>
        </w:rPr>
        <w:t> :</w:t>
      </w:r>
    </w:p>
    <w:p w14:paraId="59073DD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1) A et B signent un traité.</w:t>
      </w:r>
    </w:p>
    <w:p w14:paraId="05DBD8B8"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A et B signent un 2</w:t>
      </w:r>
      <w:r w:rsidRPr="00F25463">
        <w:rPr>
          <w:rFonts w:hAnsi="Times New Roman" w:cs="Times New Roman"/>
          <w:sz w:val="22"/>
          <w:szCs w:val="22"/>
          <w:vertAlign w:val="superscript"/>
        </w:rPr>
        <w:t>e</w:t>
      </w:r>
      <w:r w:rsidRPr="00F25463">
        <w:rPr>
          <w:rFonts w:hAnsi="Times New Roman" w:cs="Times New Roman"/>
          <w:sz w:val="22"/>
          <w:szCs w:val="22"/>
        </w:rPr>
        <w:t xml:space="preserve"> traité  4 mois plus tard</w:t>
      </w:r>
    </w:p>
    <w:p w14:paraId="5E15B121"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Si les 2 traités sont incompatibles, les États appliquent le 2</w:t>
      </w:r>
      <w:r w:rsidRPr="00F25463">
        <w:rPr>
          <w:rFonts w:hAnsi="Times New Roman" w:cs="Times New Roman"/>
          <w:sz w:val="22"/>
          <w:szCs w:val="22"/>
          <w:vertAlign w:val="superscript"/>
        </w:rPr>
        <w:t>e</w:t>
      </w:r>
      <w:r w:rsidRPr="00F25463">
        <w:rPr>
          <w:rFonts w:hAnsi="Times New Roman" w:cs="Times New Roman"/>
          <w:sz w:val="22"/>
          <w:szCs w:val="22"/>
        </w:rPr>
        <w:t xml:space="preserve"> traité (par contre, si les 2 traité se complète ou qu’il ne porte pas sur le même sujet alors pas de problème.</w:t>
      </w:r>
    </w:p>
    <w:p w14:paraId="0139383A"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B2EB881"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2) Des États A, B, C et D concluent un 1</w:t>
      </w:r>
      <w:r w:rsidRPr="00F25463">
        <w:rPr>
          <w:rFonts w:hAnsi="Times New Roman" w:cs="Times New Roman"/>
          <w:sz w:val="22"/>
          <w:szCs w:val="22"/>
          <w:vertAlign w:val="superscript"/>
        </w:rPr>
        <w:t>er</w:t>
      </w:r>
      <w:r w:rsidRPr="00F25463">
        <w:rPr>
          <w:rFonts w:hAnsi="Times New Roman" w:cs="Times New Roman"/>
          <w:sz w:val="22"/>
          <w:szCs w:val="22"/>
        </w:rPr>
        <w:t xml:space="preserve"> traité (1</w:t>
      </w:r>
      <w:r w:rsidRPr="00F25463">
        <w:rPr>
          <w:rFonts w:hAnsi="Times New Roman" w:cs="Times New Roman"/>
          <w:sz w:val="22"/>
          <w:szCs w:val="22"/>
          <w:vertAlign w:val="superscript"/>
        </w:rPr>
        <w:t>e</w:t>
      </w:r>
      <w:r w:rsidRPr="00F25463">
        <w:rPr>
          <w:rFonts w:hAnsi="Times New Roman" w:cs="Times New Roman"/>
          <w:sz w:val="22"/>
          <w:szCs w:val="22"/>
        </w:rPr>
        <w:t xml:space="preserve"> </w:t>
      </w:r>
      <w:proofErr w:type="spellStart"/>
      <w:r w:rsidRPr="00F25463">
        <w:rPr>
          <w:rFonts w:hAnsi="Times New Roman" w:cs="Times New Roman"/>
          <w:sz w:val="22"/>
          <w:szCs w:val="22"/>
        </w:rPr>
        <w:t>dec</w:t>
      </w:r>
      <w:proofErr w:type="spellEnd"/>
      <w:r w:rsidRPr="00F25463">
        <w:rPr>
          <w:rFonts w:hAnsi="Times New Roman" w:cs="Times New Roman"/>
          <w:sz w:val="22"/>
          <w:szCs w:val="22"/>
        </w:rPr>
        <w:t>.)</w:t>
      </w:r>
    </w:p>
    <w:p w14:paraId="1A68DF85"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Les États B, C et E concluent un 2</w:t>
      </w:r>
      <w:r w:rsidRPr="00F25463">
        <w:rPr>
          <w:rFonts w:hAnsi="Times New Roman" w:cs="Times New Roman"/>
          <w:sz w:val="22"/>
          <w:szCs w:val="22"/>
          <w:vertAlign w:val="superscript"/>
        </w:rPr>
        <w:t>e</w:t>
      </w:r>
      <w:r w:rsidRPr="00F25463">
        <w:rPr>
          <w:rFonts w:hAnsi="Times New Roman" w:cs="Times New Roman"/>
          <w:sz w:val="22"/>
          <w:szCs w:val="22"/>
        </w:rPr>
        <w:t xml:space="preserve"> traité (1</w:t>
      </w:r>
      <w:r w:rsidRPr="00F25463">
        <w:rPr>
          <w:rFonts w:hAnsi="Times New Roman" w:cs="Times New Roman"/>
          <w:sz w:val="22"/>
          <w:szCs w:val="22"/>
          <w:vertAlign w:val="superscript"/>
        </w:rPr>
        <w:t>er</w:t>
      </w:r>
      <w:r w:rsidRPr="00F25463">
        <w:rPr>
          <w:rFonts w:hAnsi="Times New Roman" w:cs="Times New Roman"/>
          <w:sz w:val="22"/>
          <w:szCs w:val="22"/>
        </w:rPr>
        <w:t xml:space="preserve"> jan)</w:t>
      </w:r>
    </w:p>
    <w:p w14:paraId="4453A834"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S’appliquera entre les États :</w:t>
      </w:r>
    </w:p>
    <w:p w14:paraId="58689B8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A et B, A et C, A et D, B et D, C et D = 1</w:t>
      </w:r>
      <w:r w:rsidRPr="00F25463">
        <w:rPr>
          <w:rFonts w:hAnsi="Times New Roman" w:cs="Times New Roman"/>
          <w:sz w:val="22"/>
          <w:szCs w:val="22"/>
          <w:vertAlign w:val="superscript"/>
        </w:rPr>
        <w:t>er</w:t>
      </w:r>
      <w:r w:rsidRPr="00F25463">
        <w:rPr>
          <w:rFonts w:hAnsi="Times New Roman" w:cs="Times New Roman"/>
          <w:sz w:val="22"/>
          <w:szCs w:val="22"/>
        </w:rPr>
        <w:t xml:space="preserve"> traité</w:t>
      </w:r>
    </w:p>
    <w:p w14:paraId="4023A140"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B et C : si incompatible, le 2</w:t>
      </w:r>
      <w:r w:rsidRPr="00F25463">
        <w:rPr>
          <w:rFonts w:hAnsi="Times New Roman" w:cs="Times New Roman"/>
          <w:sz w:val="22"/>
          <w:szCs w:val="22"/>
          <w:vertAlign w:val="superscript"/>
        </w:rPr>
        <w:t>e</w:t>
      </w:r>
      <w:r w:rsidRPr="00F25463">
        <w:rPr>
          <w:rFonts w:hAnsi="Times New Roman" w:cs="Times New Roman"/>
          <w:sz w:val="22"/>
          <w:szCs w:val="22"/>
        </w:rPr>
        <w:t xml:space="preserve"> traité</w:t>
      </w:r>
    </w:p>
    <w:p w14:paraId="31EDDCDB" w14:textId="77777777" w:rsidR="00EC0180" w:rsidRPr="00F25463" w:rsidRDefault="004270F6" w:rsidP="004270F6">
      <w:pPr>
        <w:numPr>
          <w:ilvl w:val="0"/>
          <w:numId w:val="62"/>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sz w:val="22"/>
          <w:szCs w:val="22"/>
          <w:vertAlign w:val="superscript"/>
          <w:lang w:val="de-DE"/>
        </w:rPr>
      </w:pPr>
      <w:r w:rsidRPr="00F25463">
        <w:rPr>
          <w:rFonts w:hAnsi="Times New Roman" w:cs="Times New Roman"/>
          <w:sz w:val="22"/>
          <w:szCs w:val="22"/>
          <w:lang w:val="de-DE"/>
        </w:rPr>
        <w:t>B et E : 2</w:t>
      </w:r>
      <w:r w:rsidRPr="00F25463">
        <w:rPr>
          <w:rFonts w:hAnsi="Times New Roman" w:cs="Times New Roman"/>
          <w:sz w:val="22"/>
          <w:szCs w:val="22"/>
          <w:vertAlign w:val="superscript"/>
          <w:lang w:val="de-DE"/>
        </w:rPr>
        <w:t>e</w:t>
      </w:r>
    </w:p>
    <w:p w14:paraId="0D3E97C7" w14:textId="77777777" w:rsidR="00EC0180" w:rsidRPr="00F25463" w:rsidRDefault="004270F6" w:rsidP="004270F6">
      <w:pPr>
        <w:numPr>
          <w:ilvl w:val="0"/>
          <w:numId w:val="63"/>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sz w:val="22"/>
          <w:szCs w:val="22"/>
          <w:lang w:val="de-DE"/>
        </w:rPr>
      </w:pPr>
      <w:r w:rsidRPr="00F25463">
        <w:rPr>
          <w:rFonts w:hAnsi="Times New Roman" w:cs="Times New Roman"/>
          <w:sz w:val="22"/>
          <w:szCs w:val="22"/>
          <w:lang w:val="de-DE"/>
        </w:rPr>
        <w:t>C et E: 2e</w:t>
      </w:r>
    </w:p>
    <w:p w14:paraId="3551551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A et E: aucun traité</w:t>
      </w:r>
    </w:p>
    <w:p w14:paraId="0C39CB6B"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03D719C"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Problème : Si les États B et C, appliquant le 2</w:t>
      </w:r>
      <w:r w:rsidRPr="00F25463">
        <w:rPr>
          <w:rFonts w:hAnsi="Times New Roman" w:cs="Times New Roman"/>
          <w:sz w:val="22"/>
          <w:szCs w:val="22"/>
          <w:vertAlign w:val="superscript"/>
        </w:rPr>
        <w:t>e</w:t>
      </w:r>
      <w:r w:rsidRPr="00F25463">
        <w:rPr>
          <w:rFonts w:hAnsi="Times New Roman" w:cs="Times New Roman"/>
          <w:sz w:val="22"/>
          <w:szCs w:val="22"/>
        </w:rPr>
        <w:t xml:space="preserve"> traité et empêchent la réalisation de l’objet ou  du but du 1</w:t>
      </w:r>
      <w:r w:rsidRPr="00F25463">
        <w:rPr>
          <w:rFonts w:hAnsi="Times New Roman" w:cs="Times New Roman"/>
          <w:sz w:val="22"/>
          <w:szCs w:val="22"/>
          <w:vertAlign w:val="superscript"/>
        </w:rPr>
        <w:t>er</w:t>
      </w:r>
      <w:r w:rsidRPr="00F25463">
        <w:rPr>
          <w:rFonts w:hAnsi="Times New Roman" w:cs="Times New Roman"/>
          <w:sz w:val="22"/>
          <w:szCs w:val="22"/>
        </w:rPr>
        <w:t xml:space="preserve"> traité, comment les États A et D pourront réagir ?</w:t>
      </w:r>
    </w:p>
    <w:p w14:paraId="703C27D0"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D054F7"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Solution</w:t>
      </w:r>
      <w:r w:rsidRPr="00F25463">
        <w:rPr>
          <w:rFonts w:hAnsi="Times New Roman" w:cs="Times New Roman"/>
          <w:sz w:val="22"/>
          <w:szCs w:val="22"/>
        </w:rPr>
        <w:t> </w:t>
      </w:r>
      <w:r w:rsidRPr="00F25463">
        <w:rPr>
          <w:rFonts w:hAnsi="Times New Roman" w:cs="Times New Roman"/>
          <w:b/>
          <w:bCs/>
          <w:sz w:val="22"/>
          <w:szCs w:val="22"/>
        </w:rPr>
        <w:t xml:space="preserve"> 1 : art 60 (2) a) CVDT</w:t>
      </w:r>
      <w:r w:rsidRPr="00F25463">
        <w:rPr>
          <w:rFonts w:hAnsi="Times New Roman" w:cs="Times New Roman"/>
          <w:sz w:val="22"/>
          <w:szCs w:val="22"/>
        </w:rPr>
        <w:t>: Les États peuvent décider d’un accord unanime, de suspendre en tout ou en partie l’application du 1</w:t>
      </w:r>
      <w:r w:rsidRPr="00F25463">
        <w:rPr>
          <w:rFonts w:hAnsi="Times New Roman" w:cs="Times New Roman"/>
          <w:sz w:val="22"/>
          <w:szCs w:val="22"/>
          <w:vertAlign w:val="superscript"/>
        </w:rPr>
        <w:t>er</w:t>
      </w:r>
      <w:r w:rsidRPr="00F25463">
        <w:rPr>
          <w:rFonts w:hAnsi="Times New Roman" w:cs="Times New Roman"/>
          <w:sz w:val="22"/>
          <w:szCs w:val="22"/>
        </w:rPr>
        <w:t xml:space="preserve"> traité ou d’y mettre fin : </w:t>
      </w:r>
    </w:p>
    <w:p w14:paraId="2958720E"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soit entre eux (i.e. A et D) et les États auteurs de la violation (i.e. B et C)</w:t>
      </w:r>
    </w:p>
    <w:p w14:paraId="411C534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soit entre toutes les parties</w:t>
      </w:r>
    </w:p>
    <w:p w14:paraId="76B2F273"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A0C200F"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Solution 2 : art 60 (2) b) CVDT</w:t>
      </w:r>
      <w:r w:rsidRPr="00F25463">
        <w:rPr>
          <w:rFonts w:hAnsi="Times New Roman" w:cs="Times New Roman"/>
          <w:sz w:val="22"/>
          <w:szCs w:val="22"/>
        </w:rPr>
        <w:t> : S’il n’y a pas d’accord unanime, une partie spécialement atteinte (A ou D) par la violation de B et C peut demander seul la suspension en tout ou en partie du 1</w:t>
      </w:r>
      <w:r w:rsidRPr="00F25463">
        <w:rPr>
          <w:rFonts w:hAnsi="Times New Roman" w:cs="Times New Roman"/>
          <w:sz w:val="22"/>
          <w:szCs w:val="22"/>
          <w:vertAlign w:val="superscript"/>
        </w:rPr>
        <w:t>er</w:t>
      </w:r>
      <w:r w:rsidRPr="00F25463">
        <w:rPr>
          <w:rFonts w:hAnsi="Times New Roman" w:cs="Times New Roman"/>
          <w:sz w:val="22"/>
          <w:szCs w:val="22"/>
        </w:rPr>
        <w:t xml:space="preserve"> traité entre lui-même et les États auteurs de la violation </w:t>
      </w:r>
      <w:proofErr w:type="gramStart"/>
      <w:r w:rsidRPr="00F25463">
        <w:rPr>
          <w:rFonts w:hAnsi="Times New Roman" w:cs="Times New Roman"/>
          <w:sz w:val="22"/>
          <w:szCs w:val="22"/>
        </w:rPr>
        <w:t>( B</w:t>
      </w:r>
      <w:proofErr w:type="gramEnd"/>
      <w:r w:rsidRPr="00F25463">
        <w:rPr>
          <w:rFonts w:hAnsi="Times New Roman" w:cs="Times New Roman"/>
          <w:sz w:val="22"/>
          <w:szCs w:val="22"/>
        </w:rPr>
        <w:t xml:space="preserve"> et C).</w:t>
      </w:r>
    </w:p>
    <w:p w14:paraId="4E36CA12"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F30096"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autres solutions additionnelles : représailles ou rétorsion (sanctions politiques ou économiques)</w:t>
      </w:r>
    </w:p>
    <w:p w14:paraId="536A517C"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0C4D777"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Solution 3 : art 65 CVDT (suspension):</w:t>
      </w:r>
      <w:r w:rsidRPr="00F25463">
        <w:rPr>
          <w:rFonts w:hAnsi="Times New Roman" w:cs="Times New Roman"/>
          <w:sz w:val="22"/>
          <w:szCs w:val="22"/>
        </w:rPr>
        <w:t xml:space="preserve"> Procédure d’extinction des traités se fait par avis d’au moins 3 mois aux autres États qui peuvent s’y opposer.  S’il y a opposition et que le 12</w:t>
      </w:r>
      <w:r w:rsidRPr="00F25463">
        <w:rPr>
          <w:rFonts w:hAnsi="Times New Roman" w:cs="Times New Roman"/>
          <w:sz w:val="22"/>
          <w:szCs w:val="22"/>
          <w:vertAlign w:val="superscript"/>
        </w:rPr>
        <w:t>e</w:t>
      </w:r>
      <w:r w:rsidRPr="00F25463">
        <w:rPr>
          <w:rFonts w:hAnsi="Times New Roman" w:cs="Times New Roman"/>
          <w:sz w:val="22"/>
          <w:szCs w:val="22"/>
        </w:rPr>
        <w:t xml:space="preserve"> mois de cette opposition aucune solution n’est trouvé, le différent sera porté devant la CIJ ou en arbitrage.</w:t>
      </w:r>
    </w:p>
    <w:p w14:paraId="0A8ACCC5"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9DE618F"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67 CVDT</w:t>
      </w:r>
      <w:r w:rsidRPr="00F25463">
        <w:rPr>
          <w:rFonts w:hAnsi="Times New Roman" w:cs="Times New Roman"/>
          <w:sz w:val="22"/>
          <w:szCs w:val="22"/>
        </w:rPr>
        <w:t> : la nullité d’un traité se transmet pas écrit aux autres États</w:t>
      </w:r>
    </w:p>
    <w:p w14:paraId="33516312" w14:textId="77777777" w:rsidR="00EC0180" w:rsidRPr="00F25463" w:rsidRDefault="004270F6">
      <w:pPr>
        <w:pStyle w:val="Heading4"/>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Art 66 CVDT</w:t>
      </w:r>
    </w:p>
    <w:p w14:paraId="54528540"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7CCECEAC"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En violant un traité, un État engage </w:t>
      </w:r>
      <w:proofErr w:type="gramStart"/>
      <w:r w:rsidRPr="00F25463">
        <w:rPr>
          <w:rFonts w:hAnsi="Times New Roman" w:cs="Times New Roman"/>
          <w:sz w:val="22"/>
          <w:szCs w:val="22"/>
        </w:rPr>
        <w:t>sa responsabilité international</w:t>
      </w:r>
      <w:proofErr w:type="gramEnd"/>
    </w:p>
    <w:p w14:paraId="24DBA84D"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19D469B7"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Effet des traités à l’égard des tiers (art 34 à 38 CVDT)</w:t>
      </w:r>
    </w:p>
    <w:p w14:paraId="04E85FDC" w14:textId="77777777" w:rsidR="00EC0180" w:rsidRPr="00F25463" w:rsidRDefault="00EC0180">
      <w:pPr>
        <w:tabs>
          <w:tab w:val="left" w:pos="186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61B22E3F" w14:textId="77777777" w:rsidR="00EC0180" w:rsidRPr="00F25463" w:rsidRDefault="004270F6">
      <w:pPr>
        <w:tabs>
          <w:tab w:val="left" w:pos="186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Ex : traité entre A, B, C et D.  E est un tiers</w:t>
      </w:r>
    </w:p>
    <w:p w14:paraId="0BA510FD" w14:textId="77777777" w:rsidR="00EC0180" w:rsidRPr="00F25463" w:rsidRDefault="004270F6">
      <w:pPr>
        <w:tabs>
          <w:tab w:val="left" w:pos="186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r>
    </w:p>
    <w:p w14:paraId="5689752D"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Relativité des traité : ``</w:t>
      </w:r>
      <w:r w:rsidRPr="00F25463">
        <w:rPr>
          <w:rFonts w:hAnsi="Times New Roman" w:cs="Times New Roman"/>
          <w:sz w:val="22"/>
          <w:szCs w:val="22"/>
        </w:rPr>
        <w:t xml:space="preserve">La règle </w:t>
      </w:r>
      <w:proofErr w:type="spellStart"/>
      <w:r w:rsidRPr="00F25463">
        <w:rPr>
          <w:rFonts w:hAnsi="Times New Roman" w:cs="Times New Roman"/>
          <w:sz w:val="22"/>
          <w:szCs w:val="22"/>
        </w:rPr>
        <w:t>Res</w:t>
      </w:r>
      <w:proofErr w:type="spellEnd"/>
      <w:r w:rsidRPr="00F25463">
        <w:rPr>
          <w:rFonts w:hAnsi="Times New Roman" w:cs="Times New Roman"/>
          <w:sz w:val="22"/>
          <w:szCs w:val="22"/>
        </w:rPr>
        <w:t xml:space="preserve"> Inter Alias Acta``</w:t>
      </w:r>
      <w:r w:rsidRPr="00F25463">
        <w:rPr>
          <w:rFonts w:hAnsi="Times New Roman" w:cs="Times New Roman"/>
          <w:b/>
          <w:bCs/>
          <w:sz w:val="22"/>
          <w:szCs w:val="22"/>
        </w:rPr>
        <w:t xml:space="preserve"> : </w:t>
      </w:r>
    </w:p>
    <w:p w14:paraId="7261332F"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5F58B3C"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lastRenderedPageBreak/>
        <w:t>Art 34 CVDT</w:t>
      </w:r>
      <w:r w:rsidRPr="00F25463">
        <w:rPr>
          <w:rFonts w:hAnsi="Times New Roman" w:cs="Times New Roman"/>
          <w:sz w:val="22"/>
          <w:szCs w:val="22"/>
        </w:rPr>
        <w:t> : Les effets juridiques d’un traité sont strictement limités aux États contractants. Ne peu ni nuire ou touché au tiers, peu pas créer ni de droit ni d’obligation (règle de droit coutumier codifié)</w:t>
      </w:r>
    </w:p>
    <w:p w14:paraId="07EB4BB3"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Exception</w:t>
      </w:r>
      <w:r w:rsidRPr="00F25463">
        <w:rPr>
          <w:rFonts w:hAnsi="Times New Roman" w:cs="Times New Roman"/>
          <w:sz w:val="22"/>
          <w:szCs w:val="22"/>
        </w:rPr>
        <w:t> : assouplissement au principe de l’effet relatif des traités (art 35 à 37 CVDT)</w:t>
      </w:r>
    </w:p>
    <w:p w14:paraId="68C3CFC4"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B0685D1"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35 à 37 CVDT</w:t>
      </w:r>
      <w:r w:rsidRPr="00F25463">
        <w:rPr>
          <w:rFonts w:hAnsi="Times New Roman" w:cs="Times New Roman"/>
          <w:sz w:val="22"/>
          <w:szCs w:val="22"/>
        </w:rPr>
        <w:t xml:space="preserve"> : Les articles 35 à 37 CVDT permettent d’étendre les effets des traités à des États tiers d’une manière compatible avec la souveraineté de ces États à certaines conditions </w:t>
      </w:r>
    </w:p>
    <w:p w14:paraId="0448872F"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76CAE5" w14:textId="77777777" w:rsidR="00EC0180" w:rsidRPr="00F25463" w:rsidRDefault="004270F6" w:rsidP="004270F6">
      <w:pPr>
        <w:numPr>
          <w:ilvl w:val="0"/>
          <w:numId w:val="64"/>
        </w:numPr>
        <w:tabs>
          <w:tab w:val="clear" w:pos="690"/>
          <w:tab w:val="num" w:pos="720"/>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Il faut que les parties au traité aient manifesté leur intention de créer une obligation ou un droit en faveur d’un État précis, un groupe d’États ou un ensemble de communautés au moyen d’une disposition dans le traité (clause).</w:t>
      </w:r>
    </w:p>
    <w:p w14:paraId="0152B592"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Les règles sont différentes selon que la disposition crée une obligation pour un État tiers ou un droit.</w:t>
      </w:r>
    </w:p>
    <w:p w14:paraId="5D0C579D" w14:textId="77777777" w:rsidR="00EC0180" w:rsidRPr="00F25463" w:rsidRDefault="004270F6" w:rsidP="004270F6">
      <w:pPr>
        <w:numPr>
          <w:ilvl w:val="0"/>
          <w:numId w:val="64"/>
        </w:numPr>
        <w:tabs>
          <w:tab w:val="clear" w:pos="690"/>
          <w:tab w:val="num" w:pos="720"/>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Une clause peu crée une obligation ou un droit, si elle crée une obligation en faveur de E (tiers), E doit accepter expressément par écrit l’obligation (tiers doit accepter par écrit).  Le tiers ne va être lié que dans la mesure ou il a </w:t>
      </w:r>
      <w:proofErr w:type="gramStart"/>
      <w:r w:rsidRPr="00F25463">
        <w:rPr>
          <w:rFonts w:hAnsi="Times New Roman" w:cs="Times New Roman"/>
          <w:sz w:val="22"/>
          <w:szCs w:val="22"/>
        </w:rPr>
        <w:t>accepter</w:t>
      </w:r>
      <w:proofErr w:type="gramEnd"/>
      <w:r w:rsidRPr="00F25463">
        <w:rPr>
          <w:rFonts w:hAnsi="Times New Roman" w:cs="Times New Roman"/>
          <w:sz w:val="22"/>
          <w:szCs w:val="22"/>
        </w:rPr>
        <w:t xml:space="preserve"> l’obligation, que sous la mesure des réserves et des conditions qu’il aura énoncé dans celle-ci.</w:t>
      </w:r>
    </w:p>
    <w:p w14:paraId="3D89F701"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0D5C5EA"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b/>
          <w:bCs/>
          <w:sz w:val="22"/>
          <w:szCs w:val="22"/>
        </w:rPr>
        <w:t>Exemple</w:t>
      </w:r>
      <w:r w:rsidRPr="00F25463">
        <w:rPr>
          <w:rFonts w:hAnsi="Times New Roman" w:cs="Times New Roman"/>
          <w:sz w:val="22"/>
          <w:szCs w:val="22"/>
        </w:rPr>
        <w:t> : Affaire des Zones franches de Haute Savoie 1932.</w:t>
      </w:r>
    </w:p>
    <w:p w14:paraId="54169911"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Faits</w:t>
      </w:r>
      <w:r w:rsidRPr="00F25463">
        <w:rPr>
          <w:rFonts w:hAnsi="Times New Roman" w:cs="Times New Roman"/>
          <w:sz w:val="22"/>
          <w:szCs w:val="22"/>
        </w:rPr>
        <w:t> :</w:t>
      </w:r>
    </w:p>
    <w:p w14:paraId="01FB132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1814 : Un traité est conclu à Vienne entre la France et 7 autres États européens dans le but de reconnaître la neutralité permanente de la Suisse. Ce traité créer en faveur de la Suisse des Zones Franche à l’intérieur du territoire français, (ça permet de traverser ces zones sans payer des taxes douanières)</w:t>
      </w:r>
    </w:p>
    <w:p w14:paraId="181A307C"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1919 : l’art 435 du traité de Versailles propose que puisque les zones franches en faveur de la Suisse ne correspondent plus à la situation réelle, la France devrait donc renégocier avec la Suisse pour se débarrasser de ces zones. La Suisse ne fait pas partie du traité parce qu’elle est un état neutre lors de la première guerre mondiale.</w:t>
      </w:r>
    </w:p>
    <w:p w14:paraId="3FC2C7D0"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Suisse a accepté l’art 435, mais elle a fait des réserves (tempérament, exceptions) : Elle refuse l’élimination des zones franches mais elle accepte qu’on les réaménage.  Elle soutenait que ces zones correspondaient à la réalité.</w:t>
      </w:r>
    </w:p>
    <w:p w14:paraId="2E783AF9"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57B3613"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Décision</w:t>
      </w:r>
      <w:r w:rsidRPr="00F25463">
        <w:rPr>
          <w:rFonts w:hAnsi="Times New Roman" w:cs="Times New Roman"/>
          <w:sz w:val="22"/>
          <w:szCs w:val="22"/>
        </w:rPr>
        <w:t xml:space="preserve"> de la CIJ  (ratio) :</w:t>
      </w:r>
    </w:p>
    <w:p w14:paraId="72D66C03"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L’État tiers (la Suisse) n’est pas liée par les obligations que sous les réserves et les conditions exprimées dans son acceptation écrite (ratio)</w:t>
      </w:r>
    </w:p>
    <w:p w14:paraId="26FAAB9F" w14:textId="77777777" w:rsidR="00EC0180" w:rsidRPr="00F25463" w:rsidRDefault="00EC0180">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996C867"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Art 37 (1) CVDT</w:t>
      </w:r>
      <w:r w:rsidRPr="00F25463">
        <w:rPr>
          <w:rFonts w:hAnsi="Times New Roman" w:cs="Times New Roman"/>
          <w:sz w:val="22"/>
          <w:szCs w:val="22"/>
        </w:rPr>
        <w:t> : L’Obligation créée et acceptée par l’État tiers ne peut être révoqué ou modifiée que par le consentement des parties au traité ET de l’État tiers.  (</w:t>
      </w:r>
      <w:proofErr w:type="gramStart"/>
      <w:r w:rsidRPr="00F25463">
        <w:rPr>
          <w:rFonts w:hAnsi="Times New Roman" w:cs="Times New Roman"/>
          <w:sz w:val="22"/>
          <w:szCs w:val="22"/>
        </w:rPr>
        <w:t>ne</w:t>
      </w:r>
      <w:proofErr w:type="gramEnd"/>
      <w:r w:rsidRPr="00F25463">
        <w:rPr>
          <w:rFonts w:hAnsi="Times New Roman" w:cs="Times New Roman"/>
          <w:sz w:val="22"/>
          <w:szCs w:val="22"/>
        </w:rPr>
        <w:t xml:space="preserve"> se fait pas par décision unilatérale).</w:t>
      </w:r>
    </w:p>
    <w:p w14:paraId="289308DC" w14:textId="77777777" w:rsidR="00EC0180" w:rsidRPr="00F25463" w:rsidRDefault="004270F6">
      <w:pPr>
        <w:tabs>
          <w:tab w:val="left"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 A, B, C et D ne peuvent révoquer la clause unilatéralement, peut que par le consentement de l’État tiers qui avait accepter et par les État parties au traité.</w:t>
      </w:r>
    </w:p>
    <w:p w14:paraId="2BC7BA1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2839BEF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36 CVDT : </w:t>
      </w:r>
      <w:r w:rsidRPr="00F25463">
        <w:rPr>
          <w:rFonts w:hAnsi="Times New Roman" w:cs="Times New Roman"/>
          <w:sz w:val="22"/>
          <w:szCs w:val="22"/>
        </w:rPr>
        <w:t xml:space="preserve"> Lorsqu’on crée, par un traité, des droits à un État tiers le consentement de ce dernier est présumé sauf dispositions contraires.</w:t>
      </w:r>
    </w:p>
    <w:p w14:paraId="4A61058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71E753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Ex 2 : art.32 de la CNU</w:t>
      </w:r>
    </w:p>
    <w:p w14:paraId="3683C96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Ex : Utilisation surtout sur les voies navigables</w:t>
      </w:r>
    </w:p>
    <w:p w14:paraId="78D12E2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canal de suez 1888- 8 états ont conclu un traité qui reconnaît la liberté de </w:t>
      </w:r>
    </w:p>
    <w:p w14:paraId="0BE49CE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roofErr w:type="gramStart"/>
      <w:r w:rsidRPr="00F25463">
        <w:rPr>
          <w:rFonts w:hAnsi="Times New Roman" w:cs="Times New Roman"/>
          <w:sz w:val="22"/>
          <w:szCs w:val="22"/>
        </w:rPr>
        <w:t>navigation</w:t>
      </w:r>
      <w:proofErr w:type="gramEnd"/>
      <w:r w:rsidRPr="00F25463">
        <w:rPr>
          <w:rFonts w:hAnsi="Times New Roman" w:cs="Times New Roman"/>
          <w:sz w:val="22"/>
          <w:szCs w:val="22"/>
        </w:rPr>
        <w:t xml:space="preserve"> </w:t>
      </w:r>
      <w:proofErr w:type="spellStart"/>
      <w:r w:rsidRPr="00F25463">
        <w:rPr>
          <w:rFonts w:hAnsi="Times New Roman" w:cs="Times New Roman"/>
          <w:sz w:val="22"/>
          <w:szCs w:val="22"/>
        </w:rPr>
        <w:t>ds</w:t>
      </w:r>
      <w:proofErr w:type="spellEnd"/>
      <w:r w:rsidRPr="00F25463">
        <w:rPr>
          <w:rFonts w:hAnsi="Times New Roman" w:cs="Times New Roman"/>
          <w:sz w:val="22"/>
          <w:szCs w:val="22"/>
        </w:rPr>
        <w:t xml:space="preserve"> le canal</w:t>
      </w:r>
    </w:p>
    <w:p w14:paraId="5C644B2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 xml:space="preserve"> -  même chose pour canal de panama. </w:t>
      </w:r>
    </w:p>
    <w:p w14:paraId="0EA4972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B466CA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37 (2) CVDT : </w:t>
      </w:r>
      <w:r w:rsidRPr="00F25463">
        <w:rPr>
          <w:rFonts w:hAnsi="Times New Roman" w:cs="Times New Roman"/>
          <w:sz w:val="22"/>
          <w:szCs w:val="22"/>
        </w:rPr>
        <w:t>Le droit qui est conféré peut être révoqué ou modifié que par les parties et avec le consentement de l’État tiers sauf disposition contraire du traité.</w:t>
      </w:r>
    </w:p>
    <w:p w14:paraId="37C4490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033122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424D006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r w:rsidRPr="00F25463">
        <w:rPr>
          <w:rFonts w:hAnsi="Times New Roman" w:cs="Times New Roman"/>
          <w:sz w:val="22"/>
          <w:szCs w:val="22"/>
        </w:rPr>
        <w:lastRenderedPageBreak/>
        <w:t>Commentaire sur le principe de la relativité des traités</w:t>
      </w:r>
    </w:p>
    <w:p w14:paraId="1F14F77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02655643" w14:textId="77777777" w:rsidR="00EC0180" w:rsidRPr="00F25463" w:rsidRDefault="004270F6" w:rsidP="004270F6">
      <w:pPr>
        <w:numPr>
          <w:ilvl w:val="0"/>
          <w:numId w:val="6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Rien ne s’oppose à ce qu’une disposition d’un traité devienne du droit coutumier. Si elle devient du droit coutumier, elle est applicable à tous les états et non seulement aux états qui faisaient partis au traité.</w:t>
      </w:r>
    </w:p>
    <w:p w14:paraId="04AB024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Explication : À l’origine, la Suisse a été déclarée neutre par 8 États européens, dans un traité.  Aujourd’hui, le Canada considère la Suisse comme un pays neutre même s’il ne faisait pas partie du traité à l’origine.  C’est devenu du droit coutumier.</w:t>
      </w:r>
    </w:p>
    <w:p w14:paraId="2F82877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Exemple : USA</w:t>
      </w:r>
    </w:p>
    <w:p w14:paraId="3D943A9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color w:val="FF0000"/>
          <w:sz w:val="22"/>
          <w:szCs w:val="22"/>
        </w:rPr>
      </w:pPr>
    </w:p>
    <w:p w14:paraId="7A977C70" w14:textId="77777777" w:rsidR="00EC0180" w:rsidRPr="00F25463" w:rsidRDefault="004270F6" w:rsidP="004270F6">
      <w:pPr>
        <w:numPr>
          <w:ilvl w:val="0"/>
          <w:numId w:val="6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Quand un traité codifie du droit coutumier, il s’applique à tous les États.</w:t>
      </w:r>
    </w:p>
    <w:p w14:paraId="208DE03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DDF0D1E" w14:textId="77777777" w:rsidR="00EC0180" w:rsidRPr="00F25463" w:rsidRDefault="004270F6" w:rsidP="004270F6">
      <w:pPr>
        <w:numPr>
          <w:ilvl w:val="0"/>
          <w:numId w:val="6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i/>
          <w:iCs/>
          <w:sz w:val="22"/>
          <w:szCs w:val="22"/>
        </w:rPr>
        <w:t>La clause de la nation la plus favorisée</w:t>
      </w:r>
      <w:r w:rsidRPr="00F25463">
        <w:rPr>
          <w:rFonts w:hAnsi="Times New Roman" w:cs="Times New Roman"/>
          <w:sz w:val="22"/>
          <w:szCs w:val="22"/>
        </w:rPr>
        <w:t xml:space="preserve"> est une exception au principe de la relativité des traités</w:t>
      </w:r>
    </w:p>
    <w:p w14:paraId="71073D1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firstLine="708"/>
        <w:jc w:val="both"/>
        <w:rPr>
          <w:rFonts w:hAnsi="Times New Roman" w:cs="Times New Roman"/>
          <w:sz w:val="22"/>
          <w:szCs w:val="22"/>
        </w:rPr>
      </w:pPr>
      <w:r w:rsidRPr="00F25463">
        <w:rPr>
          <w:rFonts w:hAnsi="Times New Roman" w:cs="Times New Roman"/>
          <w:sz w:val="22"/>
          <w:szCs w:val="22"/>
        </w:rPr>
        <w:t>-Tout le monde en profite – souvent traité commerciaux.</w:t>
      </w:r>
    </w:p>
    <w:p w14:paraId="3DC0A69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2C441C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i/>
          <w:iCs/>
          <w:sz w:val="22"/>
          <w:szCs w:val="22"/>
        </w:rPr>
        <w:t>La clause de la nation la plus favorisé es</w:t>
      </w:r>
      <w:r w:rsidRPr="00F25463">
        <w:rPr>
          <w:rFonts w:hAnsi="Times New Roman" w:cs="Times New Roman"/>
          <w:sz w:val="22"/>
          <w:szCs w:val="22"/>
        </w:rPr>
        <w:t>t une disposition conventionnelle par laquelle des États s’accordent mutuellement le traitement de la nation la plus favorisée, i.e. un traitement non moins favorable que celui qui a déjà été accordé ou qui viendrait éventuellement à être accordé à un autre État dit le plus favorisé, dans un domaine défini des relations internationales.</w:t>
      </w:r>
    </w:p>
    <w:p w14:paraId="5E1C555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002F9F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b/>
          <w:bCs/>
          <w:sz w:val="22"/>
          <w:szCs w:val="22"/>
        </w:rPr>
        <w:t>Art 1 GATT</w:t>
      </w:r>
      <w:r w:rsidRPr="00F25463">
        <w:rPr>
          <w:rFonts w:hAnsi="Times New Roman" w:cs="Times New Roman"/>
          <w:sz w:val="22"/>
          <w:szCs w:val="22"/>
        </w:rPr>
        <w:t xml:space="preserve"> : un bon exemple de CNPF : A et B conclut un traité et on y stipule que tous les avantages dont l’un d’eux </w:t>
      </w:r>
      <w:proofErr w:type="spellStart"/>
      <w:r w:rsidRPr="00F25463">
        <w:rPr>
          <w:rFonts w:hAnsi="Times New Roman" w:cs="Times New Roman"/>
          <w:sz w:val="22"/>
          <w:szCs w:val="22"/>
        </w:rPr>
        <w:t>bénificirait</w:t>
      </w:r>
      <w:proofErr w:type="spellEnd"/>
      <w:r w:rsidRPr="00F25463">
        <w:rPr>
          <w:rFonts w:hAnsi="Times New Roman" w:cs="Times New Roman"/>
          <w:sz w:val="22"/>
          <w:szCs w:val="22"/>
        </w:rPr>
        <w:t xml:space="preserve"> d’un autre traité s’appliquerait aussi à l’autre.  P.31c</w:t>
      </w:r>
    </w:p>
    <w:p w14:paraId="0D3B7EC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7A4A51" w14:textId="77777777" w:rsidR="00EC0180" w:rsidRPr="00F25463" w:rsidRDefault="004270F6" w:rsidP="004270F6">
      <w:pPr>
        <w:numPr>
          <w:ilvl w:val="0"/>
          <w:numId w:val="65"/>
        </w:numPr>
        <w:tabs>
          <w:tab w:val="clear" w:pos="690"/>
          <w:tab w:val="num"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L’article 1 de l’accord du GATT est la cause de cette nature la plus parfaite puisque si un État membre accorde un avantage à un autre État, tous les États vont en bénéficier.</w:t>
      </w:r>
    </w:p>
    <w:p w14:paraId="7481E06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Explication : les États A et B s’engage à s’accorder mutuellement le traitement le plus favorable qu’ils accordent ou accordent ou accorderont à tous les États. Donc, si un traité entre A et Y est plus favorable que celui entre A et B, B en profitera à cause de cette clause.</w:t>
      </w:r>
    </w:p>
    <w:p w14:paraId="358BEF5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iii) Amendement et modification des traités art 39 à 41 CVDT</w:t>
      </w:r>
    </w:p>
    <w:p w14:paraId="5469E7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DF22FB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modification des traités se fait de 2 façons expresse</w:t>
      </w:r>
    </w:p>
    <w:p w14:paraId="4F1DF63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B7BA1B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 xml:space="preserve">Modification expresse : </w:t>
      </w:r>
    </w:p>
    <w:p w14:paraId="60F83F2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2E9C7CB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-Les règles de modifications et d’amendements des traités se retrouvent à l’article 39. </w:t>
      </w:r>
    </w:p>
    <w:p w14:paraId="44682F8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 2</w:t>
      </w:r>
      <w:r w:rsidRPr="00F25463">
        <w:rPr>
          <w:rFonts w:hAnsi="Times New Roman" w:cs="Times New Roman"/>
          <w:sz w:val="22"/>
          <w:szCs w:val="22"/>
          <w:vertAlign w:val="superscript"/>
        </w:rPr>
        <w:t>e</w:t>
      </w:r>
      <w:r w:rsidRPr="00F25463">
        <w:rPr>
          <w:rFonts w:hAnsi="Times New Roman" w:cs="Times New Roman"/>
          <w:sz w:val="22"/>
          <w:szCs w:val="22"/>
        </w:rPr>
        <w:t xml:space="preserve"> traité peu modifier le 1</w:t>
      </w:r>
      <w:r w:rsidRPr="00F25463">
        <w:rPr>
          <w:rFonts w:hAnsi="Times New Roman" w:cs="Times New Roman"/>
          <w:sz w:val="22"/>
          <w:szCs w:val="22"/>
          <w:vertAlign w:val="superscript"/>
        </w:rPr>
        <w:t>er</w:t>
      </w:r>
      <w:r w:rsidRPr="00F25463">
        <w:rPr>
          <w:rFonts w:hAnsi="Times New Roman" w:cs="Times New Roman"/>
          <w:sz w:val="22"/>
          <w:szCs w:val="22"/>
        </w:rPr>
        <w:t>.</w:t>
      </w:r>
    </w:p>
    <w:p w14:paraId="6BF3FB5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-Les règles de l’amendement sont supplétive.  Ainsi les parties </w:t>
      </w:r>
      <w:proofErr w:type="spellStart"/>
      <w:r w:rsidRPr="00F25463">
        <w:rPr>
          <w:rFonts w:hAnsi="Times New Roman" w:cs="Times New Roman"/>
          <w:sz w:val="22"/>
          <w:szCs w:val="22"/>
        </w:rPr>
        <w:t>prévoi</w:t>
      </w:r>
      <w:proofErr w:type="spellEnd"/>
      <w:r w:rsidRPr="00F25463">
        <w:rPr>
          <w:rFonts w:hAnsi="Times New Roman" w:cs="Times New Roman"/>
          <w:sz w:val="22"/>
          <w:szCs w:val="22"/>
        </w:rPr>
        <w:t xml:space="preserve"> leur propre procédure d’amendement.</w:t>
      </w:r>
    </w:p>
    <w:p w14:paraId="09FF679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i/>
          <w:iCs/>
          <w:sz w:val="22"/>
          <w:szCs w:val="22"/>
        </w:rPr>
        <w:t>-Les articles 39 à 41 s’appliquent qu’en cas de silence des traités</w:t>
      </w:r>
      <w:r w:rsidRPr="00F25463">
        <w:rPr>
          <w:rFonts w:hAnsi="Times New Roman" w:cs="Times New Roman"/>
          <w:sz w:val="22"/>
          <w:szCs w:val="22"/>
        </w:rPr>
        <w:t>.</w:t>
      </w:r>
    </w:p>
    <w:p w14:paraId="2636044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jc w:val="both"/>
        <w:rPr>
          <w:rFonts w:hAnsi="Times New Roman" w:cs="Times New Roman"/>
          <w:sz w:val="22"/>
          <w:szCs w:val="22"/>
        </w:rPr>
      </w:pPr>
      <w:r w:rsidRPr="00F25463">
        <w:rPr>
          <w:rFonts w:hAnsi="Times New Roman" w:cs="Times New Roman"/>
          <w:sz w:val="22"/>
          <w:szCs w:val="22"/>
        </w:rPr>
        <w:t>Exemple : la Turquie plus bas.</w:t>
      </w:r>
    </w:p>
    <w:p w14:paraId="014E7A9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AC11306"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Modification tacite</w:t>
      </w:r>
    </w:p>
    <w:p w14:paraId="1C039AC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156BD0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roofErr w:type="gramStart"/>
      <w:r w:rsidRPr="00F25463">
        <w:rPr>
          <w:rFonts w:hAnsi="Times New Roman" w:cs="Times New Roman"/>
          <w:sz w:val="22"/>
          <w:szCs w:val="22"/>
        </w:rPr>
        <w:t>La pratique ultérieur</w:t>
      </w:r>
      <w:proofErr w:type="gramEnd"/>
      <w:r w:rsidRPr="00F25463">
        <w:rPr>
          <w:rFonts w:hAnsi="Times New Roman" w:cs="Times New Roman"/>
          <w:sz w:val="22"/>
          <w:szCs w:val="22"/>
        </w:rPr>
        <w:t xml:space="preserve"> suivie par l’ensemble des parties au traité (lors de l’application du traité) peut établir qu’elles ont implicitement voulu modifier le traité dans un sens donné.</w:t>
      </w:r>
    </w:p>
    <w:p w14:paraId="079EC0D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0589EE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iv) Interprétation des traité (</w:t>
      </w:r>
      <w:proofErr w:type="spellStart"/>
      <w:r w:rsidRPr="00F25463">
        <w:rPr>
          <w:rFonts w:hAnsi="Times New Roman" w:cs="Times New Roman"/>
          <w:b/>
          <w:bCs/>
          <w:sz w:val="22"/>
          <w:szCs w:val="22"/>
        </w:rPr>
        <w:t>Arbour</w:t>
      </w:r>
      <w:proofErr w:type="spellEnd"/>
      <w:r w:rsidRPr="00F25463">
        <w:rPr>
          <w:rFonts w:hAnsi="Times New Roman" w:cs="Times New Roman"/>
          <w:b/>
          <w:bCs/>
          <w:sz w:val="22"/>
          <w:szCs w:val="22"/>
        </w:rPr>
        <w:t xml:space="preserve"> p. 96 et 97)</w:t>
      </w:r>
    </w:p>
    <w:p w14:paraId="12D57AA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2CF5E6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Doc 6 : l’Interprétation des traités :</w:t>
      </w:r>
    </w:p>
    <w:p w14:paraId="0865EB1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F992D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Consiste à dégager le sens exact et le contenu de la règle de droit applicable.  Elle a un effet rétroactif au jour de la conclusion du traité.</w:t>
      </w:r>
    </w:p>
    <w:p w14:paraId="29845EF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63BD71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Qui peut interprété un traité ?</w:t>
      </w:r>
    </w:p>
    <w:p w14:paraId="50B6568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Les parties </w:t>
      </w:r>
      <w:proofErr w:type="spellStart"/>
      <w:r w:rsidRPr="00F25463">
        <w:rPr>
          <w:rFonts w:hAnsi="Times New Roman" w:cs="Times New Roman"/>
          <w:sz w:val="22"/>
          <w:szCs w:val="22"/>
        </w:rPr>
        <w:t>elles-même</w:t>
      </w:r>
      <w:proofErr w:type="spellEnd"/>
    </w:p>
    <w:p w14:paraId="7E227173"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La CIJ ou un tribunal arbitral international</w:t>
      </w:r>
    </w:p>
    <w:p w14:paraId="0A674503"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organes internes des États (ex : l’exécutif ou le judiciaire)</w:t>
      </w:r>
    </w:p>
    <w:p w14:paraId="36CF3DD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784FC7C" w14:textId="77777777" w:rsidR="00EC0180" w:rsidRPr="00F25463" w:rsidRDefault="004270F6">
      <w:pPr>
        <w:pStyle w:val="Heading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u w:val="none"/>
        </w:rPr>
      </w:pPr>
      <w:r w:rsidRPr="00F25463">
        <w:rPr>
          <w:rFonts w:hAnsi="Times New Roman" w:cs="Times New Roman"/>
          <w:b/>
          <w:bCs/>
          <w:sz w:val="22"/>
          <w:szCs w:val="22"/>
          <w:u w:val="none"/>
        </w:rPr>
        <w:t>Méthode d’interprétation en droit international</w:t>
      </w:r>
    </w:p>
    <w:p w14:paraId="53D6F98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92FEA76"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sz w:val="22"/>
          <w:szCs w:val="22"/>
        </w:rPr>
        <w:t xml:space="preserve"> </w:t>
      </w:r>
      <w:r w:rsidRPr="00F25463">
        <w:rPr>
          <w:rFonts w:hAnsi="Times New Roman" w:cs="Times New Roman"/>
          <w:b/>
          <w:bCs/>
          <w:sz w:val="22"/>
          <w:szCs w:val="22"/>
        </w:rPr>
        <w:t xml:space="preserve">31 (3) CVDT : </w:t>
      </w:r>
      <w:r w:rsidRPr="00F25463">
        <w:rPr>
          <w:rFonts w:hAnsi="Times New Roman" w:cs="Times New Roman"/>
          <w:sz w:val="22"/>
          <w:szCs w:val="22"/>
        </w:rPr>
        <w:t xml:space="preserve">On recherche le sens ordinaire d’un traité en considérant   </w:t>
      </w:r>
    </w:p>
    <w:p w14:paraId="3E42AE1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jc w:val="both"/>
        <w:rPr>
          <w:rFonts w:hAnsi="Times New Roman" w:cs="Times New Roman"/>
          <w:sz w:val="22"/>
          <w:szCs w:val="22"/>
        </w:rPr>
      </w:pPr>
      <w:r w:rsidRPr="00F25463">
        <w:rPr>
          <w:rFonts w:hAnsi="Times New Roman" w:cs="Times New Roman"/>
          <w:b/>
          <w:bCs/>
          <w:sz w:val="22"/>
          <w:szCs w:val="22"/>
        </w:rPr>
        <w:t xml:space="preserve">- </w:t>
      </w:r>
      <w:r w:rsidRPr="00F25463">
        <w:rPr>
          <w:rFonts w:hAnsi="Times New Roman" w:cs="Times New Roman"/>
          <w:sz w:val="22"/>
          <w:szCs w:val="22"/>
        </w:rPr>
        <w:t>plusieurs éléments sur un pied d’égalité</w:t>
      </w:r>
    </w:p>
    <w:p w14:paraId="1F1CD676"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b/>
          <w:bCs/>
          <w:sz w:val="22"/>
          <w:szCs w:val="22"/>
        </w:rPr>
        <w:t xml:space="preserve"> 31 (1) (2) CVDT : </w:t>
      </w:r>
      <w:r w:rsidRPr="00F25463">
        <w:rPr>
          <w:rFonts w:hAnsi="Times New Roman" w:cs="Times New Roman"/>
          <w:sz w:val="22"/>
          <w:szCs w:val="22"/>
        </w:rPr>
        <w:t>Le contexte qui comprend :</w:t>
      </w:r>
    </w:p>
    <w:p w14:paraId="305C324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jc w:val="both"/>
        <w:rPr>
          <w:rFonts w:hAnsi="Times New Roman" w:cs="Times New Roman"/>
          <w:sz w:val="22"/>
          <w:szCs w:val="22"/>
        </w:rPr>
      </w:pPr>
      <w:r w:rsidRPr="00F25463">
        <w:rPr>
          <w:rFonts w:hAnsi="Times New Roman" w:cs="Times New Roman"/>
          <w:sz w:val="22"/>
          <w:szCs w:val="22"/>
        </w:rPr>
        <w:t>- le texte du traité dans son ensemble</w:t>
      </w:r>
    </w:p>
    <w:p w14:paraId="5C00A2B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    - le préambule et les annexes du traité</w:t>
      </w:r>
    </w:p>
    <w:p w14:paraId="1F6FC5D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    - les réserves et déclarations acceptées par les parties</w:t>
      </w:r>
    </w:p>
    <w:p w14:paraId="1E057DC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B72FBB"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sz w:val="22"/>
          <w:szCs w:val="22"/>
        </w:rPr>
        <w:t>Les accords interprétatifs du traité intervenus entre les parties après sa conclusion</w:t>
      </w:r>
    </w:p>
    <w:p w14:paraId="35AEFD1D"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proofErr w:type="gramStart"/>
      <w:r w:rsidRPr="00F25463">
        <w:rPr>
          <w:rFonts w:hAnsi="Times New Roman" w:cs="Times New Roman"/>
          <w:sz w:val="22"/>
          <w:szCs w:val="22"/>
        </w:rPr>
        <w:t>La pratique ultérieur</w:t>
      </w:r>
      <w:proofErr w:type="gramEnd"/>
      <w:r w:rsidRPr="00F25463">
        <w:rPr>
          <w:rFonts w:hAnsi="Times New Roman" w:cs="Times New Roman"/>
          <w:sz w:val="22"/>
          <w:szCs w:val="22"/>
        </w:rPr>
        <w:t xml:space="preserve"> suivie par les parties dans l’application du traité (voir p. 50 sur la modification implicite des traités)</w:t>
      </w:r>
    </w:p>
    <w:p w14:paraId="153115C2"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sz w:val="22"/>
          <w:szCs w:val="22"/>
        </w:rPr>
        <w:t xml:space="preserve">L’ensemble des règles juridiques internationales applicables </w:t>
      </w:r>
      <w:proofErr w:type="spellStart"/>
      <w:r w:rsidRPr="00F25463">
        <w:rPr>
          <w:rFonts w:hAnsi="Times New Roman" w:cs="Times New Roman"/>
          <w:sz w:val="22"/>
          <w:szCs w:val="22"/>
        </w:rPr>
        <w:t>enre</w:t>
      </w:r>
      <w:proofErr w:type="spellEnd"/>
      <w:r w:rsidRPr="00F25463">
        <w:rPr>
          <w:rFonts w:hAnsi="Times New Roman" w:cs="Times New Roman"/>
          <w:sz w:val="22"/>
          <w:szCs w:val="22"/>
        </w:rPr>
        <w:t xml:space="preserve"> les parties au traité.</w:t>
      </w:r>
    </w:p>
    <w:p w14:paraId="171C6D4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897E573"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b/>
          <w:bCs/>
          <w:sz w:val="22"/>
          <w:szCs w:val="22"/>
        </w:rPr>
        <w:t xml:space="preserve">31 (4) CVDT : </w:t>
      </w:r>
      <w:r w:rsidRPr="00F25463">
        <w:rPr>
          <w:rFonts w:hAnsi="Times New Roman" w:cs="Times New Roman"/>
          <w:sz w:val="22"/>
          <w:szCs w:val="22"/>
        </w:rPr>
        <w:t>Le sens particulier que les parties ont donné au terme. (la partie qui invoque le sens particulier a le fardeau de la preuve)</w:t>
      </w:r>
    </w:p>
    <w:p w14:paraId="364A454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A502F66" w14:textId="77777777" w:rsidR="00EC0180" w:rsidRPr="00F25463" w:rsidRDefault="004270F6" w:rsidP="004270F6">
      <w:pPr>
        <w:numPr>
          <w:ilvl w:val="0"/>
          <w:numId w:val="66"/>
        </w:numPr>
        <w:tabs>
          <w:tab w:val="clear" w:pos="930"/>
          <w:tab w:val="num" w:pos="9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jc w:val="both"/>
        <w:rPr>
          <w:rFonts w:eastAsia="Times" w:hAnsi="Times New Roman" w:cs="Times New Roman"/>
          <w:sz w:val="22"/>
          <w:szCs w:val="22"/>
        </w:rPr>
      </w:pPr>
      <w:r w:rsidRPr="00F25463">
        <w:rPr>
          <w:rFonts w:hAnsi="Times New Roman" w:cs="Times New Roman"/>
          <w:sz w:val="22"/>
          <w:szCs w:val="22"/>
        </w:rPr>
        <w:t>La règle de l’effet utile (un traité doit être interprété dans le sens qui lui donne des effets plutôt que dans le sens où il n’en produit pas.)</w:t>
      </w:r>
    </w:p>
    <w:p w14:paraId="513732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DA8690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32 CVDT : </w:t>
      </w:r>
      <w:r w:rsidRPr="00F25463">
        <w:rPr>
          <w:rFonts w:hAnsi="Times New Roman" w:cs="Times New Roman"/>
          <w:sz w:val="22"/>
          <w:szCs w:val="22"/>
        </w:rPr>
        <w:t>Les travaux préparatifs et les circonstances dans lesquelles un traité fut conclu sont des moyens complémentaires d’interprétations.</w:t>
      </w:r>
    </w:p>
    <w:p w14:paraId="50D2630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22EA8F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33 CVDT : </w:t>
      </w:r>
      <w:r w:rsidRPr="00F25463">
        <w:rPr>
          <w:rFonts w:hAnsi="Times New Roman" w:cs="Times New Roman"/>
          <w:sz w:val="22"/>
          <w:szCs w:val="22"/>
        </w:rPr>
        <w:t>Lorsqu’un traité est rédigé en plusieurs langues et qu’il y a divergence entre les versions, on adoptera le sens qui concilie le mieux les textes, compte tenu de l’objet et du but du traité. La coutume peut aussi jouer un rôle.</w:t>
      </w:r>
    </w:p>
    <w:p w14:paraId="4314CAE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FB891C1"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Exemples d’interprétation</w:t>
      </w:r>
    </w:p>
    <w:p w14:paraId="36BC556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Ex1 : Dans l’affaire de l’interprétation de l’accord franco-américain relatif au transport aérien de 1963, l’arbitre international a décédé que le terme « Proche-Orient » comprend l’Iran mais pas la Turquie.  (</w:t>
      </w:r>
      <w:proofErr w:type="gramStart"/>
      <w:r w:rsidRPr="00F25463">
        <w:rPr>
          <w:rFonts w:hAnsi="Times New Roman" w:cs="Times New Roman"/>
          <w:sz w:val="22"/>
          <w:szCs w:val="22"/>
        </w:rPr>
        <w:t>embarquement</w:t>
      </w:r>
      <w:proofErr w:type="gramEnd"/>
      <w:r w:rsidRPr="00F25463">
        <w:rPr>
          <w:rFonts w:hAnsi="Times New Roman" w:cs="Times New Roman"/>
          <w:sz w:val="22"/>
          <w:szCs w:val="22"/>
        </w:rPr>
        <w:t xml:space="preserve"> des passagers)</w:t>
      </w:r>
    </w:p>
    <w:p w14:paraId="72263F4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Ex2 : En vertu du droit coutumiers, la « mer territoriale » de 3 miles marins est passée à 12 miles marins.  La coutume peut transformer des concepts anciens.</w:t>
      </w:r>
    </w:p>
    <w:p w14:paraId="4055F98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D52AA8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765BC6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B. Mise en œuvre des traités dans le droit interne canadien (p.52)</w:t>
      </w:r>
    </w:p>
    <w:p w14:paraId="04F901A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FC1156B" w14:textId="77777777" w:rsidR="00EC0180" w:rsidRPr="00F25463" w:rsidRDefault="004270F6" w:rsidP="004270F6">
      <w:pPr>
        <w:numPr>
          <w:ilvl w:val="5"/>
          <w:numId w:val="68"/>
        </w:numPr>
        <w:tabs>
          <w:tab w:val="clear" w:pos="1500"/>
          <w:tab w:val="num" w:pos="1560"/>
          <w:tab w:val="left" w:pos="5913"/>
          <w:tab w:val="left" w:pos="6372"/>
          <w:tab w:val="left" w:pos="7080"/>
          <w:tab w:val="left" w:pos="7788"/>
          <w:tab w:val="left" w:pos="8496"/>
          <w:tab w:val="left" w:pos="9204"/>
          <w:tab w:val="left" w:pos="9472"/>
        </w:tabs>
        <w:ind w:left="1560" w:hanging="720"/>
        <w:jc w:val="both"/>
        <w:rPr>
          <w:rFonts w:hAnsi="Times New Roman" w:cs="Times New Roman"/>
          <w:sz w:val="22"/>
          <w:szCs w:val="22"/>
        </w:rPr>
      </w:pPr>
      <w:r w:rsidRPr="00F25463">
        <w:rPr>
          <w:rFonts w:hAnsi="Times New Roman" w:cs="Times New Roman"/>
          <w:sz w:val="22"/>
          <w:szCs w:val="22"/>
        </w:rPr>
        <w:t>Attitude fondamentale des tribunaux canadiens face à l’application des traités dans l’ordre juridique interne.</w:t>
      </w:r>
    </w:p>
    <w:p w14:paraId="0D5F9B1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7CD8671"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b/>
          <w:bCs/>
          <w:sz w:val="22"/>
          <w:szCs w:val="22"/>
          <w:u w:val="single"/>
        </w:rPr>
        <w:t>Constitution américaine</w:t>
      </w:r>
      <w:r w:rsidRPr="00F25463">
        <w:rPr>
          <w:rFonts w:hAnsi="Times New Roman" w:cs="Times New Roman"/>
          <w:sz w:val="22"/>
          <w:szCs w:val="22"/>
        </w:rPr>
        <w:t xml:space="preserve"> : Aux USA, </w:t>
      </w:r>
      <w:r w:rsidRPr="00F25463">
        <w:rPr>
          <w:rFonts w:hAnsi="Times New Roman" w:cs="Times New Roman"/>
          <w:b/>
          <w:bCs/>
          <w:sz w:val="22"/>
          <w:szCs w:val="22"/>
        </w:rPr>
        <w:t>dès qu’un traité entre en vigueur, il fait parti de leur droit national</w:t>
      </w:r>
      <w:r w:rsidRPr="00F25463">
        <w:rPr>
          <w:rFonts w:hAnsi="Times New Roman" w:cs="Times New Roman"/>
          <w:sz w:val="22"/>
          <w:szCs w:val="22"/>
        </w:rPr>
        <w:t xml:space="preserve">.  Les juges en appliquent donc les dispositions au même titre que le reste de leurs droits.  On qualifie leur </w:t>
      </w:r>
      <w:r w:rsidRPr="00F25463">
        <w:rPr>
          <w:rFonts w:hAnsi="Times New Roman" w:cs="Times New Roman"/>
          <w:b/>
          <w:bCs/>
          <w:sz w:val="22"/>
          <w:szCs w:val="22"/>
        </w:rPr>
        <w:t>attitude de moniste</w:t>
      </w:r>
      <w:r w:rsidRPr="00F25463">
        <w:rPr>
          <w:rFonts w:hAnsi="Times New Roman" w:cs="Times New Roman"/>
          <w:sz w:val="22"/>
          <w:szCs w:val="22"/>
        </w:rPr>
        <w:t xml:space="preserve"> (art 6 constitution américaine)</w:t>
      </w:r>
    </w:p>
    <w:p w14:paraId="12AB62A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F4BD6B"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b/>
          <w:bCs/>
          <w:sz w:val="22"/>
          <w:szCs w:val="22"/>
          <w:u w:val="single"/>
        </w:rPr>
        <w:t>Constitution canadienne</w:t>
      </w:r>
      <w:r w:rsidRPr="00F25463">
        <w:rPr>
          <w:rFonts w:hAnsi="Times New Roman" w:cs="Times New Roman"/>
          <w:sz w:val="22"/>
          <w:szCs w:val="22"/>
        </w:rPr>
        <w:t xml:space="preserve"> : Les tribunaux canadiens (et britannique) ont plutôt </w:t>
      </w:r>
      <w:proofErr w:type="gramStart"/>
      <w:r w:rsidRPr="00F25463">
        <w:rPr>
          <w:rFonts w:hAnsi="Times New Roman" w:cs="Times New Roman"/>
          <w:sz w:val="22"/>
          <w:szCs w:val="22"/>
        </w:rPr>
        <w:t xml:space="preserve">un </w:t>
      </w:r>
      <w:r w:rsidRPr="00F25463">
        <w:rPr>
          <w:rFonts w:hAnsi="Times New Roman" w:cs="Times New Roman"/>
          <w:b/>
          <w:bCs/>
          <w:sz w:val="22"/>
          <w:szCs w:val="22"/>
        </w:rPr>
        <w:t>attitude dualiste</w:t>
      </w:r>
      <w:proofErr w:type="gramEnd"/>
      <w:r w:rsidRPr="00F25463">
        <w:rPr>
          <w:rFonts w:hAnsi="Times New Roman" w:cs="Times New Roman"/>
          <w:sz w:val="22"/>
          <w:szCs w:val="22"/>
        </w:rPr>
        <w:t xml:space="preserve"> quant à l’application des traités dans leur droit interne.  Les traités internationaux ne font pas automatiquement parti du droit national canadien et </w:t>
      </w:r>
      <w:r w:rsidRPr="00F25463">
        <w:rPr>
          <w:rFonts w:hAnsi="Times New Roman" w:cs="Times New Roman"/>
          <w:b/>
          <w:bCs/>
          <w:sz w:val="22"/>
          <w:szCs w:val="22"/>
        </w:rPr>
        <w:t>le traité ne sera appliqué par les tribunaux que s’il a été incorporé au droit canadien au moyen d’une loi.</w:t>
      </w:r>
      <w:r w:rsidRPr="00F25463">
        <w:rPr>
          <w:rFonts w:hAnsi="Times New Roman" w:cs="Times New Roman"/>
          <w:sz w:val="22"/>
          <w:szCs w:val="22"/>
        </w:rPr>
        <w:t xml:space="preserve"> (L’intervention du pouvoir législatif est requise sauf pour les traités de prérogative) (VOIR p. 58)</w:t>
      </w:r>
    </w:p>
    <w:p w14:paraId="6F138B6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BD8174E"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Donc, si le traité n’est pas ratifier par le Canada, il n’est pas incorporé dans le droit canadien.  Les juges appliquent la loi interne canadienne même si elle contredit le traité.  Le Canada risque alors d’engager sa responsabilité internationale.</w:t>
      </w:r>
    </w:p>
    <w:p w14:paraId="0C02F55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88BA515"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b/>
          <w:bCs/>
          <w:sz w:val="22"/>
          <w:szCs w:val="22"/>
        </w:rPr>
        <w:t xml:space="preserve">[A] Il s’est développé une pratique au Canada en vertu de laquelle pour les traités </w:t>
      </w:r>
      <w:proofErr w:type="gramStart"/>
      <w:r w:rsidRPr="00F25463">
        <w:rPr>
          <w:rFonts w:hAnsi="Times New Roman" w:cs="Times New Roman"/>
          <w:b/>
          <w:bCs/>
          <w:sz w:val="22"/>
          <w:szCs w:val="22"/>
        </w:rPr>
        <w:t xml:space="preserve">importants </w:t>
      </w:r>
      <w:r w:rsidRPr="00F25463">
        <w:rPr>
          <w:rFonts w:hAnsi="Times New Roman" w:cs="Times New Roman"/>
          <w:sz w:val="22"/>
          <w:szCs w:val="22"/>
        </w:rPr>
        <w:t>,</w:t>
      </w:r>
      <w:proofErr w:type="gramEnd"/>
      <w:r w:rsidRPr="00F25463">
        <w:rPr>
          <w:rFonts w:hAnsi="Times New Roman" w:cs="Times New Roman"/>
          <w:sz w:val="22"/>
          <w:szCs w:val="22"/>
        </w:rPr>
        <w:t xml:space="preserve"> le gouvernement canadien obtient l’approbation du parlement entre la signature et la ratification.  L’approbation se fait par résolution conjointe de la chambre des Communes et du Sénat. *</w:t>
      </w:r>
    </w:p>
    <w:p w14:paraId="50490E9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1DC18947"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NOTE : C’est à titre consultatif puisque le gouvernement est quand même souverain.</w:t>
      </w:r>
    </w:p>
    <w:p w14:paraId="24BC3B2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4359F74" w14:textId="77777777" w:rsidR="00EC0180" w:rsidRPr="00F25463" w:rsidRDefault="004270F6" w:rsidP="004270F6">
      <w:pPr>
        <w:numPr>
          <w:ilvl w:val="0"/>
          <w:numId w:val="67"/>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On considère comme traités important les traités :</w:t>
      </w:r>
    </w:p>
    <w:p w14:paraId="78331B00" w14:textId="77777777" w:rsidR="00EC0180" w:rsidRPr="00F25463" w:rsidRDefault="004270F6" w:rsidP="004270F6">
      <w:pPr>
        <w:numPr>
          <w:ilvl w:val="1"/>
          <w:numId w:val="69"/>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sz w:val="22"/>
          <w:szCs w:val="22"/>
        </w:rPr>
        <w:t>militaires</w:t>
      </w:r>
    </w:p>
    <w:p w14:paraId="5B9FC47C" w14:textId="77777777" w:rsidR="00EC0180" w:rsidRPr="00F25463" w:rsidRDefault="004270F6" w:rsidP="004270F6">
      <w:pPr>
        <w:numPr>
          <w:ilvl w:val="1"/>
          <w:numId w:val="69"/>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sz w:val="22"/>
          <w:szCs w:val="22"/>
        </w:rPr>
        <w:t>comportant des sanctions économiques</w:t>
      </w:r>
    </w:p>
    <w:p w14:paraId="1B41C20F" w14:textId="77777777" w:rsidR="00EC0180" w:rsidRPr="00F25463" w:rsidRDefault="004270F6" w:rsidP="004270F6">
      <w:pPr>
        <w:numPr>
          <w:ilvl w:val="1"/>
          <w:numId w:val="69"/>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sz w:val="22"/>
          <w:szCs w:val="22"/>
        </w:rPr>
        <w:t>comportant des dépenses importantes</w:t>
      </w:r>
    </w:p>
    <w:p w14:paraId="44BE7A56" w14:textId="77777777" w:rsidR="00EC0180" w:rsidRPr="00F25463" w:rsidRDefault="004270F6" w:rsidP="004270F6">
      <w:pPr>
        <w:numPr>
          <w:ilvl w:val="1"/>
          <w:numId w:val="69"/>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sz w:val="22"/>
          <w:szCs w:val="22"/>
        </w:rPr>
        <w:t>comportant des implications politiques considérables (c’est vague)</w:t>
      </w:r>
    </w:p>
    <w:p w14:paraId="5A681A9E" w14:textId="77777777" w:rsidR="00EC0180" w:rsidRPr="00F25463" w:rsidRDefault="004270F6" w:rsidP="004270F6">
      <w:pPr>
        <w:numPr>
          <w:ilvl w:val="1"/>
          <w:numId w:val="69"/>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sz w:val="22"/>
          <w:szCs w:val="22"/>
        </w:rPr>
        <w:t>comportant des obligations dont l’exécution va affecter les droits privés</w:t>
      </w:r>
    </w:p>
    <w:p w14:paraId="66D2166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5"/>
        <w:jc w:val="both"/>
        <w:rPr>
          <w:rFonts w:hAnsi="Times New Roman" w:cs="Times New Roman"/>
          <w:sz w:val="22"/>
          <w:szCs w:val="22"/>
        </w:rPr>
      </w:pPr>
      <w:r w:rsidRPr="00F25463">
        <w:rPr>
          <w:rFonts w:hAnsi="Times New Roman" w:cs="Times New Roman"/>
          <w:sz w:val="22"/>
          <w:szCs w:val="22"/>
        </w:rPr>
        <w:t>(</w:t>
      </w:r>
      <w:proofErr w:type="gramStart"/>
      <w:r w:rsidRPr="00F25463">
        <w:rPr>
          <w:rFonts w:hAnsi="Times New Roman" w:cs="Times New Roman"/>
          <w:sz w:val="22"/>
          <w:szCs w:val="22"/>
        </w:rPr>
        <w:t>ex</w:t>
      </w:r>
      <w:proofErr w:type="gramEnd"/>
      <w:r w:rsidRPr="00F25463">
        <w:rPr>
          <w:rFonts w:hAnsi="Times New Roman" w:cs="Times New Roman"/>
          <w:sz w:val="22"/>
          <w:szCs w:val="22"/>
        </w:rPr>
        <w:t> : extradition, fiscalité, propriété intellectuelle.)</w:t>
      </w:r>
    </w:p>
    <w:p w14:paraId="24B1988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C352E3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La loi d’incorporation (de mise en œuvre)</w:t>
      </w:r>
    </w:p>
    <w:p w14:paraId="2F3BA0A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proofErr w:type="gramStart"/>
      <w:r w:rsidRPr="00F25463">
        <w:rPr>
          <w:rFonts w:hAnsi="Times New Roman" w:cs="Times New Roman"/>
          <w:sz w:val="22"/>
          <w:szCs w:val="22"/>
        </w:rPr>
        <w:t>Ces loi</w:t>
      </w:r>
      <w:proofErr w:type="gramEnd"/>
      <w:r w:rsidRPr="00F25463">
        <w:rPr>
          <w:rFonts w:hAnsi="Times New Roman" w:cs="Times New Roman"/>
          <w:sz w:val="22"/>
          <w:szCs w:val="22"/>
        </w:rPr>
        <w:t xml:space="preserve"> ont pour but de modifier le droit interne de façon à le rendre conforme aux norme internationales.  Elles modifient le droit interne de façon à rendre possible l’exécution des obligations internationales dans l’ordre juridique interne. La pratique courante est que l’exécutif ne s’engage pas tant que le </w:t>
      </w:r>
      <w:proofErr w:type="spellStart"/>
      <w:r w:rsidRPr="00F25463">
        <w:rPr>
          <w:rFonts w:hAnsi="Times New Roman" w:cs="Times New Roman"/>
          <w:sz w:val="22"/>
          <w:szCs w:val="22"/>
        </w:rPr>
        <w:t>législtatif</w:t>
      </w:r>
      <w:proofErr w:type="spellEnd"/>
      <w:r w:rsidRPr="00F25463">
        <w:rPr>
          <w:rFonts w:hAnsi="Times New Roman" w:cs="Times New Roman"/>
          <w:sz w:val="22"/>
          <w:szCs w:val="22"/>
        </w:rPr>
        <w:t xml:space="preserve"> ne la pas ratifié.</w:t>
      </w:r>
    </w:p>
    <w:p w14:paraId="1D8F970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8A2291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r w:rsidRPr="00F25463">
        <w:rPr>
          <w:rFonts w:hAnsi="Times New Roman" w:cs="Times New Roman"/>
          <w:sz w:val="22"/>
          <w:szCs w:val="22"/>
        </w:rPr>
        <w:t>- Au États-Unis, le traité est en vigueur même s’il contredit une loi passée ou futur d’un État membre.  Cependant, si le traité contredit une loi fédérale canadienne, on applique la loi la plus récente.</w:t>
      </w:r>
    </w:p>
    <w:p w14:paraId="700EEB4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p>
    <w:p w14:paraId="0765358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r w:rsidRPr="00F25463">
        <w:rPr>
          <w:rFonts w:hAnsi="Times New Roman" w:cs="Times New Roman"/>
          <w:sz w:val="22"/>
          <w:szCs w:val="22"/>
        </w:rPr>
        <w:t>-Une loi d’incorporation n’a pas besoin de déclarer expressément qu’elle met en œuvre tel ou tel traité (on n’a même pas à établir un lien clair entre le traité et la loi).</w:t>
      </w:r>
    </w:p>
    <w:p w14:paraId="50C22B3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t>Ex : des lois d’incorporation</w:t>
      </w:r>
    </w:p>
    <w:p w14:paraId="4400D444" w14:textId="77777777" w:rsidR="00EC0180" w:rsidRPr="00F25463" w:rsidRDefault="004270F6" w:rsidP="004270F6">
      <w:pPr>
        <w:numPr>
          <w:ilvl w:val="2"/>
          <w:numId w:val="70"/>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Loi avec traité en annexe (ex : doc 2)</w:t>
      </w:r>
    </w:p>
    <w:p w14:paraId="6EDC1522" w14:textId="77777777" w:rsidR="00EC0180" w:rsidRPr="00F25463" w:rsidRDefault="004270F6" w:rsidP="004270F6">
      <w:pPr>
        <w:numPr>
          <w:ilvl w:val="2"/>
          <w:numId w:val="70"/>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Loi affirmant que tel traité fait partie du droit canadien</w:t>
      </w:r>
    </w:p>
    <w:p w14:paraId="0C23B0CA" w14:textId="77777777" w:rsidR="00EC0180" w:rsidRPr="00F25463" w:rsidRDefault="004270F6" w:rsidP="004270F6">
      <w:pPr>
        <w:numPr>
          <w:ilvl w:val="2"/>
          <w:numId w:val="70"/>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Loi qui reprend les disposition d’un traité mots pour mots ou qui en reprend l’essence (en y référant ou non)</w:t>
      </w:r>
    </w:p>
    <w:p w14:paraId="5041FD8A" w14:textId="77777777" w:rsidR="00EC0180" w:rsidRPr="00F25463" w:rsidRDefault="004270F6" w:rsidP="004270F6">
      <w:pPr>
        <w:numPr>
          <w:ilvl w:val="2"/>
          <w:numId w:val="70"/>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Loi qui donne à l’avance force de loi à des traités futurs conclu sous l’autorité de celle-ci (ex : loi sur l’extradition)</w:t>
      </w:r>
    </w:p>
    <w:p w14:paraId="0EA86DE7" w14:textId="77777777" w:rsidR="00EC0180" w:rsidRPr="00F25463" w:rsidRDefault="004270F6" w:rsidP="004270F6">
      <w:pPr>
        <w:numPr>
          <w:ilvl w:val="2"/>
          <w:numId w:val="70"/>
        </w:numPr>
        <w:tabs>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jc w:val="both"/>
        <w:rPr>
          <w:rFonts w:hAnsi="Times New Roman" w:cs="Times New Roman"/>
          <w:sz w:val="22"/>
          <w:szCs w:val="22"/>
        </w:rPr>
      </w:pPr>
      <w:r w:rsidRPr="00F25463">
        <w:rPr>
          <w:rFonts w:hAnsi="Times New Roman" w:cs="Times New Roman"/>
          <w:sz w:val="22"/>
          <w:szCs w:val="22"/>
        </w:rPr>
        <w:t xml:space="preserve">Loi préalable autorisant l’incorporation d’un traité par simple règlement du gouverneur général ou d’une agence gouvernementale (ex : Loi sur les tarifs de douane) </w:t>
      </w:r>
    </w:p>
    <w:p w14:paraId="6E8CF76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0FD1FD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Conséquence : il s’est développé une pratique au Canada qu’avant de ratifier un traité important, il demandera la permission au parlement. L’approbation du parlement ce fait par résolution conjointe (sénat et la chambre commune)</w:t>
      </w:r>
    </w:p>
    <w:p w14:paraId="79BC202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12A3AD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Voir p.44 [A] : Au Canada l’exécutif ne va pas ratifier le traité tant que la loi ne sera pas adopté. En principe, c’est l’exécutif qui a la compétence exécutive pour conclure </w:t>
      </w:r>
      <w:proofErr w:type="gramStart"/>
      <w:r w:rsidRPr="00F25463">
        <w:rPr>
          <w:rFonts w:hAnsi="Times New Roman" w:cs="Times New Roman"/>
          <w:sz w:val="22"/>
          <w:szCs w:val="22"/>
        </w:rPr>
        <w:t>les traité</w:t>
      </w:r>
      <w:proofErr w:type="gramEnd"/>
      <w:r w:rsidRPr="00F25463">
        <w:rPr>
          <w:rFonts w:hAnsi="Times New Roman" w:cs="Times New Roman"/>
          <w:sz w:val="22"/>
          <w:szCs w:val="22"/>
        </w:rPr>
        <w:t>.</w:t>
      </w:r>
    </w:p>
    <w:p w14:paraId="0C20B08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D2059F8" w14:textId="77777777" w:rsidR="00EC0180" w:rsidRPr="00F25463" w:rsidRDefault="004270F6" w:rsidP="004270F6">
      <w:pPr>
        <w:numPr>
          <w:ilvl w:val="4"/>
          <w:numId w:val="71"/>
        </w:numPr>
        <w:tabs>
          <w:tab w:val="clear" w:pos="570"/>
          <w:tab w:val="num" w:pos="600"/>
          <w:tab w:val="left" w:pos="4653"/>
          <w:tab w:val="left" w:pos="4956"/>
          <w:tab w:val="left" w:pos="5664"/>
          <w:tab w:val="left" w:pos="6372"/>
          <w:tab w:val="left" w:pos="7080"/>
          <w:tab w:val="left" w:pos="7788"/>
          <w:tab w:val="left" w:pos="8496"/>
          <w:tab w:val="left" w:pos="9204"/>
          <w:tab w:val="left" w:pos="9472"/>
        </w:tabs>
        <w:ind w:left="600" w:hanging="360"/>
        <w:jc w:val="both"/>
        <w:rPr>
          <w:rFonts w:hAnsi="Times New Roman" w:cs="Times New Roman"/>
          <w:b/>
          <w:bCs/>
          <w:sz w:val="22"/>
          <w:szCs w:val="22"/>
        </w:rPr>
      </w:pPr>
      <w:r w:rsidRPr="00F25463">
        <w:rPr>
          <w:rFonts w:hAnsi="Times New Roman" w:cs="Times New Roman"/>
          <w:b/>
          <w:bCs/>
          <w:sz w:val="22"/>
          <w:szCs w:val="22"/>
        </w:rPr>
        <w:t>Le rôle du partage des compétences législatives dans les mises en œuvre des traités au Canada.</w:t>
      </w:r>
    </w:p>
    <w:p w14:paraId="3D286AC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294BBB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Chez les États unitaires (ex : Royaume-Unis, Nouvelle-Zélande), le problème du partage des compétence ne se pose pas.  Ils adoptent des lois pour la mise en œuvre des traités et le traité s’applique. Il n’y a qu’un seul parlement qui légifère pour tout le pays donc pas de problème.</w:t>
      </w:r>
    </w:p>
    <w:p w14:paraId="2EF2458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F61408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problème au Canada : Dans les fédérations, il y a le problème du partage des compétences entre fédéral et le provincial.  En effet, il est possible qu’un traité conclu par le fédéral soit de la compétence des États membre (provinces).</w:t>
      </w:r>
    </w:p>
    <w:p w14:paraId="70F54CA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D8A0201"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Par exemple en Australie, le fédéral peut faire des lois relatives aux affaires extérieures.  Selon leur High Court, cette disposition confère au fédéral le pouvoir d’adopter des lois pour exécuter tout traité (même ceux qui créent les obligations de la compétences législative des États membres) C’est l’exécutif qui crée les traités.</w:t>
      </w:r>
    </w:p>
    <w:p w14:paraId="027B8C5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8C3FDB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 xml:space="preserve">Traités d’empire : </w:t>
      </w:r>
    </w:p>
    <w:p w14:paraId="71E8FE9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u w:val="single"/>
        </w:rPr>
      </w:pPr>
    </w:p>
    <w:p w14:paraId="127CD98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Au Canada, en vertu de l’art 132 AANB, le parlement fédéral a le pouvoir de mettre en œuvre </w:t>
      </w:r>
      <w:proofErr w:type="gramStart"/>
      <w:r w:rsidRPr="00F25463">
        <w:rPr>
          <w:rFonts w:hAnsi="Times New Roman" w:cs="Times New Roman"/>
          <w:sz w:val="22"/>
          <w:szCs w:val="22"/>
        </w:rPr>
        <w:t>les traités conclu</w:t>
      </w:r>
      <w:proofErr w:type="gramEnd"/>
      <w:r w:rsidRPr="00F25463">
        <w:rPr>
          <w:rFonts w:hAnsi="Times New Roman" w:cs="Times New Roman"/>
          <w:sz w:val="22"/>
          <w:szCs w:val="22"/>
        </w:rPr>
        <w:t xml:space="preserve"> par l’Angleterre même s’ils portent sur un sujet de compétence provincial. En 1932, l’avis relatif à l’aéronautique a appliqué cet article. </w:t>
      </w:r>
    </w:p>
    <w:p w14:paraId="5AB1D9B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L’art 132 est maintenant désuet</w:t>
      </w:r>
    </w:p>
    <w:p w14:paraId="73F970B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p>
    <w:p w14:paraId="4365B0F0" w14:textId="77777777" w:rsidR="00EC0180" w:rsidRPr="00F25463" w:rsidRDefault="004270F6" w:rsidP="004270F6">
      <w:pPr>
        <w:pStyle w:val="BodyText"/>
        <w:numPr>
          <w:ilvl w:val="0"/>
          <w:numId w:val="26"/>
        </w:numPr>
        <w:tabs>
          <w:tab w:val="clear" w:pos="360"/>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Cependant, depuis l’indépendance du Canada, l’art 132 ne sert plus de base pour savoir qui peut mettre en œuvre les traités.  On n’en parle ni à 91, ni a 92 de l’AANB, mais selon le conseil privé, la mise en œuvre des traités tombaient sous 91 intro.  (clause de paix, ordre et bon gouvernement)</w:t>
      </w:r>
    </w:p>
    <w:p w14:paraId="2F41B14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63B5661" w14:textId="77777777" w:rsidR="00EC0180" w:rsidRPr="00F25463" w:rsidRDefault="004270F6">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Maintenant que le Royaume-Uni ne conclut plus de traité pour le </w:t>
      </w:r>
      <w:proofErr w:type="spellStart"/>
      <w:r w:rsidRPr="00F25463">
        <w:rPr>
          <w:rFonts w:hAnsi="Times New Roman" w:cs="Times New Roman"/>
          <w:sz w:val="22"/>
          <w:szCs w:val="22"/>
        </w:rPr>
        <w:t>Candada</w:t>
      </w:r>
      <w:proofErr w:type="spellEnd"/>
      <w:r w:rsidRPr="00F25463">
        <w:rPr>
          <w:rFonts w:hAnsi="Times New Roman" w:cs="Times New Roman"/>
          <w:sz w:val="22"/>
          <w:szCs w:val="22"/>
        </w:rPr>
        <w:t xml:space="preserve"> il faut aller voir la jurisprudence. Alors, certains auteurs soutiennent que seul le fédéral devrait conclure les traités. : </w:t>
      </w:r>
    </w:p>
    <w:p w14:paraId="2D6D6955" w14:textId="77777777" w:rsidR="00EC0180" w:rsidRPr="00F25463" w:rsidRDefault="00EC0180">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96EAE2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i/>
          <w:iCs/>
          <w:sz w:val="22"/>
          <w:szCs w:val="22"/>
        </w:rPr>
      </w:pPr>
      <w:r w:rsidRPr="00F25463">
        <w:rPr>
          <w:rFonts w:hAnsi="Times New Roman" w:cs="Times New Roman"/>
          <w:b/>
          <w:bCs/>
          <w:i/>
          <w:iCs/>
          <w:sz w:val="22"/>
          <w:szCs w:val="22"/>
        </w:rPr>
        <w:t>L’affaire sur les Conventions de travail (1937) Doc 8 p.50</w:t>
      </w:r>
    </w:p>
    <w:p w14:paraId="061C0AED"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Dans cette affaire, le Canada, pour se conformer à un traité qu’il avait ratifié, a adopté 3 lois (convention) :</w:t>
      </w:r>
    </w:p>
    <w:p w14:paraId="7CDBEA21"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Une loi limitant le nombre d’heure par semaine</w:t>
      </w:r>
    </w:p>
    <w:p w14:paraId="1BB1F17F"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Une loi régissant le salaire minimum</w:t>
      </w:r>
    </w:p>
    <w:p w14:paraId="148A5235"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Une loi décrétant un jour de repos</w:t>
      </w:r>
    </w:p>
    <w:p w14:paraId="1980702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F5B6B2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provinces ont demandé au tribunal si ces lois étaient ultra vires et le conseil privé a répondu par l’affirmative pour ces motifs :</w:t>
      </w:r>
    </w:p>
    <w:p w14:paraId="212A689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L’art 132 AANB ne concerne que les traités d’empire, ce qu’on ne trouve pas dans cette affaire.  (C’est </w:t>
      </w:r>
      <w:proofErr w:type="spellStart"/>
      <w:r w:rsidRPr="00F25463">
        <w:rPr>
          <w:rFonts w:hAnsi="Times New Roman" w:cs="Times New Roman"/>
          <w:sz w:val="22"/>
          <w:szCs w:val="22"/>
        </w:rPr>
        <w:t>l’ontario</w:t>
      </w:r>
      <w:proofErr w:type="spellEnd"/>
      <w:r w:rsidRPr="00F25463">
        <w:rPr>
          <w:rFonts w:hAnsi="Times New Roman" w:cs="Times New Roman"/>
          <w:sz w:val="22"/>
          <w:szCs w:val="22"/>
        </w:rPr>
        <w:t xml:space="preserve"> qui ouvre le bal)</w:t>
      </w:r>
    </w:p>
    <w:p w14:paraId="72FC711A"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Cette affaire est différente de l’affaire de la radio (1932) puisque la « radio », ne tombe ni sous 91, ni sous 92.  Elle tombait donc sous 91 intro.</w:t>
      </w:r>
    </w:p>
    <w:p w14:paraId="598BEE60"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conventions de travail relève du droits civils et de la propriété (92 AANB), donc du provincial.</w:t>
      </w:r>
    </w:p>
    <w:p w14:paraId="6844C37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Ratio : Le conseil Privé donne raison aux provinces en disant que comme le sujet était de compétences provinciales, c’était aux provinces de légiférer.</w:t>
      </w:r>
    </w:p>
    <w:p w14:paraId="310CCB2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Ces 3 lois fédérales sont donc ultra vires de la compétences du fédéral. Encore aujourd’hui, cette affaire continu de régir la mise en œuvre des traités.</w:t>
      </w:r>
    </w:p>
    <w:p w14:paraId="52DBA11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BEDE98" w14:textId="77777777" w:rsidR="00EC0180" w:rsidRPr="00F25463" w:rsidRDefault="004270F6">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mise en œuvre dépend du sujet de la convention.  Maintenant on consulte les provinces au niveau de la négociation, on attend plus entre les signatures et sur ratification pour les consultés.</w:t>
      </w:r>
    </w:p>
    <w:p w14:paraId="0B6E49C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868"/>
        <w:jc w:val="both"/>
        <w:rPr>
          <w:rFonts w:hAnsi="Times New Roman" w:cs="Times New Roman"/>
          <w:sz w:val="22"/>
          <w:szCs w:val="22"/>
        </w:rPr>
      </w:pPr>
    </w:p>
    <w:p w14:paraId="2110577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 xml:space="preserve">Conséquence de cette affaire : </w:t>
      </w:r>
    </w:p>
    <w:p w14:paraId="0AF84EB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p>
    <w:p w14:paraId="72F09E31" w14:textId="77777777" w:rsidR="00EC0180" w:rsidRPr="00F25463" w:rsidRDefault="004270F6" w:rsidP="004270F6">
      <w:pPr>
        <w:numPr>
          <w:ilvl w:val="0"/>
          <w:numId w:val="72"/>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b/>
          <w:bCs/>
          <w:sz w:val="22"/>
          <w:szCs w:val="22"/>
        </w:rPr>
      </w:pPr>
      <w:r w:rsidRPr="00F25463">
        <w:rPr>
          <w:rFonts w:hAnsi="Times New Roman" w:cs="Times New Roman"/>
          <w:sz w:val="22"/>
          <w:szCs w:val="22"/>
        </w:rPr>
        <w:lastRenderedPageBreak/>
        <w:t>En pratique, avant de ratifier un traité relevant d’un sujet de compétence provinciale, le fédéral consulte les provinces pour s’assurer qu’elles vont le mettre en œuvre. Ça se fait par un processus informel d’échange de lettres sauf au Québec où ça se fait selon la Loi sur le ministère des affaires inter-gouvernementales (1974) ex : par décision gouvernementale</w:t>
      </w:r>
    </w:p>
    <w:p w14:paraId="13F1A43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t>-Entre la signature et la justification</w:t>
      </w:r>
    </w:p>
    <w:p w14:paraId="38362A9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p>
    <w:p w14:paraId="110D0E25" w14:textId="77777777" w:rsidR="00EC0180" w:rsidRPr="00F25463" w:rsidRDefault="004270F6" w:rsidP="004270F6">
      <w:pPr>
        <w:numPr>
          <w:ilvl w:val="0"/>
          <w:numId w:val="72"/>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b/>
          <w:bCs/>
          <w:sz w:val="22"/>
          <w:szCs w:val="22"/>
        </w:rPr>
      </w:pPr>
      <w:r w:rsidRPr="00F25463">
        <w:rPr>
          <w:rFonts w:hAnsi="Times New Roman" w:cs="Times New Roman"/>
          <w:sz w:val="22"/>
          <w:szCs w:val="22"/>
        </w:rPr>
        <w:t>Le fédéral insère lors des négociations la cause fédérale aux traités de compétence provinciale qu’il conclut.</w:t>
      </w:r>
    </w:p>
    <w:p w14:paraId="3CE45DC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u w:val="single"/>
        </w:rPr>
      </w:pPr>
    </w:p>
    <w:p w14:paraId="1FEDBDC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La clause fédérale :</w:t>
      </w:r>
    </w:p>
    <w:p w14:paraId="7E96877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u w:val="single"/>
        </w:rPr>
      </w:pPr>
    </w:p>
    <w:p w14:paraId="6FD8741D"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clauses fédérales ont pour but d’inciter les fédérations à s’engager sur des traités même s’ils sont de compétences provinciale.</w:t>
      </w:r>
    </w:p>
    <w:p w14:paraId="5DEB753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CFDBD57"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r w:rsidRPr="00F25463">
        <w:rPr>
          <w:rFonts w:hAnsi="Times New Roman" w:cs="Times New Roman"/>
          <w:b/>
          <w:bCs/>
          <w:sz w:val="22"/>
          <w:szCs w:val="22"/>
        </w:rPr>
        <w:t>Il y a 2 types de clause fédérale :</w:t>
      </w:r>
    </w:p>
    <w:p w14:paraId="1D55891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b/>
          <w:bCs/>
          <w:sz w:val="22"/>
          <w:szCs w:val="22"/>
        </w:rPr>
      </w:pPr>
    </w:p>
    <w:p w14:paraId="757868E7"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b/>
          <w:bCs/>
          <w:sz w:val="22"/>
          <w:szCs w:val="22"/>
        </w:rPr>
        <w:t>Celle qui se réfère au contenu du trait</w:t>
      </w:r>
      <w:r w:rsidRPr="00F25463">
        <w:rPr>
          <w:rFonts w:hAnsi="Times New Roman" w:cs="Times New Roman"/>
          <w:sz w:val="22"/>
          <w:szCs w:val="22"/>
        </w:rPr>
        <w:t xml:space="preserve"> (i.e. à la compétence législative) – réserve VS clause fédéral - Le fédérale s’engage internationalement seulement que sous les obligations qui relèvent de sa compétence. Il s’engage aussi a reconnaître aux provinces de les respecter.</w:t>
      </w:r>
    </w:p>
    <w:p w14:paraId="275D5F4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p>
    <w:p w14:paraId="441DF0B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r w:rsidRPr="00F25463">
        <w:rPr>
          <w:rFonts w:hAnsi="Times New Roman" w:cs="Times New Roman"/>
          <w:sz w:val="22"/>
          <w:szCs w:val="22"/>
        </w:rPr>
        <w:t>Le fédérale s’engage uniquement envers les obligations qui relève de sa compétence constitutionnelle.</w:t>
      </w:r>
    </w:p>
    <w:p w14:paraId="4BA7FA2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p>
    <w:p w14:paraId="0634EFC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r w:rsidRPr="00F25463">
        <w:rPr>
          <w:rFonts w:hAnsi="Times New Roman" w:cs="Times New Roman"/>
          <w:sz w:val="22"/>
          <w:szCs w:val="22"/>
        </w:rPr>
        <w:t>Exemple de Clause Fédérales se Référant au contenue d’un traité :</w:t>
      </w:r>
    </w:p>
    <w:p w14:paraId="37DE986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jc w:val="both"/>
        <w:rPr>
          <w:rFonts w:hAnsi="Times New Roman" w:cs="Times New Roman"/>
          <w:sz w:val="22"/>
          <w:szCs w:val="22"/>
        </w:rPr>
      </w:pPr>
    </w:p>
    <w:p w14:paraId="718A7B37" w14:textId="77777777" w:rsidR="00EC0180" w:rsidRPr="00F25463" w:rsidRDefault="004270F6" w:rsidP="004270F6">
      <w:pPr>
        <w:numPr>
          <w:ilvl w:val="1"/>
          <w:numId w:val="73"/>
        </w:numPr>
        <w:tabs>
          <w:tab w:val="clear" w:pos="1772"/>
          <w:tab w:val="num" w:pos="180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3" w:hanging="375"/>
        <w:jc w:val="both"/>
        <w:rPr>
          <w:rFonts w:hAnsi="Times New Roman" w:cs="Times New Roman"/>
          <w:sz w:val="22"/>
          <w:szCs w:val="22"/>
        </w:rPr>
      </w:pPr>
      <w:r w:rsidRPr="00F25463">
        <w:rPr>
          <w:rFonts w:hAnsi="Times New Roman" w:cs="Times New Roman"/>
          <w:sz w:val="22"/>
          <w:szCs w:val="22"/>
        </w:rPr>
        <w:t>L’État fédéral s’engage sur le plan international à ne respecter que les obligations du traité dont la mise en œuvre relève de sa compétence. (art 19)</w:t>
      </w:r>
    </w:p>
    <w:p w14:paraId="68A5E337" w14:textId="77777777" w:rsidR="00EC0180" w:rsidRPr="00F25463" w:rsidRDefault="004270F6" w:rsidP="004270F6">
      <w:pPr>
        <w:numPr>
          <w:ilvl w:val="1"/>
          <w:numId w:val="73"/>
        </w:numPr>
        <w:tabs>
          <w:tab w:val="clear" w:pos="1772"/>
          <w:tab w:val="num" w:pos="180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3" w:hanging="375"/>
        <w:jc w:val="both"/>
        <w:rPr>
          <w:rFonts w:hAnsi="Times New Roman" w:cs="Times New Roman"/>
          <w:sz w:val="22"/>
          <w:szCs w:val="22"/>
        </w:rPr>
      </w:pPr>
      <w:r w:rsidRPr="00F25463">
        <w:rPr>
          <w:rFonts w:hAnsi="Times New Roman" w:cs="Times New Roman"/>
          <w:sz w:val="22"/>
          <w:szCs w:val="22"/>
        </w:rPr>
        <w:t>Le fédéral s’engage à informer sur demande toutes les parties sur l’étendu de la mise en œuvre ou non du traité par ses États membre  (ou province).</w:t>
      </w:r>
    </w:p>
    <w:p w14:paraId="3F0AA719" w14:textId="77777777" w:rsidR="00EC0180" w:rsidRPr="00F25463" w:rsidRDefault="004270F6" w:rsidP="004270F6">
      <w:pPr>
        <w:numPr>
          <w:ilvl w:val="1"/>
          <w:numId w:val="73"/>
        </w:numPr>
        <w:tabs>
          <w:tab w:val="clear" w:pos="1772"/>
          <w:tab w:val="num" w:pos="1803"/>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3" w:hanging="375"/>
        <w:jc w:val="both"/>
        <w:rPr>
          <w:rFonts w:hAnsi="Times New Roman" w:cs="Times New Roman"/>
          <w:sz w:val="22"/>
          <w:szCs w:val="22"/>
        </w:rPr>
      </w:pPr>
      <w:r w:rsidRPr="00F25463">
        <w:rPr>
          <w:rFonts w:hAnsi="Times New Roman" w:cs="Times New Roman"/>
          <w:sz w:val="22"/>
          <w:szCs w:val="22"/>
        </w:rPr>
        <w:t>L’État fédéral s’engage uniquement à recommander aux provinces d’adopter des lois de mise en œuvre des obligations du traité qui sont de leur compétence.</w:t>
      </w:r>
    </w:p>
    <w:p w14:paraId="16B9361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A5BBE55"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r w:rsidRPr="00F25463">
        <w:rPr>
          <w:rFonts w:hAnsi="Times New Roman" w:cs="Times New Roman"/>
          <w:b/>
          <w:bCs/>
          <w:sz w:val="22"/>
          <w:szCs w:val="22"/>
        </w:rPr>
        <w:t>2. Celle qui se réfère à l’application territoriale du traité</w:t>
      </w:r>
      <w:r w:rsidRPr="00F25463">
        <w:rPr>
          <w:rFonts w:hAnsi="Times New Roman" w:cs="Times New Roman"/>
          <w:sz w:val="22"/>
          <w:szCs w:val="22"/>
        </w:rPr>
        <w:t xml:space="preserve">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à la compétence territoriale)</w:t>
      </w:r>
    </w:p>
    <w:p w14:paraId="0CA1976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p>
    <w:p w14:paraId="2E39F9B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r w:rsidRPr="00F25463">
        <w:rPr>
          <w:rFonts w:hAnsi="Times New Roman" w:cs="Times New Roman"/>
          <w:sz w:val="22"/>
          <w:szCs w:val="22"/>
        </w:rPr>
        <w:tab/>
        <w:t>Exemple de Clause fédérale d’application Territoriale</w:t>
      </w:r>
    </w:p>
    <w:p w14:paraId="012D131C"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hanging="360"/>
        <w:jc w:val="both"/>
        <w:rPr>
          <w:rFonts w:hAnsi="Times New Roman" w:cs="Times New Roman"/>
          <w:sz w:val="22"/>
          <w:szCs w:val="22"/>
        </w:rPr>
      </w:pPr>
    </w:p>
    <w:p w14:paraId="3942CCCC" w14:textId="77777777" w:rsidR="00EC0180" w:rsidRPr="00F25463" w:rsidRDefault="004270F6" w:rsidP="004270F6">
      <w:pPr>
        <w:numPr>
          <w:ilvl w:val="0"/>
          <w:numId w:val="74"/>
        </w:numPr>
        <w:tabs>
          <w:tab w:val="clear" w:pos="2460"/>
          <w:tab w:val="num" w:pos="2490"/>
          <w:tab w:val="left" w:pos="2832"/>
          <w:tab w:val="left" w:pos="3540"/>
          <w:tab w:val="left" w:pos="4248"/>
          <w:tab w:val="left" w:pos="4956"/>
          <w:tab w:val="left" w:pos="5664"/>
          <w:tab w:val="left" w:pos="6372"/>
          <w:tab w:val="left" w:pos="7080"/>
          <w:tab w:val="left" w:pos="7788"/>
          <w:tab w:val="left" w:pos="8496"/>
          <w:tab w:val="left" w:pos="9204"/>
          <w:tab w:val="left" w:pos="9472"/>
        </w:tabs>
        <w:ind w:left="2490" w:hanging="360"/>
        <w:jc w:val="both"/>
        <w:rPr>
          <w:rFonts w:hAnsi="Times New Roman" w:cs="Times New Roman"/>
          <w:sz w:val="22"/>
          <w:szCs w:val="22"/>
        </w:rPr>
      </w:pPr>
      <w:r w:rsidRPr="00F25463">
        <w:rPr>
          <w:rFonts w:hAnsi="Times New Roman" w:cs="Times New Roman"/>
          <w:sz w:val="22"/>
          <w:szCs w:val="22"/>
        </w:rPr>
        <w:t>La fédération peut déclarer sur quelles parties territoriales s’applique le traité (puisque chaque province a le pouvoir de décider) Ce type de clause peut être modifié à tout moment (ex : Doc 7)</w:t>
      </w:r>
    </w:p>
    <w:p w14:paraId="52B78DB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30"/>
        <w:jc w:val="both"/>
        <w:rPr>
          <w:rFonts w:hAnsi="Times New Roman" w:cs="Times New Roman"/>
          <w:sz w:val="22"/>
          <w:szCs w:val="22"/>
        </w:rPr>
      </w:pPr>
    </w:p>
    <w:p w14:paraId="66C4A87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30"/>
        <w:jc w:val="both"/>
        <w:rPr>
          <w:rFonts w:hAnsi="Times New Roman" w:cs="Times New Roman"/>
          <w:sz w:val="22"/>
          <w:szCs w:val="22"/>
        </w:rPr>
      </w:pPr>
      <w:r w:rsidRPr="00F25463">
        <w:rPr>
          <w:rFonts w:hAnsi="Times New Roman" w:cs="Times New Roman"/>
          <w:sz w:val="22"/>
          <w:szCs w:val="22"/>
        </w:rPr>
        <w:t>Déclaration unilatérale :</w:t>
      </w:r>
    </w:p>
    <w:p w14:paraId="217F577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30"/>
        <w:jc w:val="both"/>
        <w:rPr>
          <w:rFonts w:hAnsi="Times New Roman" w:cs="Times New Roman"/>
          <w:sz w:val="22"/>
          <w:szCs w:val="22"/>
        </w:rPr>
      </w:pPr>
    </w:p>
    <w:p w14:paraId="2D4B243B" w14:textId="77777777" w:rsidR="00EC0180" w:rsidRPr="00F25463" w:rsidRDefault="004270F6" w:rsidP="004270F6">
      <w:pPr>
        <w:numPr>
          <w:ilvl w:val="0"/>
          <w:numId w:val="75"/>
        </w:numPr>
        <w:tabs>
          <w:tab w:val="clear" w:pos="3165"/>
          <w:tab w:val="num" w:pos="3195"/>
          <w:tab w:val="left" w:pos="3540"/>
          <w:tab w:val="left" w:pos="4248"/>
          <w:tab w:val="left" w:pos="4956"/>
          <w:tab w:val="left" w:pos="5664"/>
          <w:tab w:val="left" w:pos="6372"/>
          <w:tab w:val="left" w:pos="7080"/>
          <w:tab w:val="left" w:pos="7788"/>
          <w:tab w:val="left" w:pos="8496"/>
          <w:tab w:val="left" w:pos="9204"/>
          <w:tab w:val="left" w:pos="9472"/>
        </w:tabs>
        <w:ind w:left="3195" w:hanging="360"/>
        <w:jc w:val="both"/>
        <w:rPr>
          <w:rFonts w:hAnsi="Times New Roman" w:cs="Times New Roman"/>
          <w:sz w:val="22"/>
          <w:szCs w:val="22"/>
        </w:rPr>
      </w:pPr>
      <w:r w:rsidRPr="00F25463">
        <w:rPr>
          <w:rFonts w:hAnsi="Times New Roman" w:cs="Times New Roman"/>
          <w:sz w:val="22"/>
          <w:szCs w:val="22"/>
        </w:rPr>
        <w:t>C’est ce dernier type de clause qui est favorisé par le Canada puisque la notion de compétence territoriale est plus claire que la notion de compétence législative. (</w:t>
      </w:r>
      <w:proofErr w:type="gramStart"/>
      <w:r w:rsidRPr="00F25463">
        <w:rPr>
          <w:rFonts w:hAnsi="Times New Roman" w:cs="Times New Roman"/>
          <w:sz w:val="22"/>
          <w:szCs w:val="22"/>
        </w:rPr>
        <w:t>car</w:t>
      </w:r>
      <w:proofErr w:type="gramEnd"/>
      <w:r w:rsidRPr="00F25463">
        <w:rPr>
          <w:rFonts w:hAnsi="Times New Roman" w:cs="Times New Roman"/>
          <w:sz w:val="22"/>
          <w:szCs w:val="22"/>
        </w:rPr>
        <w:t xml:space="preserve"> ce n’est pas clair pour les autres États , que sont les compétences du fédéral)</w:t>
      </w:r>
    </w:p>
    <w:p w14:paraId="36B9C785" w14:textId="77777777" w:rsidR="00EC0180" w:rsidRPr="00F25463" w:rsidRDefault="004270F6" w:rsidP="004270F6">
      <w:pPr>
        <w:numPr>
          <w:ilvl w:val="0"/>
          <w:numId w:val="75"/>
        </w:numPr>
        <w:tabs>
          <w:tab w:val="clear" w:pos="3165"/>
          <w:tab w:val="num" w:pos="3195"/>
          <w:tab w:val="left" w:pos="3540"/>
          <w:tab w:val="left" w:pos="4248"/>
          <w:tab w:val="left" w:pos="4956"/>
          <w:tab w:val="left" w:pos="5664"/>
          <w:tab w:val="left" w:pos="6372"/>
          <w:tab w:val="left" w:pos="7080"/>
          <w:tab w:val="left" w:pos="7788"/>
          <w:tab w:val="left" w:pos="8496"/>
          <w:tab w:val="left" w:pos="9204"/>
          <w:tab w:val="left" w:pos="9472"/>
        </w:tabs>
        <w:ind w:left="3195" w:hanging="360"/>
        <w:jc w:val="both"/>
        <w:rPr>
          <w:rFonts w:hAnsi="Times New Roman" w:cs="Times New Roman"/>
          <w:sz w:val="22"/>
          <w:szCs w:val="22"/>
        </w:rPr>
      </w:pPr>
      <w:r w:rsidRPr="00F25463">
        <w:rPr>
          <w:rFonts w:hAnsi="Times New Roman" w:cs="Times New Roman"/>
          <w:sz w:val="22"/>
          <w:szCs w:val="22"/>
        </w:rPr>
        <w:t>Problème dû au partage des compétences</w:t>
      </w:r>
    </w:p>
    <w:p w14:paraId="10281C3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CF878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t>Réserve possible :</w:t>
      </w:r>
    </w:p>
    <w:p w14:paraId="4D902C0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p>
    <w:p w14:paraId="2EF6C411"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tab/>
        <w:t>L’État s’engage au traité mais limite sa responsabilité aux obligations relevant de sa compétence (peu utilisé car ce n’est pas clair pour les autres États quel sont les compétences du fédéral)</w:t>
      </w:r>
    </w:p>
    <w:p w14:paraId="4BCC95B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lastRenderedPageBreak/>
        <w:t>Si dans un traité il n’y a pas de clause fédérale, le fédérale peut protéger quand même en émettant une réserve en disant : plus haut…</w:t>
      </w:r>
    </w:p>
    <w:p w14:paraId="0299848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67CDA3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iii) Traité de prérogative</w:t>
      </w:r>
    </w:p>
    <w:p w14:paraId="0ECD822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D05CAEE"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r w:rsidRPr="00F25463">
        <w:rPr>
          <w:rFonts w:hAnsi="Times New Roman" w:cs="Times New Roman"/>
          <w:sz w:val="22"/>
          <w:szCs w:val="22"/>
        </w:rPr>
        <w:t>Définition : Les traités ne contredisent pas le droit interne et ne touche pas aux droits privés des individus.</w:t>
      </w:r>
    </w:p>
    <w:p w14:paraId="62470D5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AD78644" w14:textId="77777777" w:rsidR="00EC0180" w:rsidRPr="00F25463" w:rsidRDefault="004270F6">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 xml:space="preserve">Conséquence : Les tribunaux canadiens reconnaissent que ces traités ne </w:t>
      </w:r>
      <w:proofErr w:type="gramStart"/>
      <w:r w:rsidRPr="00F25463">
        <w:rPr>
          <w:rFonts w:hAnsi="Times New Roman" w:cs="Times New Roman"/>
          <w:sz w:val="22"/>
          <w:szCs w:val="22"/>
        </w:rPr>
        <w:t>nécessite</w:t>
      </w:r>
      <w:proofErr w:type="gramEnd"/>
      <w:r w:rsidRPr="00F25463">
        <w:rPr>
          <w:rFonts w:hAnsi="Times New Roman" w:cs="Times New Roman"/>
          <w:sz w:val="22"/>
          <w:szCs w:val="22"/>
        </w:rPr>
        <w:t xml:space="preserve"> pas l’incorporation d’une loi pour qu’ils les appliquent.</w:t>
      </w:r>
    </w:p>
    <w:p w14:paraId="1946B95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49421CB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Ces traités ne touchent qu’à l’ordre juridique international</w:t>
      </w:r>
    </w:p>
    <w:p w14:paraId="08559DD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p>
    <w:p w14:paraId="5793E08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 xml:space="preserve">Dans l’Affaire Francis c. The </w:t>
      </w:r>
      <w:proofErr w:type="spellStart"/>
      <w:r w:rsidRPr="00F25463">
        <w:rPr>
          <w:rFonts w:hAnsi="Times New Roman" w:cs="Times New Roman"/>
          <w:b/>
          <w:bCs/>
          <w:sz w:val="22"/>
          <w:szCs w:val="22"/>
        </w:rPr>
        <w:t>Queen</w:t>
      </w:r>
      <w:proofErr w:type="spellEnd"/>
      <w:r w:rsidRPr="00F25463">
        <w:rPr>
          <w:rFonts w:hAnsi="Times New Roman" w:cs="Times New Roman"/>
          <w:b/>
          <w:bCs/>
          <w:sz w:val="22"/>
          <w:szCs w:val="22"/>
        </w:rPr>
        <w:t xml:space="preserve"> (1956), le juge Rand en donne plusieurs exemples :</w:t>
      </w:r>
    </w:p>
    <w:p w14:paraId="5F1A263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ab/>
      </w:r>
    </w:p>
    <w:p w14:paraId="0939C1A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 xml:space="preserve">Les traités : </w:t>
      </w:r>
    </w:p>
    <w:p w14:paraId="07C73F86"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de paix</w:t>
      </w:r>
    </w:p>
    <w:p w14:paraId="01DCA3F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établissant des frontières (même maritimes)</w:t>
      </w:r>
    </w:p>
    <w:p w14:paraId="088AFB9F"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de reconnaissance d’État ou de gouvernement</w:t>
      </w:r>
    </w:p>
    <w:p w14:paraId="56E3C1C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A8DD6E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Font aussi parti des traités de prérogative :</w:t>
      </w:r>
    </w:p>
    <w:p w14:paraId="2E7A7B38"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Les traités :</w:t>
      </w:r>
    </w:p>
    <w:p w14:paraId="2BD5CD6A"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Créant des organisation internationales</w:t>
      </w:r>
    </w:p>
    <w:p w14:paraId="44362C9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De neutralité</w:t>
      </w:r>
    </w:p>
    <w:p w14:paraId="6D59182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Concernant l’exploitation et l’utilisation de l’espace extra-atmosphérique (ex : le traité qui dit qu’un État ne peut pas posséder la lune)</w:t>
      </w:r>
    </w:p>
    <w:p w14:paraId="0DFFBF8C"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Relatif à la défense.</w:t>
      </w:r>
    </w:p>
    <w:p w14:paraId="2764269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2A3D2F"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Caractéristique des traités de prérogative</w:t>
      </w:r>
    </w:p>
    <w:p w14:paraId="177A205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337BBDE"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Ils ne contredisent pas le droit interne canadien.</w:t>
      </w:r>
    </w:p>
    <w:p w14:paraId="4C2EFCB4"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Ils n’affectent pas les droits privés des individus</w:t>
      </w:r>
    </w:p>
    <w:p w14:paraId="41A1630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Ex : les traités de commerce international (affecte le droit privé des individus et ne sont pas des traités de prérogative</w:t>
      </w:r>
    </w:p>
    <w:p w14:paraId="6761C58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proofErr w:type="gramStart"/>
      <w:r w:rsidRPr="00F25463">
        <w:rPr>
          <w:rFonts w:hAnsi="Times New Roman" w:cs="Times New Roman"/>
          <w:sz w:val="22"/>
          <w:szCs w:val="22"/>
        </w:rPr>
        <w:t>Leur effets</w:t>
      </w:r>
      <w:proofErr w:type="gramEnd"/>
      <w:r w:rsidRPr="00F25463">
        <w:rPr>
          <w:rFonts w:hAnsi="Times New Roman" w:cs="Times New Roman"/>
          <w:sz w:val="22"/>
          <w:szCs w:val="22"/>
        </w:rPr>
        <w:t xml:space="preserve"> se font sentir surtout dans l’ordre juridique international.</w:t>
      </w:r>
    </w:p>
    <w:p w14:paraId="2CE2F9A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A8F2A1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Note : Si ces traités impliquent des dépenses, ils devront être approuvés par le législatif (même s’il ne nécessite pas de loi d’incorporation) – c’est le parlement</w:t>
      </w:r>
    </w:p>
    <w:p w14:paraId="014EB2B0"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329C6D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iv) L’attitude des tribunaux canadiens lors de l’application des traités.</w:t>
      </w:r>
    </w:p>
    <w:p w14:paraId="34BE8CE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D2FB0C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Si un traité est en conflit avec une loi canadienne, les tribunaux appliquent la disposition la plus récente. (</w:t>
      </w:r>
      <w:proofErr w:type="gramStart"/>
      <w:r w:rsidRPr="00F25463">
        <w:rPr>
          <w:rFonts w:hAnsi="Times New Roman" w:cs="Times New Roman"/>
          <w:sz w:val="22"/>
          <w:szCs w:val="22"/>
        </w:rPr>
        <w:t>sous</w:t>
      </w:r>
      <w:proofErr w:type="gramEnd"/>
      <w:r w:rsidRPr="00F25463">
        <w:rPr>
          <w:rFonts w:hAnsi="Times New Roman" w:cs="Times New Roman"/>
          <w:sz w:val="22"/>
          <w:szCs w:val="22"/>
        </w:rPr>
        <w:t xml:space="preserve"> réserve du risque d’engager la responsabilité internationale)</w:t>
      </w:r>
    </w:p>
    <w:p w14:paraId="799E046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E1CE201" w14:textId="77777777" w:rsidR="00EC0180" w:rsidRPr="00F25463" w:rsidRDefault="004270F6">
      <w:pPr>
        <w:pStyle w:val="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u w:val="none"/>
        </w:rPr>
      </w:pPr>
      <w:r w:rsidRPr="00F25463">
        <w:rPr>
          <w:rFonts w:hAnsi="Times New Roman" w:cs="Times New Roman"/>
          <w:b/>
          <w:bCs/>
          <w:sz w:val="22"/>
          <w:szCs w:val="22"/>
          <w:u w:val="none"/>
        </w:rPr>
        <w:t>Interprétation de la loi incorporant un traité.</w:t>
      </w:r>
    </w:p>
    <w:p w14:paraId="75170585" w14:textId="77777777" w:rsidR="00EC0180" w:rsidRPr="00F25463" w:rsidRDefault="00EC0180">
      <w:pPr>
        <w:pStyle w:val="Corpsdetexte2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u w:val="none"/>
        </w:rPr>
      </w:pPr>
    </w:p>
    <w:p w14:paraId="0F3BB24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2 ordres : canadien (concerne le Canada avec les lois canadiennes) et international (concerne CIJ)</w:t>
      </w:r>
    </w:p>
    <w:p w14:paraId="00325A0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6B4A66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Les tribunaux canadiens suivent ce principe d’interprétation </w:t>
      </w:r>
    </w:p>
    <w:p w14:paraId="7B604116"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Une loi qui interprète un traité est interprété selon ses termes (qui sont clair)</w:t>
      </w:r>
    </w:p>
    <w:p w14:paraId="36ADF3C3"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Si les termes sont ambigus, le juge canadien recherche la signification en examinant </w:t>
      </w:r>
      <w:proofErr w:type="gramStart"/>
      <w:r w:rsidRPr="00F25463">
        <w:rPr>
          <w:rFonts w:hAnsi="Times New Roman" w:cs="Times New Roman"/>
          <w:sz w:val="22"/>
          <w:szCs w:val="22"/>
        </w:rPr>
        <w:t>les disposition</w:t>
      </w:r>
      <w:proofErr w:type="gramEnd"/>
      <w:r w:rsidRPr="00F25463">
        <w:rPr>
          <w:rFonts w:hAnsi="Times New Roman" w:cs="Times New Roman"/>
          <w:sz w:val="22"/>
          <w:szCs w:val="22"/>
        </w:rPr>
        <w:t xml:space="preserve"> du traité lui-même.</w:t>
      </w:r>
    </w:p>
    <w:p w14:paraId="4A6D429A"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lastRenderedPageBreak/>
        <w:t>En droit canadien, il y a une présomption de compatibilité entre le sens de la loi d’incorporation et le sens du traité.  En conséquence, le juge va essayer de concilier le plus possible la loi et le traité. (s’il y a incompatibilité, la loi prime) en droit anglo-canadien (compatibilité)</w:t>
      </w:r>
    </w:p>
    <w:p w14:paraId="5CA0E1B7"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Il y a présomption de compatibilité entre le but du traité et le but de la loi d’incorporation.  Le juge considère que le but du traité peut déterminer plus facilement le but de la loi.</w:t>
      </w:r>
    </w:p>
    <w:p w14:paraId="2300062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p>
    <w:p w14:paraId="52F96D8C"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b/>
          <w:bCs/>
          <w:sz w:val="22"/>
          <w:szCs w:val="22"/>
        </w:rPr>
        <w:t>Ex</w:t>
      </w:r>
      <w:r w:rsidRPr="00F25463">
        <w:rPr>
          <w:rFonts w:hAnsi="Times New Roman" w:cs="Times New Roman"/>
          <w:sz w:val="22"/>
          <w:szCs w:val="22"/>
        </w:rPr>
        <w:t xml:space="preserve"> : L’Affaire R. c. </w:t>
      </w:r>
      <w:proofErr w:type="spellStart"/>
      <w:r w:rsidRPr="00F25463">
        <w:rPr>
          <w:rFonts w:hAnsi="Times New Roman" w:cs="Times New Roman"/>
          <w:sz w:val="22"/>
          <w:szCs w:val="22"/>
        </w:rPr>
        <w:t>Geesman</w:t>
      </w:r>
      <w:proofErr w:type="spellEnd"/>
      <w:r w:rsidRPr="00F25463">
        <w:rPr>
          <w:rFonts w:hAnsi="Times New Roman" w:cs="Times New Roman"/>
          <w:sz w:val="22"/>
          <w:szCs w:val="22"/>
        </w:rPr>
        <w:t xml:space="preserve"> (1971), dans laquelle le juge, en déterminant que le but d’un traité était de défendre tout le trafic de drogue non autorisée a déclaré </w:t>
      </w:r>
      <w:proofErr w:type="spellStart"/>
      <w:r w:rsidRPr="00F25463">
        <w:rPr>
          <w:rFonts w:hAnsi="Times New Roman" w:cs="Times New Roman"/>
          <w:sz w:val="22"/>
          <w:szCs w:val="22"/>
        </w:rPr>
        <w:t>Geesman</w:t>
      </w:r>
      <w:proofErr w:type="spellEnd"/>
      <w:r w:rsidRPr="00F25463">
        <w:rPr>
          <w:rFonts w:hAnsi="Times New Roman" w:cs="Times New Roman"/>
          <w:sz w:val="22"/>
          <w:szCs w:val="22"/>
        </w:rPr>
        <w:t xml:space="preserve"> coupable en vertu de la Loi canadienne d’Avoir importé des drogues au Canada et ce, même si </w:t>
      </w:r>
      <w:proofErr w:type="spellStart"/>
      <w:r w:rsidRPr="00F25463">
        <w:rPr>
          <w:rFonts w:hAnsi="Times New Roman" w:cs="Times New Roman"/>
          <w:sz w:val="22"/>
          <w:szCs w:val="22"/>
        </w:rPr>
        <w:t>Geesman</w:t>
      </w:r>
      <w:proofErr w:type="spellEnd"/>
      <w:r w:rsidRPr="00F25463">
        <w:rPr>
          <w:rFonts w:hAnsi="Times New Roman" w:cs="Times New Roman"/>
          <w:sz w:val="22"/>
          <w:szCs w:val="22"/>
        </w:rPr>
        <w:t xml:space="preserve"> n’était que de passage par le Canada pour une destination étrangère. (CRNS 240). Le juge canadien parle de la convention dans la loi, qui parle de tout trafic de drogue peu importe la raison. Donc, est aller voir le but de la loi avec la convention.</w:t>
      </w:r>
    </w:p>
    <w:p w14:paraId="45EC6A1A"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9AF43E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73CCFAA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 xml:space="preserve">IV. Terminaison et suspension des traités (art 42 à 75 CVDT- règles impérative, traite de la nullité, suspension et l’extinction de l’application dans traités) – ce sont partout des règles du droit coutumier (p.100-101-112 à 120 </w:t>
      </w:r>
      <w:proofErr w:type="spellStart"/>
      <w:r w:rsidRPr="00F25463">
        <w:rPr>
          <w:rFonts w:hAnsi="Times New Roman" w:cs="Times New Roman"/>
          <w:b/>
          <w:bCs/>
          <w:sz w:val="22"/>
          <w:szCs w:val="22"/>
        </w:rPr>
        <w:t>Arbour</w:t>
      </w:r>
      <w:proofErr w:type="spellEnd"/>
      <w:r w:rsidRPr="00F25463">
        <w:rPr>
          <w:rFonts w:hAnsi="Times New Roman" w:cs="Times New Roman"/>
          <w:b/>
          <w:bCs/>
          <w:sz w:val="22"/>
          <w:szCs w:val="22"/>
        </w:rPr>
        <w:t>)</w:t>
      </w:r>
    </w:p>
    <w:p w14:paraId="19B92E5E"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7034811F" w14:textId="77777777" w:rsidR="00EC0180" w:rsidRPr="00F25463" w:rsidRDefault="004270F6" w:rsidP="004270F6">
      <w:pPr>
        <w:numPr>
          <w:ilvl w:val="0"/>
          <w:numId w:val="76"/>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b/>
          <w:bCs/>
          <w:i/>
          <w:iCs/>
          <w:sz w:val="22"/>
          <w:szCs w:val="22"/>
        </w:rPr>
      </w:pPr>
      <w:r w:rsidRPr="00F25463">
        <w:rPr>
          <w:rFonts w:hAnsi="Times New Roman" w:cs="Times New Roman"/>
          <w:i/>
          <w:iCs/>
          <w:sz w:val="22"/>
          <w:szCs w:val="22"/>
        </w:rPr>
        <w:t>Conditions de validité des traités</w:t>
      </w:r>
    </w:p>
    <w:p w14:paraId="294A6C3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p>
    <w:p w14:paraId="2726277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On ne peut pas déroger à ces règles par convention particulière (ce sont des règles impératives)</w:t>
      </w:r>
    </w:p>
    <w:p w14:paraId="7DC4BD85"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validité des traités dépend de l’authenticité du consentement qui a été donné et, au point de vue matériel, de sa conformité aux normes de la jus cogens (art 53)</w:t>
      </w:r>
    </w:p>
    <w:p w14:paraId="7FA7877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90576BD"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consentement : art 46 à 52 CVDT</w:t>
      </w:r>
    </w:p>
    <w:p w14:paraId="41A910A5"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0DF0579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La CVDT à ses articles 46 à 53 prévoit 7 cas où un traité peu être annulé. Elle crée 2 régimes différents :</w:t>
      </w:r>
    </w:p>
    <w:p w14:paraId="585C366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64A020BA" w14:textId="77777777" w:rsidR="00EC0180" w:rsidRPr="00F25463" w:rsidRDefault="004270F6" w:rsidP="004270F6">
      <w:pPr>
        <w:numPr>
          <w:ilvl w:val="1"/>
          <w:numId w:val="77"/>
        </w:numPr>
        <w:tabs>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jc w:val="both"/>
        <w:rPr>
          <w:rFonts w:hAnsi="Times New Roman" w:cs="Times New Roman"/>
          <w:sz w:val="22"/>
          <w:szCs w:val="22"/>
        </w:rPr>
      </w:pPr>
      <w:r w:rsidRPr="00F25463">
        <w:rPr>
          <w:rFonts w:hAnsi="Times New Roman" w:cs="Times New Roman"/>
          <w:b/>
          <w:bCs/>
          <w:sz w:val="22"/>
          <w:szCs w:val="22"/>
        </w:rPr>
        <w:t>La nullité absolu</w:t>
      </w:r>
      <w:r w:rsidRPr="00F25463">
        <w:rPr>
          <w:rFonts w:hAnsi="Times New Roman" w:cs="Times New Roman"/>
          <w:sz w:val="22"/>
          <w:szCs w:val="22"/>
        </w:rPr>
        <w:t xml:space="preserve"> (toute les parties au traité peuvent annulé) : art 51 à 52 CVDT</w:t>
      </w:r>
    </w:p>
    <w:p w14:paraId="6E145D74"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24"/>
        <w:jc w:val="both"/>
        <w:rPr>
          <w:rFonts w:hAnsi="Times New Roman" w:cs="Times New Roman"/>
          <w:sz w:val="22"/>
          <w:szCs w:val="22"/>
        </w:rPr>
      </w:pPr>
      <w:r w:rsidRPr="00F25463">
        <w:rPr>
          <w:rFonts w:hAnsi="Times New Roman" w:cs="Times New Roman"/>
          <w:sz w:val="22"/>
          <w:szCs w:val="22"/>
        </w:rPr>
        <w:t xml:space="preserve">Sont une cause de nullité absolue, la contrainte exercé sur le représentant d’un État et la contrainte exercée sur un État lui-même par la menace ou l’emploi de la force (armée) en violation de la Charte de l’ONU. Un traité ne peut jamais aller à l’encontre de la jus cogens, s’il </w:t>
      </w:r>
      <w:proofErr w:type="spellStart"/>
      <w:r w:rsidRPr="00F25463">
        <w:rPr>
          <w:rFonts w:hAnsi="Times New Roman" w:cs="Times New Roman"/>
          <w:sz w:val="22"/>
          <w:szCs w:val="22"/>
        </w:rPr>
        <w:t>và</w:t>
      </w:r>
      <w:proofErr w:type="spellEnd"/>
      <w:r w:rsidRPr="00F25463">
        <w:rPr>
          <w:rFonts w:hAnsi="Times New Roman" w:cs="Times New Roman"/>
          <w:sz w:val="22"/>
          <w:szCs w:val="22"/>
        </w:rPr>
        <w:t xml:space="preserve"> contre ces règles, le traité devient nul. Apporte aussi une nullité absolue, l’utilisation de la force (envahissement d’un État envers un autre). </w:t>
      </w:r>
    </w:p>
    <w:p w14:paraId="1E521BD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F029B69" w14:textId="77777777" w:rsidR="00EC0180" w:rsidRPr="00F25463" w:rsidRDefault="004270F6" w:rsidP="004270F6">
      <w:pPr>
        <w:pStyle w:val="BodyText"/>
        <w:numPr>
          <w:ilvl w:val="1"/>
          <w:numId w:val="77"/>
        </w:numPr>
        <w:tabs>
          <w:tab w:val="clear" w:pos="360"/>
          <w:tab w:val="clear" w:pos="1755"/>
          <w:tab w:val="num"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5" w:hanging="360"/>
        <w:rPr>
          <w:rFonts w:hAnsi="Times New Roman" w:cs="Times New Roman"/>
          <w:sz w:val="22"/>
          <w:szCs w:val="22"/>
        </w:rPr>
      </w:pPr>
      <w:r w:rsidRPr="00F25463">
        <w:rPr>
          <w:rFonts w:hAnsi="Times New Roman" w:cs="Times New Roman"/>
          <w:b/>
          <w:bCs/>
          <w:sz w:val="22"/>
          <w:szCs w:val="22"/>
        </w:rPr>
        <w:t>La nullité relative</w:t>
      </w:r>
      <w:r w:rsidRPr="00F25463">
        <w:rPr>
          <w:rFonts w:hAnsi="Times New Roman" w:cs="Times New Roman"/>
          <w:sz w:val="22"/>
          <w:szCs w:val="22"/>
        </w:rPr>
        <w:t xml:space="preserve"> (seul l’état concerné peut annulé) : art 46 à 50 CVDT : nullité relative :</w:t>
      </w:r>
    </w:p>
    <w:p w14:paraId="3210ED9A" w14:textId="77777777" w:rsidR="00EC0180" w:rsidRPr="00F25463" w:rsidRDefault="00EC0180">
      <w:pPr>
        <w:pStyle w:val="BodyText"/>
        <w:tabs>
          <w:tab w:val="clear"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5"/>
        <w:rPr>
          <w:rFonts w:hAnsi="Times New Roman" w:cs="Times New Roman"/>
          <w:sz w:val="22"/>
          <w:szCs w:val="22"/>
        </w:rPr>
      </w:pPr>
    </w:p>
    <w:p w14:paraId="4E77FA5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corruption du représentant d’un État</w:t>
      </w:r>
    </w:p>
    <w:p w14:paraId="6BCBF42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dol</w:t>
      </w:r>
    </w:p>
    <w:p w14:paraId="0A629BD8"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L’erreur de fait</w:t>
      </w:r>
    </w:p>
    <w:p w14:paraId="040163F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La violation manifeste </w:t>
      </w:r>
      <w:proofErr w:type="gramStart"/>
      <w:r w:rsidRPr="00F25463">
        <w:rPr>
          <w:rFonts w:hAnsi="Times New Roman" w:cs="Times New Roman"/>
          <w:sz w:val="22"/>
          <w:szCs w:val="22"/>
        </w:rPr>
        <w:t>d’un disposition</w:t>
      </w:r>
      <w:proofErr w:type="gramEnd"/>
      <w:r w:rsidRPr="00F25463">
        <w:rPr>
          <w:rFonts w:hAnsi="Times New Roman" w:cs="Times New Roman"/>
          <w:sz w:val="22"/>
          <w:szCs w:val="22"/>
        </w:rPr>
        <w:t xml:space="preserve"> de droit interne d’importance fondamentale concernant l’aménagement des compétences pour conclure des traités </w:t>
      </w:r>
    </w:p>
    <w:p w14:paraId="4463F06A"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L’excès de pouvoir d’un représentant de l’État</w:t>
      </w:r>
    </w:p>
    <w:p w14:paraId="490AE08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153B870"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45 CVDT,</w:t>
      </w:r>
      <w:r w:rsidRPr="00F25463">
        <w:rPr>
          <w:rFonts w:hAnsi="Times New Roman" w:cs="Times New Roman"/>
          <w:sz w:val="22"/>
          <w:szCs w:val="22"/>
        </w:rPr>
        <w:t xml:space="preserve"> une nullité relative peut être couverte par consentement subséquent de l’État victime, ce qui n’est pas le cas pour une nullité absolue. (</w:t>
      </w:r>
      <w:proofErr w:type="gramStart"/>
      <w:r w:rsidRPr="00F25463">
        <w:rPr>
          <w:rFonts w:hAnsi="Times New Roman" w:cs="Times New Roman"/>
          <w:sz w:val="22"/>
          <w:szCs w:val="22"/>
        </w:rPr>
        <w:t>donc</w:t>
      </w:r>
      <w:proofErr w:type="gramEnd"/>
      <w:r w:rsidRPr="00F25463">
        <w:rPr>
          <w:rFonts w:hAnsi="Times New Roman" w:cs="Times New Roman"/>
          <w:sz w:val="22"/>
          <w:szCs w:val="22"/>
        </w:rPr>
        <w:t xml:space="preserve"> l’état victime pourrait tout de même consentir au traité). </w:t>
      </w:r>
    </w:p>
    <w:p w14:paraId="43D77907"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C4AE14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12 CVDT,</w:t>
      </w:r>
      <w:r w:rsidRPr="00F25463">
        <w:rPr>
          <w:rFonts w:hAnsi="Times New Roman" w:cs="Times New Roman"/>
          <w:sz w:val="22"/>
          <w:szCs w:val="22"/>
        </w:rPr>
        <w:t xml:space="preserve"> cependant dans les 2 cas, l’existence d’un vice de consentement ne donne pas un droit unilatéral de dénonciation puisque l’État victime doit respecter la procédure </w:t>
      </w:r>
      <w:r w:rsidRPr="00F25463">
        <w:rPr>
          <w:rFonts w:hAnsi="Times New Roman" w:cs="Times New Roman"/>
          <w:b/>
          <w:bCs/>
          <w:sz w:val="22"/>
          <w:szCs w:val="22"/>
        </w:rPr>
        <w:t>105 CVDT</w:t>
      </w:r>
      <w:r w:rsidRPr="00F25463">
        <w:rPr>
          <w:rFonts w:hAnsi="Times New Roman" w:cs="Times New Roman"/>
          <w:sz w:val="22"/>
          <w:szCs w:val="22"/>
        </w:rPr>
        <w:t xml:space="preserve"> (notification et processus de conciliation)</w:t>
      </w:r>
    </w:p>
    <w:p w14:paraId="1FB2260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06AD42F"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 xml:space="preserve">La légitimité du contenu ou le jus cogens- 53 CVDT : </w:t>
      </w:r>
      <w:r w:rsidRPr="00F25463">
        <w:rPr>
          <w:rFonts w:hAnsi="Times New Roman" w:cs="Times New Roman"/>
          <w:sz w:val="22"/>
          <w:szCs w:val="22"/>
        </w:rPr>
        <w:t>acte injustifiable, toute personne de bonne volonté accepte que toute forme de société doivent être régit par des principes fondamentale, incontestable.  Il a existé à la CVDT. On l’utilise en matière de droit humanitaire, principe évoqué souvent.  Aussi en droit pénal international.</w:t>
      </w:r>
    </w:p>
    <w:p w14:paraId="6D5AD488"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0984DDB"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1. Concept universelle</w:t>
      </w:r>
    </w:p>
    <w:p w14:paraId="7DEFAC7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EB920C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Les règles de jus cogens sont des normes acceptées et reconnus par la communauté internationale et des États dans son ensemble en tant que normes auxquelles aucune dérogation n’est permise et qui peuvent être modifiées que par une autre règle de jus cogens. (norme impérative de droit international) On ne peut déroger à ces règles ni par convention, ni par coutume.  </w:t>
      </w:r>
    </w:p>
    <w:p w14:paraId="4F2A9B4D"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En droit interne c’est ce qui se rapproche de l’ordre public.</w:t>
      </w:r>
    </w:p>
    <w:p w14:paraId="3094B74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4491F79"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2.  On ne peut pas la violer par une coutume ou par un traité. Seulement une règle de jus cogens peut en changer une autre.</w:t>
      </w:r>
    </w:p>
    <w:p w14:paraId="144953A1"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C1A05D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5E74A6"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64 CVDT, la règle est évolutive.  Un traité peut être valide lors de son entré en vigueur, mais il peut devenir en contradiction avec une nouvelle règle de jus cogens. (il serait alors nul de nullité absolu et prendra fin)</w:t>
      </w:r>
    </w:p>
    <w:p w14:paraId="5BADEDF4"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A8E87FA" w14:textId="77777777" w:rsidR="00EC0180" w:rsidRPr="00F25463" w:rsidRDefault="004270F6" w:rsidP="004270F6">
      <w:pPr>
        <w:numPr>
          <w:ilvl w:val="1"/>
          <w:numId w:val="78"/>
        </w:numPr>
        <w:tabs>
          <w:tab w:val="clear" w:pos="330"/>
          <w:tab w:val="num" w:pos="360"/>
          <w:tab w:val="left" w:pos="1785"/>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hanging="360"/>
        <w:jc w:val="both"/>
        <w:rPr>
          <w:rFonts w:hAnsi="Times New Roman" w:cs="Times New Roman"/>
          <w:sz w:val="22"/>
          <w:szCs w:val="22"/>
        </w:rPr>
      </w:pPr>
      <w:r w:rsidRPr="00F25463">
        <w:rPr>
          <w:rFonts w:hAnsi="Times New Roman" w:cs="Times New Roman"/>
          <w:sz w:val="22"/>
          <w:szCs w:val="22"/>
        </w:rPr>
        <w:t>Règle évolutive (plus haut)</w:t>
      </w:r>
    </w:p>
    <w:p w14:paraId="09034F99"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5"/>
        <w:jc w:val="both"/>
        <w:rPr>
          <w:rFonts w:hAnsi="Times New Roman" w:cs="Times New Roman"/>
          <w:sz w:val="22"/>
          <w:szCs w:val="22"/>
        </w:rPr>
      </w:pPr>
    </w:p>
    <w:p w14:paraId="5F1168E3"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4.   La doctrine : </w:t>
      </w:r>
    </w:p>
    <w:p w14:paraId="39F1B12B"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8269D4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théorie sur ces règles est assez primitive puisque ce concept a été adopté vers 1969.  Quoi qu’il en soit, la doctrine considère que l’unanimité n’est pas nécessaire à la formation d’une règle de jus cogens mais le caractère obligatoire d’une règle doit être reconnu par une majorité des divers États répartis sur le globe pour être considérée comme telle.</w:t>
      </w:r>
    </w:p>
    <w:p w14:paraId="4C6BB043"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A55D88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 xml:space="preserve">La théorie est embryonnaire, elle devra être appliquer plus souvent par les tribunaux et pas les États. </w:t>
      </w:r>
    </w:p>
    <w:p w14:paraId="2A6072E2"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512418A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70D27C4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Exemple de règles de jus cogens :</w:t>
      </w:r>
    </w:p>
    <w:p w14:paraId="55F5D5A7"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L’interprétation de la piraterie (dans le but de s’enrichir), de l’esclavage, de génocide</w:t>
      </w:r>
    </w:p>
    <w:p w14:paraId="5312543D"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droit à l’autodétermination</w:t>
      </w:r>
    </w:p>
    <w:p w14:paraId="01368992"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L’interdiction de tout recours à la force n’importe où (art 2 (4) CNU)</w:t>
      </w:r>
    </w:p>
    <w:p w14:paraId="24485E9D" w14:textId="77777777" w:rsidR="00EC0180" w:rsidRPr="00F25463" w:rsidRDefault="004270F6" w:rsidP="004270F6">
      <w:pPr>
        <w:numPr>
          <w:ilvl w:val="0"/>
          <w:numId w:val="26"/>
        </w:numPr>
        <w:tabs>
          <w:tab w:val="clear" w:pos="1038"/>
          <w:tab w:val="num" w:pos="106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L’interdiction du recours à la force lors de la conclusion d’un traité (art 52 CVDT)</w:t>
      </w:r>
    </w:p>
    <w:p w14:paraId="076265D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4E97594" w14:textId="77777777" w:rsidR="00EC0180" w:rsidRPr="00F25463" w:rsidRDefault="004270F6">
      <w:pPr>
        <w:pStyle w:val="Heading4"/>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IV. Terminaison des traités (arts 54 à 64 CVDT) p 112 à 120 </w:t>
      </w:r>
      <w:proofErr w:type="spellStart"/>
      <w:r w:rsidRPr="00F25463">
        <w:rPr>
          <w:rFonts w:hAnsi="Times New Roman" w:cs="Times New Roman"/>
          <w:sz w:val="22"/>
          <w:szCs w:val="22"/>
        </w:rPr>
        <w:t>Arbour</w:t>
      </w:r>
      <w:proofErr w:type="spellEnd"/>
    </w:p>
    <w:p w14:paraId="6B50A51D" w14:textId="77777777" w:rsidR="00EC0180" w:rsidRPr="00F25463" w:rsidRDefault="00EC0180">
      <w:pPr>
        <w:tabs>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FDB32BD"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sz w:val="22"/>
          <w:szCs w:val="22"/>
        </w:rPr>
        <w:tab/>
        <w:t>Un traité peut prévoir les modalités de son extinction ou de sa suspension.  D’ailleurs la possibilité de se retirer d’un traité ou de le dénoncer est souvent prévue au traité. (</w:t>
      </w:r>
      <w:proofErr w:type="gramStart"/>
      <w:r w:rsidRPr="00F25463">
        <w:rPr>
          <w:rFonts w:hAnsi="Times New Roman" w:cs="Times New Roman"/>
          <w:sz w:val="22"/>
          <w:szCs w:val="22"/>
        </w:rPr>
        <w:t>disposition</w:t>
      </w:r>
      <w:proofErr w:type="gramEnd"/>
      <w:r w:rsidRPr="00F25463">
        <w:rPr>
          <w:rFonts w:hAnsi="Times New Roman" w:cs="Times New Roman"/>
          <w:sz w:val="22"/>
          <w:szCs w:val="22"/>
        </w:rPr>
        <w:t xml:space="preserve"> supplétives) </w:t>
      </w:r>
      <w:r w:rsidRPr="00F25463">
        <w:rPr>
          <w:rFonts w:hAnsi="Times New Roman" w:cs="Times New Roman"/>
          <w:b/>
          <w:bCs/>
          <w:sz w:val="22"/>
          <w:szCs w:val="22"/>
        </w:rPr>
        <w:t>(art 42 par.2 CVDT)</w:t>
      </w:r>
    </w:p>
    <w:p w14:paraId="6736310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503FED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42 par 1</w:t>
      </w:r>
      <w:r w:rsidRPr="00F25463">
        <w:rPr>
          <w:rFonts w:hAnsi="Times New Roman" w:cs="Times New Roman"/>
          <w:sz w:val="22"/>
          <w:szCs w:val="22"/>
        </w:rPr>
        <w:t> : s’impose aux partie</w:t>
      </w:r>
    </w:p>
    <w:p w14:paraId="2554260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84446B8"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roofErr w:type="gramStart"/>
      <w:r w:rsidRPr="00F25463">
        <w:rPr>
          <w:rFonts w:hAnsi="Times New Roman" w:cs="Times New Roman"/>
          <w:sz w:val="22"/>
          <w:szCs w:val="22"/>
        </w:rPr>
        <w:t>La dénonciation unilatéral</w:t>
      </w:r>
      <w:proofErr w:type="gramEnd"/>
      <w:r w:rsidRPr="00F25463">
        <w:rPr>
          <w:rFonts w:hAnsi="Times New Roman" w:cs="Times New Roman"/>
          <w:sz w:val="22"/>
          <w:szCs w:val="22"/>
        </w:rPr>
        <w:t> :</w:t>
      </w:r>
    </w:p>
    <w:p w14:paraId="5E59C8B3" w14:textId="77777777" w:rsidR="00EC0180" w:rsidRPr="00F25463" w:rsidRDefault="004270F6">
      <w:pPr>
        <w:tabs>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r w:rsidRPr="00F25463">
        <w:rPr>
          <w:rFonts w:hAnsi="Times New Roman" w:cs="Times New Roman"/>
          <w:sz w:val="22"/>
          <w:szCs w:val="22"/>
        </w:rPr>
        <w:tab/>
        <w:t xml:space="preserve">Si le traité ne contient pas de disposition pour se retirer unilatéralement du traité. Dans ce cas on se remet à l’art. 56 CVDT : </w:t>
      </w:r>
    </w:p>
    <w:p w14:paraId="35755C49"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2622D84"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 xml:space="preserve">Procédure : 56 (2) CVDT (en 1969 = droit nouveau mais aujourd’hui c’est du droit coutumier) </w:t>
      </w:r>
    </w:p>
    <w:p w14:paraId="3B79085B"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Cependant si le traité est silencieux à cet égard, le droit de retrait est quand même possible dans certain cas :</w:t>
      </w:r>
    </w:p>
    <w:p w14:paraId="2D425803" w14:textId="77777777" w:rsidR="00EC0180" w:rsidRPr="00F25463" w:rsidRDefault="004270F6" w:rsidP="004270F6">
      <w:pPr>
        <w:numPr>
          <w:ilvl w:val="1"/>
          <w:numId w:val="31"/>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b/>
          <w:bCs/>
          <w:sz w:val="22"/>
          <w:szCs w:val="22"/>
        </w:rPr>
      </w:pPr>
      <w:r w:rsidRPr="00F25463">
        <w:rPr>
          <w:rFonts w:hAnsi="Times New Roman" w:cs="Times New Roman"/>
          <w:sz w:val="22"/>
          <w:szCs w:val="22"/>
        </w:rPr>
        <w:t xml:space="preserve">Si ce droit peut être déduit de la </w:t>
      </w:r>
      <w:r w:rsidRPr="00F25463">
        <w:rPr>
          <w:rFonts w:hAnsi="Times New Roman" w:cs="Times New Roman"/>
          <w:b/>
          <w:bCs/>
          <w:sz w:val="22"/>
          <w:szCs w:val="22"/>
        </w:rPr>
        <w:t>nature du traité</w:t>
      </w:r>
    </w:p>
    <w:p w14:paraId="65373378"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Si </w:t>
      </w:r>
      <w:r w:rsidRPr="00F25463">
        <w:rPr>
          <w:rFonts w:hAnsi="Times New Roman" w:cs="Times New Roman"/>
          <w:b/>
          <w:bCs/>
          <w:sz w:val="22"/>
          <w:szCs w:val="22"/>
        </w:rPr>
        <w:t>l’intention</w:t>
      </w:r>
      <w:r w:rsidRPr="00F25463">
        <w:rPr>
          <w:rFonts w:hAnsi="Times New Roman" w:cs="Times New Roman"/>
          <w:sz w:val="22"/>
          <w:szCs w:val="22"/>
        </w:rPr>
        <w:t xml:space="preserve"> </w:t>
      </w:r>
      <w:r w:rsidRPr="00F25463">
        <w:rPr>
          <w:rFonts w:hAnsi="Times New Roman" w:cs="Times New Roman"/>
          <w:b/>
          <w:bCs/>
          <w:sz w:val="22"/>
          <w:szCs w:val="22"/>
        </w:rPr>
        <w:t>implicite</w:t>
      </w:r>
      <w:r w:rsidRPr="00F25463">
        <w:rPr>
          <w:rFonts w:hAnsi="Times New Roman" w:cs="Times New Roman"/>
          <w:sz w:val="22"/>
          <w:szCs w:val="22"/>
        </w:rPr>
        <w:t xml:space="preserve"> </w:t>
      </w:r>
      <w:r w:rsidRPr="00F25463">
        <w:rPr>
          <w:rFonts w:hAnsi="Times New Roman" w:cs="Times New Roman"/>
          <w:b/>
          <w:bCs/>
          <w:sz w:val="22"/>
          <w:szCs w:val="22"/>
        </w:rPr>
        <w:t>des parties</w:t>
      </w:r>
      <w:r w:rsidRPr="00F25463">
        <w:rPr>
          <w:rFonts w:hAnsi="Times New Roman" w:cs="Times New Roman"/>
          <w:sz w:val="22"/>
          <w:szCs w:val="22"/>
        </w:rPr>
        <w:t xml:space="preserve"> admet cette possibilité de se retirer</w:t>
      </w:r>
    </w:p>
    <w:p w14:paraId="11BE6E4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Exemple : dénonciation unilatéral</w:t>
      </w:r>
    </w:p>
    <w:p w14:paraId="5199013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          1. traité alliance politique (pas pour l’Éternité</w:t>
      </w:r>
    </w:p>
    <w:p w14:paraId="75D08500"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sz w:val="22"/>
          <w:szCs w:val="22"/>
        </w:rPr>
        <w:t xml:space="preserve"> 2. traité de coopération économique.</w:t>
      </w:r>
    </w:p>
    <w:p w14:paraId="5B8B520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p>
    <w:p w14:paraId="0AD6A84B"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sz w:val="22"/>
          <w:szCs w:val="22"/>
        </w:rPr>
        <w:t>Conclu pour tout le temps :</w:t>
      </w:r>
    </w:p>
    <w:p w14:paraId="6802FF3D"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traité de paix </w:t>
      </w:r>
    </w:p>
    <w:p w14:paraId="5606B7A0"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traité qui fixe des frontière (tout le temps, par sa nature, implique la durée)</w:t>
      </w:r>
    </w:p>
    <w:p w14:paraId="5ABF679D"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la</w:t>
      </w:r>
      <w:proofErr w:type="gramEnd"/>
      <w:r w:rsidRPr="00F25463">
        <w:rPr>
          <w:rFonts w:hAnsi="Times New Roman" w:cs="Times New Roman"/>
          <w:sz w:val="22"/>
          <w:szCs w:val="22"/>
        </w:rPr>
        <w:t xml:space="preserve"> chartes des nations Unis</w:t>
      </w:r>
    </w:p>
    <w:p w14:paraId="7BF6E0DA"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91CFDD6"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b/>
          <w:bCs/>
          <w:sz w:val="22"/>
          <w:szCs w:val="22"/>
        </w:rPr>
        <w:t>Éléments permettant le droit de retrait</w:t>
      </w:r>
      <w:r w:rsidRPr="00F25463">
        <w:rPr>
          <w:rFonts w:hAnsi="Times New Roman" w:cs="Times New Roman"/>
          <w:sz w:val="22"/>
          <w:szCs w:val="22"/>
        </w:rPr>
        <w:t> :</w:t>
      </w:r>
    </w:p>
    <w:p w14:paraId="7842D148"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60 CVDT : Une violation substantielle du traité par l’une des parties</w:t>
      </w:r>
    </w:p>
    <w:p w14:paraId="3663AF7E"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62 CVDT : un changement fondamental de circonstance lorsque (</w:t>
      </w:r>
      <w:proofErr w:type="spellStart"/>
      <w:r w:rsidRPr="00F25463">
        <w:rPr>
          <w:rFonts w:hAnsi="Times New Roman" w:cs="Times New Roman"/>
          <w:sz w:val="22"/>
          <w:szCs w:val="22"/>
        </w:rPr>
        <w:t>sibus</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sixtantibus</w:t>
      </w:r>
      <w:proofErr w:type="spellEnd"/>
      <w:r w:rsidRPr="00F25463">
        <w:rPr>
          <w:rFonts w:hAnsi="Times New Roman" w:cs="Times New Roman"/>
          <w:sz w:val="22"/>
          <w:szCs w:val="22"/>
        </w:rPr>
        <w:t xml:space="preserve">) : </w:t>
      </w:r>
    </w:p>
    <w:p w14:paraId="295043D3" w14:textId="77777777" w:rsidR="00EC0180" w:rsidRPr="00F25463" w:rsidRDefault="004270F6" w:rsidP="004270F6">
      <w:pPr>
        <w:numPr>
          <w:ilvl w:val="2"/>
          <w:numId w:val="79"/>
        </w:numPr>
        <w:tabs>
          <w:tab w:val="clear" w:pos="2478"/>
          <w:tab w:val="num" w:pos="250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2508" w:hanging="360"/>
        <w:jc w:val="both"/>
        <w:rPr>
          <w:rFonts w:eastAsia="Wingdings" w:hAnsi="Times New Roman" w:cs="Times New Roman"/>
          <w:sz w:val="22"/>
          <w:szCs w:val="22"/>
        </w:rPr>
      </w:pPr>
      <w:r w:rsidRPr="00F25463">
        <w:rPr>
          <w:rFonts w:hAnsi="Times New Roman" w:cs="Times New Roman"/>
          <w:sz w:val="22"/>
          <w:szCs w:val="22"/>
        </w:rPr>
        <w:t xml:space="preserve">L’existence de </w:t>
      </w:r>
      <w:proofErr w:type="gramStart"/>
      <w:r w:rsidRPr="00F25463">
        <w:rPr>
          <w:rFonts w:hAnsi="Times New Roman" w:cs="Times New Roman"/>
          <w:sz w:val="22"/>
          <w:szCs w:val="22"/>
        </w:rPr>
        <w:t>ces circonstance</w:t>
      </w:r>
      <w:proofErr w:type="gramEnd"/>
      <w:r w:rsidRPr="00F25463">
        <w:rPr>
          <w:rFonts w:hAnsi="Times New Roman" w:cs="Times New Roman"/>
          <w:sz w:val="22"/>
          <w:szCs w:val="22"/>
        </w:rPr>
        <w:t xml:space="preserve"> constitue une base essentielle au consentement des parties</w:t>
      </w:r>
    </w:p>
    <w:p w14:paraId="0746C155" w14:textId="77777777" w:rsidR="00EC0180" w:rsidRPr="00F25463" w:rsidRDefault="004270F6" w:rsidP="004270F6">
      <w:pPr>
        <w:numPr>
          <w:ilvl w:val="2"/>
          <w:numId w:val="79"/>
        </w:numPr>
        <w:tabs>
          <w:tab w:val="clear" w:pos="2478"/>
          <w:tab w:val="num" w:pos="250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2508" w:hanging="360"/>
        <w:jc w:val="both"/>
        <w:rPr>
          <w:rFonts w:eastAsia="Wingdings" w:hAnsi="Times New Roman" w:cs="Times New Roman"/>
          <w:sz w:val="22"/>
          <w:szCs w:val="22"/>
        </w:rPr>
      </w:pPr>
      <w:r w:rsidRPr="00F25463">
        <w:rPr>
          <w:rFonts w:hAnsi="Times New Roman" w:cs="Times New Roman"/>
          <w:sz w:val="22"/>
          <w:szCs w:val="22"/>
        </w:rPr>
        <w:t>Ce changement transforme radicalement la portée des obligations (ce changement ne peut être invoqué s’il s’agit d’un traité établissant une frontière ou si ce changement fondamental résulte d’une violation du traité par la partie qui l’invoque.</w:t>
      </w:r>
    </w:p>
    <w:p w14:paraId="40739EE3"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61 CVDT : Cas de force majeure</w:t>
      </w:r>
    </w:p>
    <w:p w14:paraId="2EA34F7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A2C82B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Procédure : arts 65 et 66 sauf l’art 56 par. 2 pour la dénonciation</w:t>
      </w:r>
    </w:p>
    <w:p w14:paraId="28A065D4" w14:textId="77777777" w:rsidR="00EC0180" w:rsidRPr="00F25463" w:rsidRDefault="004270F6">
      <w:pPr>
        <w:tabs>
          <w:tab w:val="left" w:pos="141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2C6F2F5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Section 3 : Coutume International :</w:t>
      </w:r>
    </w:p>
    <w:p w14:paraId="4077CE5C"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F346A4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b/>
          <w:bCs/>
          <w:sz w:val="22"/>
          <w:szCs w:val="22"/>
        </w:rPr>
        <w:t xml:space="preserve">38 (1) b) </w:t>
      </w:r>
      <w:proofErr w:type="spellStart"/>
      <w:r w:rsidRPr="00F25463">
        <w:rPr>
          <w:rFonts w:hAnsi="Times New Roman" w:cs="Times New Roman"/>
          <w:b/>
          <w:bCs/>
          <w:sz w:val="22"/>
          <w:szCs w:val="22"/>
        </w:rPr>
        <w:t>Status</w:t>
      </w:r>
      <w:proofErr w:type="spellEnd"/>
      <w:r w:rsidRPr="00F25463">
        <w:rPr>
          <w:rFonts w:hAnsi="Times New Roman" w:cs="Times New Roman"/>
          <w:b/>
          <w:bCs/>
          <w:sz w:val="22"/>
          <w:szCs w:val="22"/>
        </w:rPr>
        <w:t xml:space="preserve"> CIJ </w:t>
      </w:r>
      <w:r w:rsidRPr="00F25463">
        <w:rPr>
          <w:rFonts w:hAnsi="Times New Roman" w:cs="Times New Roman"/>
          <w:sz w:val="22"/>
          <w:szCs w:val="22"/>
        </w:rPr>
        <w:t>: La coutume est la preuve d’une pratique générale accepté</w:t>
      </w:r>
      <w:r w:rsidR="00E56393" w:rsidRPr="00F25463">
        <w:rPr>
          <w:rFonts w:hAnsi="Times New Roman" w:cs="Times New Roman"/>
          <w:sz w:val="22"/>
          <w:szCs w:val="22"/>
        </w:rPr>
        <w:t>e</w:t>
      </w:r>
      <w:r w:rsidRPr="00F25463">
        <w:rPr>
          <w:rFonts w:hAnsi="Times New Roman" w:cs="Times New Roman"/>
          <w:sz w:val="22"/>
          <w:szCs w:val="22"/>
        </w:rPr>
        <w:t xml:space="preserve"> comme étant le droit. </w:t>
      </w:r>
    </w:p>
    <w:p w14:paraId="28DDEAE1"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4887F58"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Élément pratique général : accomplissement répété des États de certains actes, les suivants suivent et fini par faire boulle de neige.</w:t>
      </w:r>
    </w:p>
    <w:p w14:paraId="638A495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B2D019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La conviction fait en sorte que les États décident qu’ils n’ont plus de choix, élément psychologique, donc doivent agir de cette manière du à l’accomplissement répété. </w:t>
      </w:r>
    </w:p>
    <w:p w14:paraId="18A326B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61230E6" w14:textId="77777777" w:rsidR="00EC0180" w:rsidRPr="00F25463" w:rsidRDefault="004270F6" w:rsidP="004270F6">
      <w:pPr>
        <w:numPr>
          <w:ilvl w:val="0"/>
          <w:numId w:val="80"/>
        </w:numPr>
        <w:tabs>
          <w:tab w:val="clear" w:pos="690"/>
          <w:tab w:val="num" w:pos="72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b/>
          <w:bCs/>
          <w:sz w:val="22"/>
          <w:szCs w:val="22"/>
        </w:rPr>
      </w:pPr>
      <w:r w:rsidRPr="00F25463">
        <w:rPr>
          <w:rFonts w:hAnsi="Times New Roman" w:cs="Times New Roman"/>
          <w:b/>
          <w:bCs/>
          <w:sz w:val="22"/>
          <w:szCs w:val="22"/>
        </w:rPr>
        <w:t>La formation de la coutume</w:t>
      </w:r>
    </w:p>
    <w:p w14:paraId="42EAB448"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20"/>
        <w:jc w:val="both"/>
        <w:rPr>
          <w:rFonts w:hAnsi="Times New Roman" w:cs="Times New Roman"/>
          <w:sz w:val="22"/>
          <w:szCs w:val="22"/>
        </w:rPr>
      </w:pPr>
      <w:r w:rsidRPr="00F25463">
        <w:rPr>
          <w:rFonts w:hAnsi="Times New Roman" w:cs="Times New Roman"/>
          <w:sz w:val="22"/>
          <w:szCs w:val="22"/>
        </w:rPr>
        <w:t>La coutume est formée de 2 éléments :</w:t>
      </w:r>
    </w:p>
    <w:p w14:paraId="411307FF" w14:textId="77777777" w:rsidR="00EC0180" w:rsidRPr="00F25463" w:rsidRDefault="004270F6" w:rsidP="004270F6">
      <w:pPr>
        <w:numPr>
          <w:ilvl w:val="1"/>
          <w:numId w:val="81"/>
        </w:numPr>
        <w:tabs>
          <w:tab w:val="clear" w:pos="1410"/>
          <w:tab w:val="num" w:pos="14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Un élément matériel (répétition prolongée et constante d’un acte externe) « </w:t>
      </w:r>
      <w:proofErr w:type="spellStart"/>
      <w:r w:rsidRPr="00F25463">
        <w:rPr>
          <w:rFonts w:hAnsi="Times New Roman" w:cs="Times New Roman"/>
          <w:sz w:val="22"/>
          <w:szCs w:val="22"/>
        </w:rPr>
        <w:t>consuetudo</w:t>
      </w:r>
      <w:proofErr w:type="spellEnd"/>
      <w:r w:rsidRPr="00F25463">
        <w:rPr>
          <w:rFonts w:hAnsi="Times New Roman" w:cs="Times New Roman"/>
          <w:sz w:val="22"/>
          <w:szCs w:val="22"/>
        </w:rPr>
        <w:t> » - pratique-</w:t>
      </w:r>
    </w:p>
    <w:p w14:paraId="12269350" w14:textId="77777777" w:rsidR="00EC0180" w:rsidRPr="00F25463" w:rsidRDefault="004270F6" w:rsidP="004270F6">
      <w:pPr>
        <w:numPr>
          <w:ilvl w:val="1"/>
          <w:numId w:val="81"/>
        </w:numPr>
        <w:tabs>
          <w:tab w:val="clear" w:pos="1410"/>
          <w:tab w:val="num" w:pos="14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Un élément psychologique (croyance au caractère obligatoire de cette pratique) « </w:t>
      </w:r>
      <w:proofErr w:type="spellStart"/>
      <w:r w:rsidRPr="00F25463">
        <w:rPr>
          <w:rFonts w:hAnsi="Times New Roman" w:cs="Times New Roman"/>
          <w:sz w:val="22"/>
          <w:szCs w:val="22"/>
        </w:rPr>
        <w:t>Opinio</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juris</w:t>
      </w:r>
      <w:proofErr w:type="spellEnd"/>
      <w:r w:rsidRPr="00F25463">
        <w:rPr>
          <w:rFonts w:hAnsi="Times New Roman" w:cs="Times New Roman"/>
          <w:sz w:val="22"/>
          <w:szCs w:val="22"/>
        </w:rPr>
        <w:t> »</w:t>
      </w:r>
    </w:p>
    <w:p w14:paraId="6CEE171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4F89B96" w14:textId="77777777" w:rsidR="00EC0180" w:rsidRPr="00F25463" w:rsidRDefault="004270F6" w:rsidP="006F4132">
      <w:pPr>
        <w:pStyle w:val="Subtitle"/>
        <w:rPr>
          <w:rFonts w:ascii="Times New Roman" w:hAnsi="Times New Roman" w:cs="Times New Roman"/>
        </w:rPr>
      </w:pPr>
      <w:r w:rsidRPr="00F25463">
        <w:rPr>
          <w:rFonts w:ascii="Times New Roman" w:hAnsi="Times New Roman" w:cs="Times New Roman"/>
        </w:rPr>
        <w:t>L’Élément matériel : la pratique des États (</w:t>
      </w:r>
      <w:proofErr w:type="spellStart"/>
      <w:r w:rsidRPr="00F25463">
        <w:rPr>
          <w:rFonts w:ascii="Times New Roman" w:hAnsi="Times New Roman" w:cs="Times New Roman"/>
        </w:rPr>
        <w:t>consuetudo</w:t>
      </w:r>
      <w:proofErr w:type="spellEnd"/>
      <w:r w:rsidRPr="00F25463">
        <w:rPr>
          <w:rFonts w:ascii="Times New Roman" w:hAnsi="Times New Roman" w:cs="Times New Roman"/>
        </w:rPr>
        <w:t>)</w:t>
      </w:r>
    </w:p>
    <w:p w14:paraId="50756EE1"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sz w:val="22"/>
          <w:szCs w:val="22"/>
        </w:rPr>
        <w:t>(</w:t>
      </w:r>
      <w:proofErr w:type="gramStart"/>
      <w:r w:rsidRPr="00F25463">
        <w:rPr>
          <w:rFonts w:hAnsi="Times New Roman" w:cs="Times New Roman"/>
          <w:sz w:val="22"/>
          <w:szCs w:val="22"/>
        </w:rPr>
        <w:t>nature</w:t>
      </w:r>
      <w:proofErr w:type="gramEnd"/>
      <w:r w:rsidRPr="00F25463">
        <w:rPr>
          <w:rFonts w:hAnsi="Times New Roman" w:cs="Times New Roman"/>
          <w:sz w:val="22"/>
          <w:szCs w:val="22"/>
        </w:rPr>
        <w:t>) – personne physique peuvent pas aller en Cour</w:t>
      </w:r>
    </w:p>
    <w:p w14:paraId="442BA014"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58A90026" w14:textId="77777777" w:rsidR="00EC0180" w:rsidRPr="00F25463" w:rsidRDefault="004270F6" w:rsidP="004270F6">
      <w:pPr>
        <w:numPr>
          <w:ilvl w:val="1"/>
          <w:numId w:val="83"/>
        </w:numPr>
        <w:tabs>
          <w:tab w:val="clear" w:pos="1410"/>
          <w:tab w:val="num" w:pos="14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b/>
          <w:bCs/>
          <w:sz w:val="22"/>
          <w:szCs w:val="22"/>
        </w:rPr>
      </w:pPr>
      <w:r w:rsidRPr="00F25463">
        <w:rPr>
          <w:rFonts w:hAnsi="Times New Roman" w:cs="Times New Roman"/>
          <w:b/>
          <w:bCs/>
          <w:sz w:val="22"/>
          <w:szCs w:val="22"/>
        </w:rPr>
        <w:t>Usage constant</w:t>
      </w:r>
    </w:p>
    <w:p w14:paraId="66778652" w14:textId="77777777" w:rsidR="00EC0180" w:rsidRPr="00F25463" w:rsidRDefault="004270F6">
      <w:pPr>
        <w:pStyle w:val="BodyText"/>
        <w:tabs>
          <w:tab w:val="clear" w:pos="360"/>
          <w:tab w:val="left" w:pos="840"/>
          <w:tab w:val="left" w:pos="168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Une pratique constante implique une répétition de certains actes sur une période de temps plus ou moins définie.</w:t>
      </w:r>
      <w:r w:rsidR="003D67BE" w:rsidRPr="00F25463">
        <w:rPr>
          <w:rFonts w:hAnsi="Times New Roman" w:cs="Times New Roman"/>
          <w:sz w:val="22"/>
          <w:szCs w:val="22"/>
        </w:rPr>
        <w:t xml:space="preserve"> Si </w:t>
      </w:r>
      <w:proofErr w:type="gramStart"/>
      <w:r w:rsidR="003D67BE" w:rsidRPr="00F25463">
        <w:rPr>
          <w:rFonts w:hAnsi="Times New Roman" w:cs="Times New Roman"/>
          <w:sz w:val="22"/>
          <w:szCs w:val="22"/>
        </w:rPr>
        <w:t>un affaire</w:t>
      </w:r>
      <w:proofErr w:type="gramEnd"/>
      <w:r w:rsidR="003D67BE" w:rsidRPr="00F25463">
        <w:rPr>
          <w:rFonts w:hAnsi="Times New Roman" w:cs="Times New Roman"/>
          <w:sz w:val="22"/>
          <w:szCs w:val="22"/>
        </w:rPr>
        <w:t xml:space="preserve"> est constante et uniforme, elle deviendra coutume, nonobstant la brièveté de la règle.</w:t>
      </w:r>
    </w:p>
    <w:p w14:paraId="1268F3CC" w14:textId="77777777" w:rsidR="00EC0180" w:rsidRPr="00F25463" w:rsidRDefault="004270F6">
      <w:pPr>
        <w:tabs>
          <w:tab w:val="left" w:pos="840"/>
          <w:tab w:val="left" w:pos="168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 Doc 11 : Affaire du plateau continental de la mer du Nord (1969)</w:t>
      </w:r>
    </w:p>
    <w:p w14:paraId="5F5DA430" w14:textId="77777777" w:rsidR="00EC0180" w:rsidRPr="00F25463" w:rsidRDefault="00EC0180">
      <w:pPr>
        <w:tabs>
          <w:tab w:val="left" w:pos="840"/>
          <w:tab w:val="left" w:pos="168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26709F6E" w14:textId="77777777" w:rsidR="00EC0180" w:rsidRPr="00F25463" w:rsidRDefault="004270F6">
      <w:pPr>
        <w:pStyle w:val="BodyText"/>
        <w:tabs>
          <w:tab w:val="clear" w:pos="360"/>
          <w:tab w:val="left" w:pos="840"/>
          <w:tab w:val="left" w:pos="168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Dans cette affaire, on s’adresse à la CIJ pour qu’elle indique les principes régissant la délimitation du plateau continental de la mer du Nord entre l’Allemagne, le Danemark et les Pays-Bas.</w:t>
      </w:r>
    </w:p>
    <w:p w14:paraId="49A0F83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F5EDA67"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4ED706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1964 : Deux accord A-B et C-D ont été conclu selon le </w:t>
      </w:r>
      <w:r w:rsidRPr="00F25463">
        <w:rPr>
          <w:rFonts w:hAnsi="Times New Roman" w:cs="Times New Roman"/>
          <w:b/>
          <w:bCs/>
          <w:sz w:val="22"/>
          <w:szCs w:val="22"/>
        </w:rPr>
        <w:t>principe de l’équidistance</w:t>
      </w:r>
      <w:r w:rsidRPr="00F25463">
        <w:rPr>
          <w:rFonts w:hAnsi="Times New Roman" w:cs="Times New Roman"/>
          <w:sz w:val="22"/>
          <w:szCs w:val="22"/>
        </w:rPr>
        <w:t xml:space="preserve">.  Le Danemark et les Pays-Bas veulent prolonger les 2 lignes existantes,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C-E-A Mais l’Allemagne voudrait plutôt les prolonger selon C-F-A.</w:t>
      </w:r>
    </w:p>
    <w:p w14:paraId="13FD976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 point de rencontre.</w:t>
      </w:r>
    </w:p>
    <w:p w14:paraId="02A6138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1966 : entendu sur l’entente jusqu'à E, du plateau continentale et l’Équidistance.</w:t>
      </w:r>
    </w:p>
    <w:p w14:paraId="3848C67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AF3811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Allemagne propose une ligne qui réuni B-F et D-F.</w:t>
      </w:r>
    </w:p>
    <w:p w14:paraId="4AABBAA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Allemagne plus gros donc pas contente sur les 2 autres, </w:t>
      </w:r>
      <w:proofErr w:type="spellStart"/>
      <w:r w:rsidRPr="00F25463">
        <w:rPr>
          <w:rFonts w:hAnsi="Times New Roman" w:cs="Times New Roman"/>
          <w:sz w:val="22"/>
          <w:szCs w:val="22"/>
        </w:rPr>
        <w:t>parceque</w:t>
      </w:r>
      <w:proofErr w:type="spellEnd"/>
      <w:r w:rsidRPr="00F25463">
        <w:rPr>
          <w:rFonts w:hAnsi="Times New Roman" w:cs="Times New Roman"/>
          <w:sz w:val="22"/>
          <w:szCs w:val="22"/>
        </w:rPr>
        <w:t xml:space="preserve"> les deux autres pays sont plus petits et ont un plus gros plateau continental</w:t>
      </w:r>
    </w:p>
    <w:p w14:paraId="39255398" w14:textId="77777777" w:rsidR="00EC0180" w:rsidRPr="00F25463" w:rsidRDefault="004270F6">
      <w:pPr>
        <w:tabs>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6804B267" w14:textId="77777777" w:rsidR="00EC0180" w:rsidRPr="00F25463" w:rsidRDefault="004270F6">
      <w:pPr>
        <w:pStyle w:val="Corpsdetexte21"/>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Danemark et les Pays-Bas allèguent : (pas accueilli)</w:t>
      </w:r>
    </w:p>
    <w:p w14:paraId="173CFE80"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Que l’art 6 de la convention de Genève de 1958 sur le plateau continental est la consolidation d’une règle de droit coutumier en formation dès 1958 et que puisque l’équidistance s’applique depuis cette convention, cette règle a depuis acquis le statut de règle coutumière s’appliquant à tous.</w:t>
      </w:r>
    </w:p>
    <w:p w14:paraId="19FC2941"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parties s’en remettent à la cours et lui demande de régler à appliquer dans ce cas-ci.</w:t>
      </w:r>
    </w:p>
    <w:p w14:paraId="79C7514A"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Équidistance (art 6 de la convention de 58 sur le plateau continental)</w:t>
      </w:r>
    </w:p>
    <w:p w14:paraId="6E868A4D"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ou la règle de l’Allemagne</w:t>
      </w:r>
    </w:p>
    <w:p w14:paraId="3A74A715"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Selon la CIJ, l’Art 6 C58PC ne constitue pas la coutume pour ces motifs :</w:t>
      </w:r>
    </w:p>
    <w:p w14:paraId="283A94E4"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L’application de la méthode de l’équidistance était douteuse puisque autres méthodes pouvaient être utilisées (p92, par 51)</w:t>
      </w:r>
    </w:p>
    <w:p w14:paraId="6A6EB482"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La CGPC n’empêche pas qu’on fasse des réserves à son art 6 (p.94 par 63) – art 12 C58PC</w:t>
      </w:r>
    </w:p>
    <w:p w14:paraId="340FDC9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F8E158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Pourquoi pas demander un avis à la CIJ ?</w:t>
      </w:r>
    </w:p>
    <w:p w14:paraId="68DD786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les États ne peuvent pas demander un avis à la CIJ (art 96), un particulier non, gouvernement oui.</w:t>
      </w:r>
    </w:p>
    <w:p w14:paraId="1360A10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***Ce sont c’est 2 là qui font qu’il n’y a pas coutume</w:t>
      </w:r>
    </w:p>
    <w:p w14:paraId="7D0F017A"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3B8A765"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Le fait que le laps de temps ait été relativement bref n’a pas constitué en soi un empêchement à la formation d’une coutume à partir d’une règle conventionnelle C’est plutôt les motifs ci-haut mentionnés qui ont crée l’empêchement.</w:t>
      </w:r>
    </w:p>
    <w:p w14:paraId="1DFAB41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5DCC85A"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u w:val="single"/>
        </w:rPr>
      </w:pPr>
      <w:r w:rsidRPr="00F25463">
        <w:rPr>
          <w:rFonts w:hAnsi="Times New Roman" w:cs="Times New Roman"/>
          <w:sz w:val="22"/>
          <w:szCs w:val="22"/>
          <w:u w:val="single"/>
        </w:rPr>
        <w:t>Conditions pour que l’équidistance devienne règle coutumière :</w:t>
      </w:r>
    </w:p>
    <w:p w14:paraId="71FEFC49"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Il faut que cette règle ait un </w:t>
      </w:r>
      <w:r w:rsidRPr="00F25463">
        <w:rPr>
          <w:rFonts w:hAnsi="Times New Roman" w:cs="Times New Roman"/>
          <w:b/>
          <w:bCs/>
          <w:sz w:val="22"/>
          <w:szCs w:val="22"/>
        </w:rPr>
        <w:t>caractère normatif</w:t>
      </w:r>
      <w:r w:rsidRPr="00F25463">
        <w:rPr>
          <w:rFonts w:hAnsi="Times New Roman" w:cs="Times New Roman"/>
          <w:sz w:val="22"/>
          <w:szCs w:val="22"/>
        </w:rPr>
        <w:t xml:space="preserve"> (ce critère n’était pas rencontré parce que l’art 6 était trop flou) – NON – Ce doit être clair parce qu’on parle de certaine disposition. </w:t>
      </w:r>
      <w:r w:rsidRPr="00F25463">
        <w:rPr>
          <w:rFonts w:hAnsi="Times New Roman" w:cs="Times New Roman"/>
          <w:sz w:val="22"/>
          <w:szCs w:val="22"/>
        </w:rPr>
        <w:tab/>
        <w:t>Flou parce que sous un accord, des circonstance et on peut faire des réserve.  Vraiment trop vague, pas spécifique, plein d’aboutissement possible</w:t>
      </w:r>
    </w:p>
    <w:p w14:paraId="5E216352" w14:textId="77777777" w:rsidR="00EC0180" w:rsidRPr="00F25463" w:rsidRDefault="004270F6" w:rsidP="004270F6">
      <w:pPr>
        <w:numPr>
          <w:ilvl w:val="3"/>
          <w:numId w:val="84"/>
        </w:numPr>
        <w:tabs>
          <w:tab w:val="clear" w:pos="3198"/>
          <w:tab w:val="num" w:pos="3228"/>
          <w:tab w:val="left" w:pos="3540"/>
          <w:tab w:val="left" w:pos="4248"/>
          <w:tab w:val="left" w:pos="4956"/>
          <w:tab w:val="left" w:pos="5664"/>
          <w:tab w:val="left" w:pos="6372"/>
          <w:tab w:val="left" w:pos="7080"/>
          <w:tab w:val="left" w:pos="7788"/>
          <w:tab w:val="left" w:pos="8496"/>
          <w:tab w:val="left" w:pos="9204"/>
          <w:tab w:val="left" w:pos="9472"/>
        </w:tabs>
        <w:ind w:left="3228" w:hanging="360"/>
        <w:jc w:val="both"/>
        <w:rPr>
          <w:rFonts w:eastAsia="Times" w:hAnsi="Times New Roman" w:cs="Times New Roman"/>
          <w:sz w:val="22"/>
          <w:szCs w:val="22"/>
        </w:rPr>
      </w:pPr>
      <w:r w:rsidRPr="00F25463">
        <w:rPr>
          <w:rFonts w:hAnsi="Times New Roman" w:cs="Times New Roman"/>
          <w:sz w:val="22"/>
          <w:szCs w:val="22"/>
        </w:rPr>
        <w:t>On applique l’équidistance s’il n’y a pas de réserve et pas d’accord préalable (p.97, par 74). Ici, les États pouvaient faire des réserves à l’égard de l’art 6. Or on ne peut faire de réserve sous une règle de droit coutumier.</w:t>
      </w:r>
    </w:p>
    <w:p w14:paraId="41EC22B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2868"/>
        <w:jc w:val="both"/>
        <w:rPr>
          <w:rFonts w:hAnsi="Times New Roman" w:cs="Times New Roman"/>
          <w:sz w:val="22"/>
          <w:szCs w:val="22"/>
        </w:rPr>
      </w:pPr>
    </w:p>
    <w:p w14:paraId="1AFCD632"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Il faut que cette règle soit appliqué par les États intéressés de façon fréquente et uniforme (partout dans le monde) – OUI</w:t>
      </w:r>
    </w:p>
    <w:p w14:paraId="70B1FE7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sz w:val="22"/>
          <w:szCs w:val="22"/>
        </w:rPr>
        <w:tab/>
        <w:t>- si État enclavé pas intéressé</w:t>
      </w:r>
    </w:p>
    <w:p w14:paraId="777C5EA4"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Il faut que les États aient le sentiment d’être obligés de se conformer à une règle de droit.  (c’est une question de faits), élément psychologique. Pratique témoigne de la conviction des États qu’une règle de droit est en jeux. Règle vue spontanément !</w:t>
      </w:r>
    </w:p>
    <w:p w14:paraId="7947AEF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sz w:val="22"/>
          <w:szCs w:val="22"/>
        </w:rPr>
        <w:t>Élément psychologique peut être une règle de courtoisie.</w:t>
      </w:r>
    </w:p>
    <w:p w14:paraId="4E111207"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p>
    <w:p w14:paraId="7FED629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428"/>
        <w:jc w:val="both"/>
        <w:rPr>
          <w:rFonts w:hAnsi="Times New Roman" w:cs="Times New Roman"/>
          <w:sz w:val="22"/>
          <w:szCs w:val="22"/>
        </w:rPr>
      </w:pPr>
      <w:r w:rsidRPr="00F25463">
        <w:rPr>
          <w:rFonts w:hAnsi="Times New Roman" w:cs="Times New Roman"/>
          <w:sz w:val="22"/>
          <w:szCs w:val="22"/>
        </w:rPr>
        <w:lastRenderedPageBreak/>
        <w:t xml:space="preserve">Convention de 1958, pas </w:t>
      </w:r>
      <w:proofErr w:type="spellStart"/>
      <w:r w:rsidRPr="00F25463">
        <w:rPr>
          <w:rFonts w:hAnsi="Times New Roman" w:cs="Times New Roman"/>
          <w:sz w:val="22"/>
          <w:szCs w:val="22"/>
        </w:rPr>
        <w:t>recu</w:t>
      </w:r>
      <w:proofErr w:type="spellEnd"/>
      <w:r w:rsidRPr="00F25463">
        <w:rPr>
          <w:rFonts w:hAnsi="Times New Roman" w:cs="Times New Roman"/>
          <w:sz w:val="22"/>
          <w:szCs w:val="22"/>
        </w:rPr>
        <w:t xml:space="preserve"> beaucoup de ratification, par rapport au nombre États qui serait intéressé. </w:t>
      </w:r>
    </w:p>
    <w:p w14:paraId="50EC491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3BC081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Pas un droit coutumier mais plutôt un droit nouveau.</w:t>
      </w:r>
    </w:p>
    <w:p w14:paraId="2F8F17F3"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Circonstances : (raison) Plus haute, explication des conditions :</w:t>
      </w:r>
    </w:p>
    <w:p w14:paraId="1F968498" w14:textId="77777777" w:rsidR="00EC0180" w:rsidRPr="00F25463" w:rsidRDefault="004270F6" w:rsidP="004270F6">
      <w:pPr>
        <w:numPr>
          <w:ilvl w:val="1"/>
          <w:numId w:val="85"/>
        </w:numPr>
        <w:tabs>
          <w:tab w:val="clear" w:pos="3180"/>
          <w:tab w:val="num" w:pos="3210"/>
          <w:tab w:val="left" w:pos="3540"/>
          <w:tab w:val="left" w:pos="4248"/>
          <w:tab w:val="left" w:pos="4956"/>
          <w:tab w:val="left" w:pos="5664"/>
          <w:tab w:val="left" w:pos="6372"/>
          <w:tab w:val="left" w:pos="7080"/>
          <w:tab w:val="left" w:pos="7788"/>
          <w:tab w:val="left" w:pos="8496"/>
          <w:tab w:val="left" w:pos="9204"/>
          <w:tab w:val="left" w:pos="9472"/>
        </w:tabs>
        <w:ind w:left="3210" w:hanging="360"/>
        <w:jc w:val="both"/>
        <w:rPr>
          <w:rFonts w:hAnsi="Times New Roman" w:cs="Times New Roman"/>
          <w:sz w:val="22"/>
          <w:szCs w:val="22"/>
        </w:rPr>
      </w:pPr>
      <w:r w:rsidRPr="00F25463">
        <w:rPr>
          <w:rFonts w:hAnsi="Times New Roman" w:cs="Times New Roman"/>
          <w:sz w:val="22"/>
          <w:szCs w:val="22"/>
        </w:rPr>
        <w:t>1 (équidistance) des 4 méthodes de géographe qui serait la plus approprié pour tracé les frontières maritimes.</w:t>
      </w:r>
    </w:p>
    <w:p w14:paraId="6C69815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26943423"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3. Depuis 1958, relie l’Allemagne = droit coutumier.</w:t>
      </w:r>
    </w:p>
    <w:p w14:paraId="1EA0DF7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Règle de droit conventionnel qui se transforme en droit coutumier. </w:t>
      </w:r>
    </w:p>
    <w:p w14:paraId="1CAA5770"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DE930CA"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Donc</w:t>
      </w:r>
      <w:r w:rsidRPr="00F25463">
        <w:rPr>
          <w:rFonts w:hAnsi="Times New Roman" w:cs="Times New Roman"/>
          <w:sz w:val="22"/>
          <w:szCs w:val="22"/>
        </w:rPr>
        <w:t xml:space="preserve">, les États ne se sentaient pas obligés, Il y avait une minorité d’État qui avaient ratifié la convention et l’art 6 est très flou </w:t>
      </w:r>
    </w:p>
    <w:p w14:paraId="06018BB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Deux États qui se font face, on met une ligne médiane entre les deux. P.71 entre Norvège et G-B.</w:t>
      </w:r>
    </w:p>
    <w:p w14:paraId="0459357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Entre États voisin Pays-Bas, Allemagne et Danemark s’est pas suffisant pertinent de dire appliquer l’équidistance.  Il n’y a pas de précédant.</w:t>
      </w:r>
    </w:p>
    <w:p w14:paraId="6D64A4C4"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911D62F"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brièveté n’empêche pas le droit coutumier.</w:t>
      </w:r>
    </w:p>
    <w:p w14:paraId="4C52A0F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Plus il y a de précédent plus la coutume s’applique vite.</w:t>
      </w:r>
    </w:p>
    <w:p w14:paraId="18F6000B"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Maintenant, il peut y avoir une constance des États qui fait en sorte du droit coutumier.</w:t>
      </w:r>
    </w:p>
    <w:p w14:paraId="306C777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4C2F14E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b) usage général</w:t>
      </w:r>
    </w:p>
    <w:p w14:paraId="4541962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029D413"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ab/>
      </w:r>
      <w:r w:rsidRPr="00F25463">
        <w:rPr>
          <w:rFonts w:hAnsi="Times New Roman" w:cs="Times New Roman"/>
          <w:sz w:val="22"/>
          <w:szCs w:val="22"/>
        </w:rPr>
        <w:t>C’est le problème de l’étendu de la pratique dans l’espace.  L’usage général est différent de l’usage universel.  D’ailleurs une pratique locale peut donner naissance à une coutume locale.</w:t>
      </w:r>
    </w:p>
    <w:p w14:paraId="5FB98D14"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66309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Doc 12 : Affaire du droit de passage en territoire indien (Portugal c. Inde) (1960)</w:t>
      </w:r>
    </w:p>
    <w:p w14:paraId="2763613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Depuis le 16</w:t>
      </w:r>
      <w:r w:rsidRPr="00F25463">
        <w:rPr>
          <w:rFonts w:hAnsi="Times New Roman" w:cs="Times New Roman"/>
          <w:sz w:val="22"/>
          <w:szCs w:val="22"/>
          <w:vertAlign w:val="superscript"/>
        </w:rPr>
        <w:t>e</w:t>
      </w:r>
      <w:r w:rsidRPr="00F25463">
        <w:rPr>
          <w:rFonts w:hAnsi="Times New Roman" w:cs="Times New Roman"/>
          <w:sz w:val="22"/>
          <w:szCs w:val="22"/>
        </w:rPr>
        <w:t xml:space="preserve"> siècle…</w:t>
      </w:r>
    </w:p>
    <w:p w14:paraId="2A95F3D2"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Evidemment une coutume pourrait aussi être universelle.</w:t>
      </w:r>
    </w:p>
    <w:p w14:paraId="55B77B8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B0AEBBE"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c) Usage uniforme</w:t>
      </w:r>
    </w:p>
    <w:p w14:paraId="6D02C1F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1DD8414E"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Les éléments constitutifs de la pratique doivent bien sûr être uniforme sinon, la pratique ne saurait être générale. Il</w:t>
      </w:r>
      <w:r w:rsidR="00985156" w:rsidRPr="00F25463">
        <w:rPr>
          <w:rFonts w:hAnsi="Times New Roman" w:cs="Times New Roman"/>
          <w:sz w:val="22"/>
          <w:szCs w:val="22"/>
        </w:rPr>
        <w:t>s</w:t>
      </w:r>
      <w:r w:rsidRPr="00F25463">
        <w:rPr>
          <w:rFonts w:hAnsi="Times New Roman" w:cs="Times New Roman"/>
          <w:sz w:val="22"/>
          <w:szCs w:val="22"/>
        </w:rPr>
        <w:t xml:space="preserve"> doivent être constant</w:t>
      </w:r>
      <w:r w:rsidR="00985156" w:rsidRPr="00F25463">
        <w:rPr>
          <w:rFonts w:hAnsi="Times New Roman" w:cs="Times New Roman"/>
          <w:sz w:val="22"/>
          <w:szCs w:val="22"/>
        </w:rPr>
        <w:t>s</w:t>
      </w:r>
      <w:r w:rsidRPr="00F25463">
        <w:rPr>
          <w:rFonts w:hAnsi="Times New Roman" w:cs="Times New Roman"/>
          <w:sz w:val="22"/>
          <w:szCs w:val="22"/>
        </w:rPr>
        <w:t>, fréquent</w:t>
      </w:r>
      <w:r w:rsidR="00985156" w:rsidRPr="00F25463">
        <w:rPr>
          <w:rFonts w:hAnsi="Times New Roman" w:cs="Times New Roman"/>
          <w:sz w:val="22"/>
          <w:szCs w:val="22"/>
        </w:rPr>
        <w:t>s</w:t>
      </w:r>
      <w:r w:rsidRPr="00F25463">
        <w:rPr>
          <w:rFonts w:hAnsi="Times New Roman" w:cs="Times New Roman"/>
          <w:sz w:val="22"/>
          <w:szCs w:val="22"/>
        </w:rPr>
        <w:t>. Peu importe le laps de temps !</w:t>
      </w:r>
    </w:p>
    <w:p w14:paraId="0C4E0AB5"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FD6C2A"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Coutume universelle </w:t>
      </w:r>
      <w:r w:rsidRPr="00F25463">
        <w:rPr>
          <w:rFonts w:hAnsi="Times New Roman" w:cs="Times New Roman"/>
          <w:sz w:val="22"/>
          <w:szCs w:val="22"/>
        </w:rPr>
        <w:t>: Il faut que la pratique soit générale mais pas unanime, qu’elle soit suivi</w:t>
      </w:r>
      <w:r w:rsidR="00985156" w:rsidRPr="00F25463">
        <w:rPr>
          <w:rFonts w:hAnsi="Times New Roman" w:cs="Times New Roman"/>
          <w:sz w:val="22"/>
          <w:szCs w:val="22"/>
        </w:rPr>
        <w:t>e</w:t>
      </w:r>
      <w:r w:rsidRPr="00F25463">
        <w:rPr>
          <w:rFonts w:hAnsi="Times New Roman" w:cs="Times New Roman"/>
          <w:sz w:val="22"/>
          <w:szCs w:val="22"/>
        </w:rPr>
        <w:t xml:space="preserve"> par les États particulièrement intéressés et ainsi elle sera applicable aux autres États. Partout dans le monde. Elle n’a pas besoin d’être unanime.</w:t>
      </w:r>
    </w:p>
    <w:p w14:paraId="1D2B59C2" w14:textId="77777777" w:rsidR="003D67BE" w:rsidRPr="00F25463" w:rsidRDefault="003D67BE">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31F1A6E" w14:textId="77777777" w:rsidR="00EC0180" w:rsidRPr="00F25463" w:rsidRDefault="003D67BE" w:rsidP="003D67BE">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Notes : pour qu’une coutume soit universelle, il faut que la pratique soit générale</w:t>
      </w:r>
      <w:r w:rsidR="00985156" w:rsidRPr="00F25463">
        <w:rPr>
          <w:rFonts w:hAnsi="Times New Roman" w:cs="Times New Roman"/>
          <w:sz w:val="22"/>
          <w:szCs w:val="22"/>
        </w:rPr>
        <w:t xml:space="preserve"> (pas nécessairement unanime)</w:t>
      </w:r>
      <w:r w:rsidRPr="00F25463">
        <w:rPr>
          <w:rFonts w:hAnsi="Times New Roman" w:cs="Times New Roman"/>
          <w:sz w:val="22"/>
          <w:szCs w:val="22"/>
        </w:rPr>
        <w:t xml:space="preserve"> mais suivie par les États qui sont intéressés par celle-ci. </w:t>
      </w:r>
    </w:p>
    <w:p w14:paraId="7B45B53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Conséquence </w:t>
      </w:r>
      <w:r w:rsidRPr="00F25463">
        <w:rPr>
          <w:rFonts w:hAnsi="Times New Roman" w:cs="Times New Roman"/>
          <w:sz w:val="22"/>
          <w:szCs w:val="22"/>
        </w:rPr>
        <w:t>: Beaucoup d’État se sont vu appliquer des coutumes que les états on</w:t>
      </w:r>
      <w:r w:rsidR="00985156" w:rsidRPr="00F25463">
        <w:rPr>
          <w:rFonts w:hAnsi="Times New Roman" w:cs="Times New Roman"/>
          <w:sz w:val="22"/>
          <w:szCs w:val="22"/>
        </w:rPr>
        <w:t>t</w:t>
      </w:r>
      <w:r w:rsidRPr="00F25463">
        <w:rPr>
          <w:rFonts w:hAnsi="Times New Roman" w:cs="Times New Roman"/>
          <w:sz w:val="22"/>
          <w:szCs w:val="22"/>
        </w:rPr>
        <w:t xml:space="preserve"> fait leur pratique et ainsi, elles leur seront appliqué. </w:t>
      </w:r>
    </w:p>
    <w:p w14:paraId="3C45F538"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Seul</w:t>
      </w:r>
      <w:r w:rsidR="000F07B7" w:rsidRPr="00F25463">
        <w:rPr>
          <w:rFonts w:hAnsi="Times New Roman" w:cs="Times New Roman"/>
          <w:sz w:val="22"/>
          <w:szCs w:val="22"/>
        </w:rPr>
        <w:t>s</w:t>
      </w:r>
      <w:r w:rsidRPr="00F25463">
        <w:rPr>
          <w:rFonts w:hAnsi="Times New Roman" w:cs="Times New Roman"/>
          <w:sz w:val="22"/>
          <w:szCs w:val="22"/>
        </w:rPr>
        <w:t xml:space="preserve"> les sujets de droit international pourront avoir des précédents.</w:t>
      </w:r>
    </w:p>
    <w:p w14:paraId="62DD311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AB1580F"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b/>
          <w:bCs/>
          <w:sz w:val="22"/>
          <w:szCs w:val="22"/>
        </w:rPr>
        <w:t>Coutume régionale</w:t>
      </w:r>
      <w:r w:rsidRPr="00F25463">
        <w:rPr>
          <w:rFonts w:hAnsi="Times New Roman" w:cs="Times New Roman"/>
          <w:sz w:val="22"/>
          <w:szCs w:val="22"/>
        </w:rPr>
        <w:t> : on doit démontrer la pratique de toutes les régions sinon elle ne sera pas applicable à ceux qui n’y ont pas participé activement ou tacitement.</w:t>
      </w:r>
    </w:p>
    <w:p w14:paraId="608C1854"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(Un Pays spécifique, État etc…). La partie qui invoque une coutume contre un autre état, doit démontrer sa participation active ou passive.</w:t>
      </w:r>
    </w:p>
    <w:p w14:paraId="798E4965"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2A2A3B2"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la coutume universelle peut s’imposer aux États. Elle lie toute la communauté international même si un état n’</w:t>
      </w:r>
      <w:r w:rsidR="00AC1E6D" w:rsidRPr="00F25463">
        <w:rPr>
          <w:rFonts w:hAnsi="Times New Roman" w:cs="Times New Roman"/>
          <w:sz w:val="22"/>
          <w:szCs w:val="22"/>
        </w:rPr>
        <w:t>a pas participé</w:t>
      </w:r>
      <w:r w:rsidRPr="00F25463">
        <w:rPr>
          <w:rFonts w:hAnsi="Times New Roman" w:cs="Times New Roman"/>
          <w:sz w:val="22"/>
          <w:szCs w:val="22"/>
        </w:rPr>
        <w:t>. La coutume régional, ne peut pas imposer un état qui n’a pas participer ; seulement à ceux qui ont participés.  Elle peut contredire ou compléter une coutume universelle.</w:t>
      </w:r>
    </w:p>
    <w:p w14:paraId="146ED52F"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lastRenderedPageBreak/>
        <w:t>Doc 12 : Affaire du droit de passage en territoire Indien (Portugal c. Inde) (1960)</w:t>
      </w:r>
    </w:p>
    <w:p w14:paraId="7AF526AA" w14:textId="77777777" w:rsidR="00EC0180" w:rsidRPr="00F25463" w:rsidRDefault="004270F6">
      <w:pPr>
        <w:tabs>
          <w:tab w:val="left" w:pos="130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ab/>
      </w:r>
    </w:p>
    <w:p w14:paraId="29D9499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Depuis le 18</w:t>
      </w:r>
      <w:r w:rsidRPr="00F25463">
        <w:rPr>
          <w:rFonts w:hAnsi="Times New Roman" w:cs="Times New Roman"/>
          <w:sz w:val="22"/>
          <w:szCs w:val="22"/>
          <w:vertAlign w:val="superscript"/>
        </w:rPr>
        <w:t>e</w:t>
      </w:r>
      <w:r w:rsidRPr="00F25463">
        <w:rPr>
          <w:rFonts w:hAnsi="Times New Roman" w:cs="Times New Roman"/>
          <w:sz w:val="22"/>
          <w:szCs w:val="22"/>
        </w:rPr>
        <w:t xml:space="preserve"> siècle, le Portugal dispose de comptoir</w:t>
      </w:r>
      <w:r w:rsidR="00AC1E6D" w:rsidRPr="00F25463">
        <w:rPr>
          <w:rFonts w:hAnsi="Times New Roman" w:cs="Times New Roman"/>
          <w:sz w:val="22"/>
          <w:szCs w:val="22"/>
        </w:rPr>
        <w:t>s</w:t>
      </w:r>
      <w:r w:rsidRPr="00F25463">
        <w:rPr>
          <w:rFonts w:hAnsi="Times New Roman" w:cs="Times New Roman"/>
          <w:sz w:val="22"/>
          <w:szCs w:val="22"/>
        </w:rPr>
        <w:t xml:space="preserve"> commerciaux en Inde.  Certains d’entre eux sont enclavé et ne sont accessible qu’en traversant le territoire de l’Inde.  En 1954, des émeutes se </w:t>
      </w:r>
      <w:proofErr w:type="spellStart"/>
      <w:r w:rsidRPr="00F25463">
        <w:rPr>
          <w:rFonts w:hAnsi="Times New Roman" w:cs="Times New Roman"/>
          <w:sz w:val="22"/>
          <w:szCs w:val="22"/>
        </w:rPr>
        <w:t>produirent</w:t>
      </w:r>
      <w:proofErr w:type="spellEnd"/>
      <w:r w:rsidRPr="00F25463">
        <w:rPr>
          <w:rFonts w:hAnsi="Times New Roman" w:cs="Times New Roman"/>
          <w:sz w:val="22"/>
          <w:szCs w:val="22"/>
        </w:rPr>
        <w:t xml:space="preserve"> dans ces enclaves et le Portugal envoya des troupes pour rétablir l’ordre dans les enclaves mais le gouvernement indien s’opposa à leur passage sur son territoire.</w:t>
      </w:r>
    </w:p>
    <w:p w14:paraId="0FE9B74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428A47E"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Le Portugal demanda donc à la CIJ de lui reconnaître une servitude de passage en territoire Indien.</w:t>
      </w:r>
    </w:p>
    <w:p w14:paraId="763B21C1"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58ADADA"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Dans cette affaire, l’Inde avait allégué qu’on pouvait constituer une coutume locale sur la base d’une pratique prolongé entre 2 États seulement</w:t>
      </w:r>
    </w:p>
    <w:p w14:paraId="4AFAD33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3857551"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CIJ a alors précisé qu’elle ne voyait aucune raison pour que le nombre d’États devai</w:t>
      </w:r>
      <w:r w:rsidR="006F4132" w:rsidRPr="00F25463">
        <w:rPr>
          <w:rFonts w:hAnsi="Times New Roman" w:cs="Times New Roman"/>
          <w:sz w:val="22"/>
          <w:szCs w:val="22"/>
        </w:rPr>
        <w:t>en</w:t>
      </w:r>
      <w:r w:rsidRPr="00F25463">
        <w:rPr>
          <w:rFonts w:hAnsi="Times New Roman" w:cs="Times New Roman"/>
          <w:sz w:val="22"/>
          <w:szCs w:val="22"/>
        </w:rPr>
        <w:t>t dans ce cas être nécessairement supérieur à 2.  Il y avait donc une pratique constante et uniforme de passage et cette pratique avait donné naissance à un droit et une obligation.</w:t>
      </w:r>
    </w:p>
    <w:p w14:paraId="01F26ED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C92A30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Note : Ce droit de passage libre est limité aux personnes privées, aux fonctionnaires civils et aux marchandises en générale.  Les armes et les troupes armées n’ont pas ce droit.</w:t>
      </w:r>
    </w:p>
    <w:p w14:paraId="3084AEC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32602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Evidemment, une coutume pourrait aussi être universelle.</w:t>
      </w:r>
    </w:p>
    <w:p w14:paraId="409FEA7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1F3EFAA"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Ex2 :  Facteur soviétique (</w:t>
      </w:r>
      <w:proofErr w:type="spellStart"/>
      <w:r w:rsidRPr="00F25463">
        <w:rPr>
          <w:rFonts w:hAnsi="Times New Roman" w:cs="Times New Roman"/>
          <w:sz w:val="22"/>
          <w:szCs w:val="22"/>
        </w:rPr>
        <w:t>Tunkin</w:t>
      </w:r>
      <w:proofErr w:type="spellEnd"/>
      <w:r w:rsidRPr="00F25463">
        <w:rPr>
          <w:rFonts w:hAnsi="Times New Roman" w:cs="Times New Roman"/>
          <w:sz w:val="22"/>
          <w:szCs w:val="22"/>
        </w:rPr>
        <w:t>) : il y a un principe qui fait que la coutume régional prime sur universelle.  Une rè</w:t>
      </w:r>
      <w:r w:rsidR="00BA3973" w:rsidRPr="00F25463">
        <w:rPr>
          <w:rFonts w:hAnsi="Times New Roman" w:cs="Times New Roman"/>
          <w:sz w:val="22"/>
          <w:szCs w:val="22"/>
        </w:rPr>
        <w:t>gle qui les dirige</w:t>
      </w:r>
      <w:r w:rsidRPr="00F25463">
        <w:rPr>
          <w:rFonts w:hAnsi="Times New Roman" w:cs="Times New Roman"/>
          <w:sz w:val="22"/>
          <w:szCs w:val="22"/>
        </w:rPr>
        <w:t xml:space="preserve"> seulement eux. Le droit international socialiste dirige les rapports de l’est. Une coutume régional</w:t>
      </w:r>
      <w:r w:rsidR="00BA3973" w:rsidRPr="00F25463">
        <w:rPr>
          <w:rFonts w:hAnsi="Times New Roman" w:cs="Times New Roman"/>
          <w:sz w:val="22"/>
          <w:szCs w:val="22"/>
        </w:rPr>
        <w:t>e</w:t>
      </w:r>
      <w:r w:rsidRPr="00F25463">
        <w:rPr>
          <w:rFonts w:hAnsi="Times New Roman" w:cs="Times New Roman"/>
          <w:sz w:val="22"/>
          <w:szCs w:val="22"/>
        </w:rPr>
        <w:t xml:space="preserve"> ne peut contredire une règle de jus cogens. </w:t>
      </w:r>
    </w:p>
    <w:p w14:paraId="163E2B5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A10A51B" w14:textId="77777777" w:rsidR="00EC0180" w:rsidRPr="00F25463" w:rsidRDefault="004270F6" w:rsidP="006F4132">
      <w:pPr>
        <w:pStyle w:val="Subtitle"/>
        <w:rPr>
          <w:rFonts w:ascii="Times New Roman" w:hAnsi="Times New Roman" w:cs="Times New Roman"/>
        </w:rPr>
      </w:pPr>
      <w:r w:rsidRPr="00F25463">
        <w:rPr>
          <w:rFonts w:ascii="Times New Roman" w:hAnsi="Times New Roman" w:cs="Times New Roman"/>
        </w:rPr>
        <w:t>B- L’élément psychologique – la conviction de l’existence d’une obligation juridique</w:t>
      </w:r>
    </w:p>
    <w:p w14:paraId="1B9ADF1E"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F6E415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La simple répétition d’acte n’est pas comme une coutume</w:t>
      </w:r>
    </w:p>
    <w:p w14:paraId="63CE60DA"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Ex </w:t>
      </w:r>
      <w:r w:rsidR="006F4132" w:rsidRPr="00F25463">
        <w:rPr>
          <w:rFonts w:hAnsi="Times New Roman" w:cs="Times New Roman"/>
          <w:sz w:val="22"/>
          <w:szCs w:val="22"/>
        </w:rPr>
        <w:t>: le salut en haute mer. Peut-</w:t>
      </w:r>
      <w:r w:rsidRPr="00F25463">
        <w:rPr>
          <w:rFonts w:hAnsi="Times New Roman" w:cs="Times New Roman"/>
          <w:sz w:val="22"/>
          <w:szCs w:val="22"/>
        </w:rPr>
        <w:t>être des actes de courtoisie.</w:t>
      </w:r>
    </w:p>
    <w:p w14:paraId="7F6683C0"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AD966E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Mais par la nature, la répétition peut devenir une règle de coutume international</w:t>
      </w:r>
      <w:r w:rsidR="006F4132" w:rsidRPr="00F25463">
        <w:rPr>
          <w:rFonts w:hAnsi="Times New Roman" w:cs="Times New Roman"/>
          <w:sz w:val="22"/>
          <w:szCs w:val="22"/>
        </w:rPr>
        <w:t>e</w:t>
      </w:r>
    </w:p>
    <w:p w14:paraId="214E1D1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Ex : la ligne médiane qui sépare des États.</w:t>
      </w:r>
    </w:p>
    <w:p w14:paraId="4CBFAFE9"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0CC575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roofErr w:type="spellStart"/>
      <w:r w:rsidRPr="00F25463">
        <w:rPr>
          <w:rFonts w:hAnsi="Times New Roman" w:cs="Times New Roman"/>
          <w:sz w:val="22"/>
          <w:szCs w:val="22"/>
        </w:rPr>
        <w:t>Aueur</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Lauterpacht</w:t>
      </w:r>
      <w:proofErr w:type="spellEnd"/>
      <w:r w:rsidRPr="00F25463">
        <w:rPr>
          <w:rFonts w:hAnsi="Times New Roman" w:cs="Times New Roman"/>
          <w:sz w:val="22"/>
          <w:szCs w:val="22"/>
        </w:rPr>
        <w:t xml:space="preserve"> : allégué les actes répétés des États et souligner la nature des actes, peuvent faire présumer que l’opinion </w:t>
      </w:r>
      <w:proofErr w:type="spellStart"/>
      <w:r w:rsidRPr="00F25463">
        <w:rPr>
          <w:rFonts w:hAnsi="Times New Roman" w:cs="Times New Roman"/>
          <w:sz w:val="22"/>
          <w:szCs w:val="22"/>
        </w:rPr>
        <w:t>Iouris</w:t>
      </w:r>
      <w:proofErr w:type="spellEnd"/>
      <w:r w:rsidRPr="00F25463">
        <w:rPr>
          <w:rFonts w:hAnsi="Times New Roman" w:cs="Times New Roman"/>
          <w:sz w:val="22"/>
          <w:szCs w:val="22"/>
        </w:rPr>
        <w:t xml:space="preserve"> existe.  Présomption de coutume qui peut être renversé par l’autre partie (si preuve contraire). Mais dur si déjà prouver la présomption.  Il faudrait pour cela, amener des précédents contradictoire.</w:t>
      </w:r>
    </w:p>
    <w:p w14:paraId="6A3F41FA"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7D2F57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sz w:val="22"/>
          <w:szCs w:val="22"/>
        </w:rPr>
        <w:tab/>
      </w:r>
      <w:r w:rsidRPr="00F25463">
        <w:rPr>
          <w:rFonts w:hAnsi="Times New Roman" w:cs="Times New Roman"/>
          <w:i/>
          <w:iCs/>
          <w:sz w:val="22"/>
          <w:szCs w:val="22"/>
        </w:rPr>
        <w:t>Doc 10 : Affaire du droit d’asile (Colombie c. Pérou) (1950)</w:t>
      </w:r>
    </w:p>
    <w:p w14:paraId="131F309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E98F032"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Dans cette affaire, un révolutionnaire du Pérou se réfugie dans un</w:t>
      </w:r>
      <w:r w:rsidR="006F4132" w:rsidRPr="00F25463">
        <w:rPr>
          <w:rFonts w:hAnsi="Times New Roman" w:cs="Times New Roman"/>
          <w:sz w:val="22"/>
          <w:szCs w:val="22"/>
        </w:rPr>
        <w:t>e</w:t>
      </w:r>
      <w:r w:rsidRPr="00F25463">
        <w:rPr>
          <w:rFonts w:hAnsi="Times New Roman" w:cs="Times New Roman"/>
          <w:sz w:val="22"/>
          <w:szCs w:val="22"/>
        </w:rPr>
        <w:t xml:space="preserve"> mission diplomatique Colombienne et la Colombie le qualifie d’</w:t>
      </w:r>
      <w:proofErr w:type="spellStart"/>
      <w:r w:rsidRPr="00F25463">
        <w:rPr>
          <w:rFonts w:hAnsi="Times New Roman" w:cs="Times New Roman"/>
          <w:sz w:val="22"/>
          <w:szCs w:val="22"/>
        </w:rPr>
        <w:t>asilié</w:t>
      </w:r>
      <w:proofErr w:type="spellEnd"/>
      <w:r w:rsidRPr="00F25463">
        <w:rPr>
          <w:rFonts w:hAnsi="Times New Roman" w:cs="Times New Roman"/>
          <w:sz w:val="22"/>
          <w:szCs w:val="22"/>
        </w:rPr>
        <w:t xml:space="preserve"> politique.  </w:t>
      </w:r>
    </w:p>
    <w:p w14:paraId="3C437CF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41ED30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Question importante : Est-ce que la Colombie avait le droit de qualifier la nature du délie de Alia </w:t>
      </w:r>
      <w:proofErr w:type="spellStart"/>
      <w:r w:rsidRPr="00F25463">
        <w:rPr>
          <w:rFonts w:hAnsi="Times New Roman" w:cs="Times New Roman"/>
          <w:sz w:val="22"/>
          <w:szCs w:val="22"/>
        </w:rPr>
        <w:t>delatoré</w:t>
      </w:r>
      <w:proofErr w:type="spellEnd"/>
      <w:r w:rsidRPr="00F25463">
        <w:rPr>
          <w:rFonts w:hAnsi="Times New Roman" w:cs="Times New Roman"/>
          <w:sz w:val="22"/>
          <w:szCs w:val="22"/>
        </w:rPr>
        <w:t xml:space="preserve"> par une décision unilatéral définitive et obligatoire pour le Pérou ? Alia réfugier politique ou non unilatéralement, pour le Pérou ? Sans parler au Pérou, met le </w:t>
      </w:r>
      <w:proofErr w:type="spellStart"/>
      <w:r w:rsidRPr="00F25463">
        <w:rPr>
          <w:rFonts w:hAnsi="Times New Roman" w:cs="Times New Roman"/>
          <w:sz w:val="22"/>
          <w:szCs w:val="22"/>
        </w:rPr>
        <w:t>pérou</w:t>
      </w:r>
      <w:proofErr w:type="spellEnd"/>
      <w:r w:rsidRPr="00F25463">
        <w:rPr>
          <w:rFonts w:hAnsi="Times New Roman" w:cs="Times New Roman"/>
          <w:sz w:val="22"/>
          <w:szCs w:val="22"/>
        </w:rPr>
        <w:t xml:space="preserve"> devant un fait accompli.</w:t>
      </w:r>
    </w:p>
    <w:p w14:paraId="2D9344BC"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5C09DD1"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CIJ doit décider s’il appartient à la Colombie de qualifier la nature du droit d’asile et si le Pérou est obligé ou non de laisser sortir l’</w:t>
      </w:r>
      <w:proofErr w:type="spellStart"/>
      <w:r w:rsidRPr="00F25463">
        <w:rPr>
          <w:rFonts w:hAnsi="Times New Roman" w:cs="Times New Roman"/>
          <w:sz w:val="22"/>
          <w:szCs w:val="22"/>
        </w:rPr>
        <w:t>asilié</w:t>
      </w:r>
      <w:proofErr w:type="spellEnd"/>
      <w:r w:rsidRPr="00F25463">
        <w:rPr>
          <w:rFonts w:hAnsi="Times New Roman" w:cs="Times New Roman"/>
          <w:sz w:val="22"/>
          <w:szCs w:val="22"/>
        </w:rPr>
        <w:t xml:space="preserve"> de son territoire.</w:t>
      </w:r>
    </w:p>
    <w:p w14:paraId="4973134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EB72EAF"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Or, dans cette affaire, la Colombie tente de prouver l’existence d’une coutume régionale qui aurait donné le droit à la Colombie, dans le cas d’une personne réfugiée dans ses ambassades, de qualifier l’</w:t>
      </w:r>
      <w:proofErr w:type="spellStart"/>
      <w:r w:rsidRPr="00F25463">
        <w:rPr>
          <w:rFonts w:hAnsi="Times New Roman" w:cs="Times New Roman"/>
          <w:sz w:val="22"/>
          <w:szCs w:val="22"/>
        </w:rPr>
        <w:t>asilier</w:t>
      </w:r>
      <w:proofErr w:type="spellEnd"/>
      <w:r w:rsidRPr="00F25463">
        <w:rPr>
          <w:rFonts w:hAnsi="Times New Roman" w:cs="Times New Roman"/>
          <w:sz w:val="22"/>
          <w:szCs w:val="22"/>
        </w:rPr>
        <w:t xml:space="preserve"> comme réfugié politique.</w:t>
      </w:r>
    </w:p>
    <w:p w14:paraId="3486C9A4"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31F258CB"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Elle n’y parvient pas.  En effet, la cour constate que les faits qui lui ont été soumis révèlent de l’incertitude, de la contradiction et des discordances dans l’exercice de l’asile diplomatique.  Selon la cour, il n’est pas possible de dégager de la succession rapide des textes conventionnels relatifs à l’asile une coutume constante et uniforme.</w:t>
      </w:r>
    </w:p>
    <w:p w14:paraId="394530C6"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Les coutumes peuvent aller à l’encontre d’une coutume universelle ou la compléter</w:t>
      </w:r>
    </w:p>
    <w:p w14:paraId="2E6CEB4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38AEA5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Colombie et ses raisons :</w:t>
      </w:r>
    </w:p>
    <w:p w14:paraId="234D0CDC" w14:textId="77777777" w:rsidR="00EC0180" w:rsidRPr="00F25463" w:rsidRDefault="004270F6" w:rsidP="004270F6">
      <w:pPr>
        <w:numPr>
          <w:ilvl w:val="0"/>
          <w:numId w:val="86"/>
        </w:numPr>
        <w:tabs>
          <w:tab w:val="clear" w:pos="690"/>
          <w:tab w:val="num" w:pos="72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 xml:space="preserve">Convention (convention de </w:t>
      </w:r>
      <w:proofErr w:type="spellStart"/>
      <w:r w:rsidRPr="00F25463">
        <w:rPr>
          <w:rFonts w:hAnsi="Times New Roman" w:cs="Times New Roman"/>
          <w:sz w:val="22"/>
          <w:szCs w:val="22"/>
        </w:rPr>
        <w:t>Avan</w:t>
      </w:r>
      <w:proofErr w:type="spellEnd"/>
      <w:r w:rsidRPr="00F25463">
        <w:rPr>
          <w:rFonts w:hAnsi="Times New Roman" w:cs="Times New Roman"/>
          <w:sz w:val="22"/>
          <w:szCs w:val="22"/>
        </w:rPr>
        <w:t xml:space="preserve">, la convention de monté vidéo- unilatéral de </w:t>
      </w:r>
      <w:proofErr w:type="spellStart"/>
      <w:r w:rsidRPr="00F25463">
        <w:rPr>
          <w:rFonts w:hAnsi="Times New Roman" w:cs="Times New Roman"/>
          <w:sz w:val="22"/>
          <w:szCs w:val="22"/>
        </w:rPr>
        <w:t>déli</w:t>
      </w:r>
      <w:proofErr w:type="spellEnd"/>
      <w:r w:rsidRPr="00F25463">
        <w:rPr>
          <w:rFonts w:hAnsi="Times New Roman" w:cs="Times New Roman"/>
          <w:sz w:val="22"/>
          <w:szCs w:val="22"/>
        </w:rPr>
        <w:t xml:space="preserve"> d’un réfugié- mais le Pérou ne l’avait pas ratifier)</w:t>
      </w:r>
    </w:p>
    <w:p w14:paraId="5DF3140F" w14:textId="77777777" w:rsidR="00EC0180" w:rsidRPr="00F25463" w:rsidRDefault="004270F6" w:rsidP="004270F6">
      <w:pPr>
        <w:numPr>
          <w:ilvl w:val="0"/>
          <w:numId w:val="86"/>
        </w:numPr>
        <w:tabs>
          <w:tab w:val="clear" w:pos="690"/>
          <w:tab w:val="num" w:pos="72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jc w:val="both"/>
        <w:rPr>
          <w:rFonts w:hAnsi="Times New Roman" w:cs="Times New Roman"/>
          <w:sz w:val="22"/>
          <w:szCs w:val="22"/>
        </w:rPr>
      </w:pPr>
      <w:r w:rsidRPr="00F25463">
        <w:rPr>
          <w:rFonts w:hAnsi="Times New Roman" w:cs="Times New Roman"/>
          <w:sz w:val="22"/>
          <w:szCs w:val="22"/>
        </w:rPr>
        <w:t>Coutume régionale (locale)</w:t>
      </w:r>
    </w:p>
    <w:p w14:paraId="51556FD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55B1917B"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Remarque additionnelle sur l’élément matériel de la coutume :</w:t>
      </w:r>
    </w:p>
    <w:p w14:paraId="182702D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(Il s’agit de la pratique des précédents)</w:t>
      </w:r>
    </w:p>
    <w:p w14:paraId="2BA59055"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Les actes susceptibles de créer une coutume doivent être posés par des sujets de droit international.  Ces actes peuvent être :</w:t>
      </w:r>
    </w:p>
    <w:p w14:paraId="099EE1A0"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Des décisions de tribunaux</w:t>
      </w:r>
    </w:p>
    <w:p w14:paraId="2F427B50"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Des loi et règlements nationaux</w:t>
      </w:r>
    </w:p>
    <w:p w14:paraId="24816AC8"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Abstention</w:t>
      </w:r>
    </w:p>
    <w:p w14:paraId="13EA2F69"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Des prises de positions par des agents gouvernementaux</w:t>
      </w:r>
    </w:p>
    <w:p w14:paraId="1A297DD4"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des traités</w:t>
      </w:r>
    </w:p>
    <w:p w14:paraId="44CCE7B6"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des déclarations et des décisions de l’exécutif des états </w:t>
      </w:r>
    </w:p>
    <w:p w14:paraId="03E205B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 xml:space="preserve">** p. 39 </w:t>
      </w:r>
      <w:proofErr w:type="spellStart"/>
      <w:r w:rsidRPr="00F25463">
        <w:rPr>
          <w:rFonts w:hAnsi="Times New Roman" w:cs="Times New Roman"/>
          <w:sz w:val="22"/>
          <w:szCs w:val="22"/>
        </w:rPr>
        <w:t>Arbour</w:t>
      </w:r>
      <w:proofErr w:type="spellEnd"/>
    </w:p>
    <w:p w14:paraId="1101F3B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2F013E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La partie qui invoque la coutume doit prouver que l’autre partie a participé à la formation de cette coutume</w:t>
      </w:r>
    </w:p>
    <w:p w14:paraId="1F37EC3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3F6CEFE3"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b/>
          <w:bCs/>
          <w:sz w:val="22"/>
          <w:szCs w:val="22"/>
        </w:rPr>
        <w:t>Accord Bolivarien</w:t>
      </w:r>
      <w:proofErr w:type="gramStart"/>
      <w:r w:rsidRPr="00F25463">
        <w:rPr>
          <w:rFonts w:hAnsi="Times New Roman" w:cs="Times New Roman"/>
          <w:sz w:val="22"/>
          <w:szCs w:val="22"/>
        </w:rPr>
        <w:t> :Confusion</w:t>
      </w:r>
      <w:proofErr w:type="gramEnd"/>
      <w:r w:rsidRPr="00F25463">
        <w:rPr>
          <w:rFonts w:hAnsi="Times New Roman" w:cs="Times New Roman"/>
          <w:sz w:val="22"/>
          <w:szCs w:val="22"/>
        </w:rPr>
        <w:t xml:space="preserve"> entre l’asile territorial et l’asile diplomatique</w:t>
      </w:r>
    </w:p>
    <w:p w14:paraId="513BBA5F"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7B699F5B"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-A l’asile territoriale, le réfugier se trouve à l’extérieur du pays.  La seule souveraineté qui est ouverte est celle du pays qui l’acceptera.</w:t>
      </w:r>
    </w:p>
    <w:p w14:paraId="1E1365E3"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-À l’asile diplomatique, la souveraineté du pays qui sera obligé de l’accepté est menacée</w:t>
      </w:r>
    </w:p>
    <w:p w14:paraId="69388ACE"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-À l’Accord bolivarien, on parle d’asile territorial.</w:t>
      </w:r>
    </w:p>
    <w:p w14:paraId="3931FCC5"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-A doit établir la coutume régional qu’elle est devenu obligatoire à B suite à la formation de la coutume régional par B.</w:t>
      </w:r>
    </w:p>
    <w:p w14:paraId="4DBAD5AD"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3A42BF6"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Faille aux raisons de la Colombie.</w:t>
      </w:r>
    </w:p>
    <w:p w14:paraId="1C37353E"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Pas assez d’État qui l’on ratifié</w:t>
      </w:r>
    </w:p>
    <w:p w14:paraId="0D0239D5"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Colombie à invoqué + de précédent</w:t>
      </w:r>
      <w:r w:rsidRPr="00F25463">
        <w:rPr>
          <w:rFonts w:hAnsi="Times New Roman" w:cs="Times New Roman"/>
          <w:b/>
          <w:bCs/>
          <w:sz w:val="22"/>
          <w:szCs w:val="22"/>
        </w:rPr>
        <w:t>,</w:t>
      </w:r>
      <w:r w:rsidRPr="00F25463">
        <w:rPr>
          <w:rFonts w:hAnsi="Times New Roman" w:cs="Times New Roman"/>
          <w:sz w:val="22"/>
          <w:szCs w:val="22"/>
        </w:rPr>
        <w:t xml:space="preserve"> mais n’a pas prouvé que les État se sentaient obligés.</w:t>
      </w:r>
    </w:p>
    <w:p w14:paraId="29715D99"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Même s’il y avait une coutume régionale, </w:t>
      </w:r>
      <w:proofErr w:type="gramStart"/>
      <w:r w:rsidRPr="00F25463">
        <w:rPr>
          <w:rFonts w:hAnsi="Times New Roman" w:cs="Times New Roman"/>
          <w:sz w:val="22"/>
          <w:szCs w:val="22"/>
        </w:rPr>
        <w:t>elle ne s’appliquent</w:t>
      </w:r>
      <w:proofErr w:type="gramEnd"/>
      <w:r w:rsidRPr="00F25463">
        <w:rPr>
          <w:rFonts w:hAnsi="Times New Roman" w:cs="Times New Roman"/>
          <w:sz w:val="22"/>
          <w:szCs w:val="22"/>
        </w:rPr>
        <w:t xml:space="preserve"> pas au Pérou.  (le Pérou ne l’ayant pas accepté)</w:t>
      </w:r>
    </w:p>
    <w:p w14:paraId="7D20796A"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précédents sont contradictoire, pas constant. Dans des sens différents, prouve pas l’opinion « </w:t>
      </w:r>
      <w:proofErr w:type="spellStart"/>
      <w:r w:rsidRPr="00F25463">
        <w:rPr>
          <w:rFonts w:hAnsi="Times New Roman" w:cs="Times New Roman"/>
          <w:sz w:val="22"/>
          <w:szCs w:val="22"/>
        </w:rPr>
        <w:t>Iouris</w:t>
      </w:r>
      <w:proofErr w:type="spellEnd"/>
      <w:r w:rsidRPr="00F25463">
        <w:rPr>
          <w:rFonts w:hAnsi="Times New Roman" w:cs="Times New Roman"/>
          <w:sz w:val="22"/>
          <w:szCs w:val="22"/>
        </w:rPr>
        <w:t> ».</w:t>
      </w:r>
    </w:p>
    <w:p w14:paraId="61DED89C"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Pérou c’est toujours opposer </w:t>
      </w:r>
      <w:proofErr w:type="spellStart"/>
      <w:r w:rsidRPr="00F25463">
        <w:rPr>
          <w:rFonts w:hAnsi="Times New Roman" w:cs="Times New Roman"/>
          <w:sz w:val="22"/>
          <w:szCs w:val="22"/>
        </w:rPr>
        <w:t>Monté-vidéo</w:t>
      </w:r>
      <w:proofErr w:type="spellEnd"/>
      <w:r w:rsidRPr="00F25463">
        <w:rPr>
          <w:rFonts w:hAnsi="Times New Roman" w:cs="Times New Roman"/>
          <w:sz w:val="22"/>
          <w:szCs w:val="22"/>
        </w:rPr>
        <w:t>. Pas du droit coutumier pour lui. LA cour dit que même si aurait prouver coutume le Pérou n’a pas accepter donc pas applicable.</w:t>
      </w:r>
    </w:p>
    <w:p w14:paraId="3D28B150" w14:textId="77777777" w:rsidR="00EC0180" w:rsidRPr="00F25463" w:rsidRDefault="004270F6">
      <w:pPr>
        <w:pStyle w:val="BodyText"/>
        <w:tabs>
          <w:tab w:val="clear" w:pos="36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5D271F54"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convention pas un bon argument</w:t>
      </w:r>
    </w:p>
    <w:p w14:paraId="40E9CE7B"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4A30CEA"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Coutume Universelle</w:t>
      </w:r>
      <w:r w:rsidRPr="00F25463">
        <w:rPr>
          <w:rFonts w:hAnsi="Times New Roman" w:cs="Times New Roman"/>
          <w:sz w:val="22"/>
          <w:szCs w:val="22"/>
        </w:rPr>
        <w:t> : Majorité ont participé (s’applique à tous)</w:t>
      </w:r>
    </w:p>
    <w:p w14:paraId="5E334ABE" w14:textId="77777777" w:rsidR="00EC0180" w:rsidRPr="00F25463" w:rsidRDefault="00EC0180">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70C73DC7"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Coutume régionale</w:t>
      </w:r>
      <w:r w:rsidRPr="00F25463">
        <w:rPr>
          <w:rFonts w:hAnsi="Times New Roman" w:cs="Times New Roman"/>
          <w:sz w:val="22"/>
          <w:szCs w:val="22"/>
        </w:rPr>
        <w:t xml:space="preserve"> : tous les États de la région ont participé à la coutume (pays qui n’a pas participé, ne sera pas affecté par la coutume). Elle peut déroger ou compléter une coutume universelle. </w:t>
      </w:r>
    </w:p>
    <w:p w14:paraId="2699E492" w14:textId="77777777" w:rsidR="00EC0180" w:rsidRPr="00F25463" w:rsidRDefault="004270F6" w:rsidP="004270F6">
      <w:pPr>
        <w:pStyle w:val="BodyText"/>
        <w:numPr>
          <w:ilvl w:val="0"/>
          <w:numId w:val="5"/>
        </w:numPr>
        <w:tabs>
          <w:tab w:val="clear" w:pos="360"/>
          <w:tab w:val="clear" w:pos="690"/>
          <w:tab w:val="num" w:pos="72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lastRenderedPageBreak/>
        <w:t>La partie qui invoque cette coutume, doit prouver que tout les autres États ont participer et lui-même aussi. Coutume obligatoire pour la Colombie et doit prouver que le Pérou aussi à participer à cette coutume. Sinon, peut pas invoquer la coutume envers le Pérou.</w:t>
      </w:r>
    </w:p>
    <w:p w14:paraId="78E27074"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20113EB"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Doc 11 : Affaire du Plateau continental de la mer du nord (1969)</w:t>
      </w:r>
    </w:p>
    <w:p w14:paraId="1E65E8E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p>
    <w:p w14:paraId="46A59BAC"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Dans cette affaire, la CIJ affirme avec clarté que les États intéressés doivent avoir le sentiment de se conformer à ce qui équivaut à une obligation juridique</w:t>
      </w:r>
    </w:p>
    <w:p w14:paraId="5A51EB93"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3C75B4B"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Elle a reconnu que dans certains cas les États avaient tracé des limites maritimes suivant le principe de l’équidistance MAIS d’après elle, rien ne prouvait qu’ils avaient agi ainsi parce qu’ils s’y sentaient juridiquement tenus par une règle obligatoire, d’autres facteurs ayant pu motiver leur action.</w:t>
      </w:r>
    </w:p>
    <w:p w14:paraId="62060D82"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Elle a souligné que la preuve directe et positive de l’opinion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peut s’avérer extrêmement difficile à établir.</w:t>
      </w:r>
    </w:p>
    <w:p w14:paraId="1D41161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4F90602"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Selon certains auteurs, l’existence de l’opinion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se déduit soit :</w:t>
      </w:r>
    </w:p>
    <w:p w14:paraId="40686786"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De la cohérence et de la durée d’une pratique lorsque cette pratique ne fait aucun doute.</w:t>
      </w:r>
    </w:p>
    <w:p w14:paraId="00584FA2"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Du fait observable de la généralité de la pratique étatique lorsqu’on ne peut prouver directement et formellement le consentement des États.</w:t>
      </w:r>
    </w:p>
    <w:p w14:paraId="56F3A60F"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Selon ces auteurs, l’opinion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des États peut être faites très clairement par consensus ou par de large majorité de l’adoption de résolution ou déclarations solennelles qui formulent des principes nouveaux applicables aux relations internationales.</w:t>
      </w:r>
    </w:p>
    <w:p w14:paraId="5C366DBB"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façon de déterminer l’opinion des États n’est vraiment pas claire.</w:t>
      </w:r>
    </w:p>
    <w:p w14:paraId="2F1C96D2"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De son côté, la CIJ a admis que l’opinion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peut se déduire, en autres preuves, de l’attitude des États à l’égard de certaines résolutions de l’assemblé général ; l’effet d’un consentement au texte de telles résolutio</w:t>
      </w:r>
      <w:r w:rsidR="00410C30" w:rsidRPr="00F25463">
        <w:rPr>
          <w:rFonts w:hAnsi="Times New Roman" w:cs="Times New Roman"/>
          <w:sz w:val="22"/>
          <w:szCs w:val="22"/>
        </w:rPr>
        <w:t>n</w:t>
      </w:r>
      <w:r w:rsidRPr="00F25463">
        <w:rPr>
          <w:rFonts w:hAnsi="Times New Roman" w:cs="Times New Roman"/>
          <w:sz w:val="22"/>
          <w:szCs w:val="22"/>
        </w:rPr>
        <w:t xml:space="preserve">s peut s’interpréter selon la cours, comme une adhésion à la valeur de la règle et comme l’expression d’une opinion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à l’égard de la règle en question.</w:t>
      </w:r>
    </w:p>
    <w:p w14:paraId="76D2C1B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E5F6C7E"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r w:rsidRPr="00F25463">
        <w:rPr>
          <w:rFonts w:hAnsi="Times New Roman" w:cs="Times New Roman"/>
          <w:sz w:val="22"/>
          <w:szCs w:val="22"/>
          <w:u w:val="single"/>
        </w:rPr>
        <w:t>C. Établissement du consentement à la formation d’une coutume : élément matériel</w:t>
      </w:r>
    </w:p>
    <w:p w14:paraId="7DD1E8EC"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8E1AD0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Un État peut exercer son consentement à la formation d’une coutume de 2 façon :</w:t>
      </w:r>
    </w:p>
    <w:p w14:paraId="04B8CDBA" w14:textId="77777777" w:rsidR="00EC0180" w:rsidRPr="00F25463" w:rsidRDefault="004270F6" w:rsidP="004270F6">
      <w:pPr>
        <w:numPr>
          <w:ilvl w:val="0"/>
          <w:numId w:val="87"/>
        </w:numPr>
        <w:tabs>
          <w:tab w:val="clear" w:pos="1170"/>
          <w:tab w:val="num" w:pos="120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Activement (par un acte positif) en agissant dans le sens de la pratique alléguée</w:t>
      </w:r>
    </w:p>
    <w:p w14:paraId="40B911BE" w14:textId="77777777" w:rsidR="00EC0180" w:rsidRPr="00F25463" w:rsidRDefault="004270F6">
      <w:pPr>
        <w:tabs>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Ex : Conférence de presse, déclaration, une loi</w:t>
      </w:r>
    </w:p>
    <w:p w14:paraId="16EA703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ADF4DFD" w14:textId="77777777" w:rsidR="00EC0180" w:rsidRPr="00F25463" w:rsidRDefault="004270F6" w:rsidP="004270F6">
      <w:pPr>
        <w:numPr>
          <w:ilvl w:val="0"/>
          <w:numId w:val="87"/>
        </w:numPr>
        <w:tabs>
          <w:tab w:val="clear" w:pos="1170"/>
          <w:tab w:val="num" w:pos="120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acquiescement (en gardant le silence lorsque la situation entraînerait normalement la signification d’une objection) - tacite</w:t>
      </w:r>
    </w:p>
    <w:p w14:paraId="23BFA73F" w14:textId="77777777" w:rsidR="00EC0180" w:rsidRPr="00F25463" w:rsidRDefault="004270F6">
      <w:pPr>
        <w:tabs>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ab/>
        <w:t xml:space="preserve">Ex : En matière de droit spatial, les États ne s’opposent pas aux </w:t>
      </w:r>
    </w:p>
    <w:p w14:paraId="0A7FE88B" w14:textId="77777777" w:rsidR="00EC0180" w:rsidRPr="00F25463" w:rsidRDefault="004270F6">
      <w:pPr>
        <w:tabs>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ab/>
        <w:t xml:space="preserve">        </w:t>
      </w:r>
      <w:proofErr w:type="gramStart"/>
      <w:r w:rsidRPr="00F25463">
        <w:rPr>
          <w:rFonts w:hAnsi="Times New Roman" w:cs="Times New Roman"/>
          <w:sz w:val="22"/>
          <w:szCs w:val="22"/>
        </w:rPr>
        <w:t>pratiques</w:t>
      </w:r>
      <w:proofErr w:type="gramEnd"/>
      <w:r w:rsidRPr="00F25463">
        <w:rPr>
          <w:rFonts w:hAnsi="Times New Roman" w:cs="Times New Roman"/>
          <w:sz w:val="22"/>
          <w:szCs w:val="22"/>
        </w:rPr>
        <w:t xml:space="preserve"> américaines et soviétiques…</w:t>
      </w:r>
    </w:p>
    <w:p w14:paraId="6808C900"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p>
    <w:p w14:paraId="3414012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E7D348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455B09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Conditions pour qu’il y ait acquiescement :</w:t>
      </w:r>
    </w:p>
    <w:p w14:paraId="06650ABF"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Il faut que l’État ait connaissance de la situation en question.  (on ne peut acquiescer à ce dont on n’a pas connaissance) – prouver par preuve </w:t>
      </w:r>
      <w:proofErr w:type="spellStart"/>
      <w:r w:rsidRPr="00F25463">
        <w:rPr>
          <w:rFonts w:hAnsi="Times New Roman" w:cs="Times New Roman"/>
          <w:sz w:val="22"/>
          <w:szCs w:val="22"/>
        </w:rPr>
        <w:t>ciconstantielle</w:t>
      </w:r>
      <w:proofErr w:type="spellEnd"/>
    </w:p>
    <w:p w14:paraId="6D59EC1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DC3431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 xml:space="preserve">Doc 16 : l’Affaire des pêcheries </w:t>
      </w:r>
      <w:proofErr w:type="spellStart"/>
      <w:r w:rsidRPr="00F25463">
        <w:rPr>
          <w:rFonts w:hAnsi="Times New Roman" w:cs="Times New Roman"/>
          <w:i/>
          <w:iCs/>
          <w:sz w:val="22"/>
          <w:szCs w:val="22"/>
        </w:rPr>
        <w:t>anglo</w:t>
      </w:r>
      <w:proofErr w:type="spellEnd"/>
      <w:r w:rsidRPr="00F25463">
        <w:rPr>
          <w:rFonts w:hAnsi="Times New Roman" w:cs="Times New Roman"/>
          <w:i/>
          <w:iCs/>
          <w:sz w:val="22"/>
          <w:szCs w:val="22"/>
        </w:rPr>
        <w:t xml:space="preserve">- </w:t>
      </w:r>
      <w:proofErr w:type="spellStart"/>
      <w:r w:rsidRPr="00F25463">
        <w:rPr>
          <w:rFonts w:hAnsi="Times New Roman" w:cs="Times New Roman"/>
          <w:i/>
          <w:iCs/>
          <w:sz w:val="22"/>
          <w:szCs w:val="22"/>
        </w:rPr>
        <w:t>norviégienne</w:t>
      </w:r>
      <w:proofErr w:type="spellEnd"/>
      <w:r w:rsidRPr="00F25463">
        <w:rPr>
          <w:rFonts w:hAnsi="Times New Roman" w:cs="Times New Roman"/>
          <w:i/>
          <w:iCs/>
          <w:sz w:val="22"/>
          <w:szCs w:val="22"/>
        </w:rPr>
        <w:t xml:space="preserve"> (Royaume –Unis c. Norvège) (1951)</w:t>
      </w:r>
    </w:p>
    <w:p w14:paraId="36F19243"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84E410"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r w:rsidRPr="00F25463">
        <w:rPr>
          <w:rFonts w:hAnsi="Times New Roman" w:cs="Times New Roman"/>
          <w:sz w:val="22"/>
          <w:szCs w:val="22"/>
        </w:rPr>
        <w:t xml:space="preserve">La CIJ avait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définir les limites de la mer territoriales de la Norvège.  Cette dernière avait adopté une méthode de délimitation selon laquelle ses lignes de base qui passait par les points de son territoire les plus avancés dans la mer par décret royal norvégien du 12 juillet 1935.</w:t>
      </w:r>
    </w:p>
    <w:p w14:paraId="412E1DD8"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p>
    <w:p w14:paraId="213BADD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r w:rsidRPr="00F25463">
        <w:rPr>
          <w:rFonts w:hAnsi="Times New Roman" w:cs="Times New Roman"/>
          <w:sz w:val="22"/>
          <w:szCs w:val="22"/>
        </w:rPr>
        <w:lastRenderedPageBreak/>
        <w:t>Mer territoriale : 12 000m débute aux marrés basses</w:t>
      </w:r>
    </w:p>
    <w:p w14:paraId="09886700"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840"/>
        <w:jc w:val="both"/>
        <w:rPr>
          <w:rFonts w:hAnsi="Times New Roman" w:cs="Times New Roman"/>
          <w:sz w:val="22"/>
          <w:szCs w:val="22"/>
        </w:rPr>
      </w:pPr>
    </w:p>
    <w:p w14:paraId="50E41B54"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Royaume – Unis s’y oppose parce que cette méthode alloue une mer territoriale plus grande pour la Norvège, limitant ainsi l’accès à un territoire où il pratiquait la pêche.</w:t>
      </w:r>
    </w:p>
    <w:p w14:paraId="59F9456C"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Dans cette affaire, la Norvège alléguait que le R-U avait nécessairement connaissance de cette méthode (ce que ce dernier niait) </w:t>
      </w:r>
    </w:p>
    <w:p w14:paraId="4AE92D41"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cours a constaté que le décret de 1935 était un fait notoire et que puisque la G-B avait comme État riverain un intérêt évident dans la question, elle avait sûrement connaissance de ce fait.  Étant donné qu’elle s’est abstenue de formuler des réserves (lors d’autres entente), la cours conclut que cette méthode des lignes droites a été consolidée par une pratique constante et suffisamment longue en face de laquelle l’attitude des gouvernements atteste que ceux-ci ne l’ont pas considéré comme étant contraire au droit International.</w:t>
      </w:r>
    </w:p>
    <w:p w14:paraId="6E79FB77"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Royaume- Uni a donc pu consentir à cette règle.</w:t>
      </w:r>
    </w:p>
    <w:p w14:paraId="58B0F0C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 xml:space="preserve">Norvège : Personne ne s’est plaint pendant 60 ans (preuve indirecte et </w:t>
      </w:r>
      <w:proofErr w:type="spellStart"/>
      <w:r w:rsidRPr="00F25463">
        <w:rPr>
          <w:rFonts w:hAnsi="Times New Roman" w:cs="Times New Roman"/>
          <w:sz w:val="22"/>
          <w:szCs w:val="22"/>
        </w:rPr>
        <w:t>circonstantielle</w:t>
      </w:r>
      <w:proofErr w:type="spellEnd"/>
      <w:r w:rsidRPr="00F25463">
        <w:rPr>
          <w:rFonts w:hAnsi="Times New Roman" w:cs="Times New Roman"/>
          <w:sz w:val="22"/>
          <w:szCs w:val="22"/>
        </w:rPr>
        <w:t xml:space="preserve">) </w:t>
      </w:r>
    </w:p>
    <w:p w14:paraId="1712C9F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Royaume- Uni : Il ne connaissait pas cette délimitation Étant donné la force maritime du R-U, il est impossible que le R-U ne sache pas cette délimitation.</w:t>
      </w:r>
    </w:p>
    <w:p w14:paraId="46DA7B8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6C25E8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r w:rsidRPr="00F25463">
        <w:rPr>
          <w:rFonts w:hAnsi="Times New Roman" w:cs="Times New Roman"/>
          <w:sz w:val="22"/>
          <w:szCs w:val="22"/>
          <w:u w:val="single"/>
        </w:rPr>
        <w:t>D. Rejet exprès d’une coutume par un État</w:t>
      </w:r>
    </w:p>
    <w:p w14:paraId="29B17BD9"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p>
    <w:p w14:paraId="18E8F1A7" w14:textId="77777777" w:rsidR="00EC0180" w:rsidRPr="00F25463" w:rsidRDefault="004270F6" w:rsidP="004270F6">
      <w:pPr>
        <w:pStyle w:val="BodyText"/>
        <w:numPr>
          <w:ilvl w:val="0"/>
          <w:numId w:val="88"/>
        </w:numPr>
        <w:tabs>
          <w:tab w:val="clear" w:pos="360"/>
          <w:tab w:val="clear" w:pos="1050"/>
          <w:tab w:val="num" w:pos="108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80" w:hanging="360"/>
        <w:rPr>
          <w:rFonts w:hAnsi="Times New Roman" w:cs="Times New Roman"/>
        </w:rPr>
      </w:pPr>
      <w:r w:rsidRPr="00F25463">
        <w:rPr>
          <w:rFonts w:hAnsi="Times New Roman" w:cs="Times New Roman"/>
          <w:sz w:val="22"/>
          <w:szCs w:val="22"/>
        </w:rPr>
        <w:t>La coutume peut être rejeter par un État MAIS le rejet doit se faire au moment de la formation de la coutume.  (preuve historique)</w:t>
      </w:r>
    </w:p>
    <w:p w14:paraId="3B8B4186" w14:textId="77777777" w:rsidR="00EC0180" w:rsidRPr="00F25463" w:rsidRDefault="004270F6" w:rsidP="004270F6">
      <w:pPr>
        <w:pStyle w:val="BodyText"/>
        <w:numPr>
          <w:ilvl w:val="0"/>
          <w:numId w:val="26"/>
        </w:numPr>
        <w:tabs>
          <w:tab w:val="clear" w:pos="360"/>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Une fois </w:t>
      </w:r>
      <w:proofErr w:type="gramStart"/>
      <w:r w:rsidRPr="00F25463">
        <w:rPr>
          <w:rFonts w:hAnsi="Times New Roman" w:cs="Times New Roman"/>
          <w:sz w:val="22"/>
          <w:szCs w:val="22"/>
        </w:rPr>
        <w:t>la coutume formé</w:t>
      </w:r>
      <w:proofErr w:type="gramEnd"/>
      <w:r w:rsidRPr="00F25463">
        <w:rPr>
          <w:rFonts w:hAnsi="Times New Roman" w:cs="Times New Roman"/>
          <w:sz w:val="22"/>
          <w:szCs w:val="22"/>
        </w:rPr>
        <w:t>, les États sont tous liés</w:t>
      </w:r>
    </w:p>
    <w:p w14:paraId="685D91D0"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Dans l’affaire des Pêcheries Norvégienne, la CIJ reconnaît clairement qu’un État peut s’opposer à ce qu’on lui applique </w:t>
      </w:r>
      <w:proofErr w:type="gramStart"/>
      <w:r w:rsidRPr="00F25463">
        <w:rPr>
          <w:rFonts w:hAnsi="Times New Roman" w:cs="Times New Roman"/>
          <w:sz w:val="22"/>
          <w:szCs w:val="22"/>
        </w:rPr>
        <w:t>un coutume</w:t>
      </w:r>
      <w:proofErr w:type="gramEnd"/>
      <w:r w:rsidRPr="00F25463">
        <w:rPr>
          <w:rFonts w:hAnsi="Times New Roman" w:cs="Times New Roman"/>
          <w:sz w:val="22"/>
          <w:szCs w:val="22"/>
        </w:rPr>
        <w:t xml:space="preserve"> en vote de formation.  Le R-U contestait la validité des lignes de délimitation des zones de pêche norvégienne, pour le motif que les lignes droites tirées à travers les baies ne pouvaient excéder 10 miles marins. (12 miles) La Norvège prétendait au contraire qu’elle avait le droit de revendiquer comme eaux intérieures tous les Fjords et qui entrent dans la notion de baie, que la lignes excède ou non les 10 miles ( ??12) marins.  La CIJ a juger que la règle des 10 miles marins n’avait pas acquis l’autorité d’une règle générale de droit international et que de toute manière, cette règle apparaissait inopposable à la Norvège, cette dernière s’étant toujours élevé contre toute tentative de l’appliquer à la côte norvégienne.</w:t>
      </w:r>
    </w:p>
    <w:p w14:paraId="68AFB41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79E081E"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r w:rsidRPr="00F25463">
        <w:rPr>
          <w:rFonts w:hAnsi="Times New Roman" w:cs="Times New Roman"/>
          <w:sz w:val="22"/>
          <w:szCs w:val="22"/>
          <w:u w:val="single"/>
        </w:rPr>
        <w:t>II. Les effets juridiques de la coutume internationale dans le droit internes canadien</w:t>
      </w:r>
    </w:p>
    <w:p w14:paraId="44AA2E3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u w:val="single"/>
        </w:rPr>
      </w:pPr>
    </w:p>
    <w:p w14:paraId="4FBC6446"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Question : Lorsqu’une coutume produit directement des effets dans l’ordre juridique interne canadien, peut-on plaider la coutume devant les tribunaux canadiens et ces derniers appliqueront-ils cette coutume ?</w:t>
      </w:r>
    </w:p>
    <w:p w14:paraId="095FBF47"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939C535"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Réponse : Étudions d’abord les 3 positions que peuvent prendre les États :</w:t>
      </w:r>
    </w:p>
    <w:p w14:paraId="784F67DB"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9502217" w14:textId="77777777" w:rsidR="00EC0180" w:rsidRPr="00F25463" w:rsidRDefault="004270F6" w:rsidP="004270F6">
      <w:pPr>
        <w:numPr>
          <w:ilvl w:val="0"/>
          <w:numId w:val="89"/>
        </w:numPr>
        <w:tabs>
          <w:tab w:val="clear" w:pos="1170"/>
          <w:tab w:val="num" w:pos="120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jc w:val="both"/>
        <w:rPr>
          <w:rFonts w:hAnsi="Times New Roman" w:cs="Times New Roman"/>
          <w:b/>
          <w:bCs/>
          <w:sz w:val="22"/>
          <w:szCs w:val="22"/>
        </w:rPr>
      </w:pPr>
      <w:r w:rsidRPr="00F25463">
        <w:rPr>
          <w:rFonts w:hAnsi="Times New Roman" w:cs="Times New Roman"/>
          <w:b/>
          <w:bCs/>
          <w:sz w:val="22"/>
          <w:szCs w:val="22"/>
        </w:rPr>
        <w:t>Moniste avec prépondérance du droit international public</w:t>
      </w:r>
    </w:p>
    <w:p w14:paraId="323884A1"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Dès que la coutume est acceptée, elle fait partie du droit interne de l’État et les tribunaux l’appliquent</w:t>
      </w:r>
    </w:p>
    <w:p w14:paraId="3D44D7C6"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S’il y a conflit entre le droit interne et la coutume, c’est la coutume qui sera appliqué (prépondérance du droit international)</w:t>
      </w:r>
    </w:p>
    <w:p w14:paraId="1516A51E"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0C92FBD" w14:textId="77777777" w:rsidR="00EC0180" w:rsidRPr="00F25463" w:rsidRDefault="004270F6" w:rsidP="004270F6">
      <w:pPr>
        <w:numPr>
          <w:ilvl w:val="0"/>
          <w:numId w:val="89"/>
        </w:numPr>
        <w:tabs>
          <w:tab w:val="clear" w:pos="1170"/>
          <w:tab w:val="num" w:pos="120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jc w:val="both"/>
        <w:rPr>
          <w:rFonts w:hAnsi="Times New Roman" w:cs="Times New Roman"/>
          <w:b/>
          <w:bCs/>
          <w:sz w:val="22"/>
          <w:szCs w:val="22"/>
        </w:rPr>
      </w:pPr>
      <w:r w:rsidRPr="00F25463">
        <w:rPr>
          <w:rFonts w:hAnsi="Times New Roman" w:cs="Times New Roman"/>
          <w:b/>
          <w:bCs/>
          <w:sz w:val="22"/>
          <w:szCs w:val="22"/>
        </w:rPr>
        <w:t>Monisme avec prépondérance du droit interne (Canada)</w:t>
      </w:r>
    </w:p>
    <w:p w14:paraId="61393635"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Ces États appliquent le droit interne lorsqu’il y a conflit entre le droit interne et la coutume (au risque d’engager leur responsabilité international) (prépondérance du droit interne)</w:t>
      </w:r>
    </w:p>
    <w:p w14:paraId="6AE1733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60D9DEE" w14:textId="77777777" w:rsidR="00EC0180" w:rsidRPr="00F25463" w:rsidRDefault="004270F6" w:rsidP="004270F6">
      <w:pPr>
        <w:numPr>
          <w:ilvl w:val="0"/>
          <w:numId w:val="89"/>
        </w:numPr>
        <w:tabs>
          <w:tab w:val="clear" w:pos="1170"/>
          <w:tab w:val="num" w:pos="120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jc w:val="both"/>
        <w:rPr>
          <w:rFonts w:hAnsi="Times New Roman" w:cs="Times New Roman"/>
          <w:b/>
          <w:bCs/>
          <w:sz w:val="22"/>
          <w:szCs w:val="22"/>
        </w:rPr>
      </w:pPr>
      <w:r w:rsidRPr="00F25463">
        <w:rPr>
          <w:rFonts w:hAnsi="Times New Roman" w:cs="Times New Roman"/>
          <w:b/>
          <w:bCs/>
          <w:sz w:val="22"/>
          <w:szCs w:val="22"/>
        </w:rPr>
        <w:t>Dualiste</w:t>
      </w:r>
    </w:p>
    <w:p w14:paraId="3370A008"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lastRenderedPageBreak/>
        <w:t>L’État par ses tribunaux peut appliquer la coutume à la condition qu’elle soit incorporée dans le droit juridique par une loi ou autrement selon l’État.</w:t>
      </w:r>
    </w:p>
    <w:p w14:paraId="02B83451"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S’il y a conflit entre une norme interne et une loi d’incorporation, on appliquera la norme la plus récente.</w:t>
      </w:r>
    </w:p>
    <w:p w14:paraId="6FBBBFFE"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560"/>
        <w:jc w:val="both"/>
        <w:rPr>
          <w:rFonts w:hAnsi="Times New Roman" w:cs="Times New Roman"/>
          <w:sz w:val="22"/>
          <w:szCs w:val="22"/>
        </w:rPr>
      </w:pPr>
    </w:p>
    <w:p w14:paraId="10C178CD"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b/>
          <w:bCs/>
          <w:sz w:val="22"/>
          <w:szCs w:val="22"/>
        </w:rPr>
      </w:pPr>
      <w:r w:rsidRPr="00F25463">
        <w:rPr>
          <w:rFonts w:hAnsi="Times New Roman" w:cs="Times New Roman"/>
          <w:sz w:val="22"/>
          <w:szCs w:val="22"/>
        </w:rPr>
        <w:t xml:space="preserve">- </w:t>
      </w:r>
      <w:r w:rsidRPr="00F25463">
        <w:rPr>
          <w:rFonts w:hAnsi="Times New Roman" w:cs="Times New Roman"/>
          <w:b/>
          <w:bCs/>
          <w:sz w:val="22"/>
          <w:szCs w:val="22"/>
        </w:rPr>
        <w:t>Le Canada est dualiste par rapport au traité MAIS moniste avec prépondérance de droit interne vis- à- vis les coutumes.</w:t>
      </w:r>
    </w:p>
    <w:p w14:paraId="69440EE3"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2FC0011"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Les constitution</w:t>
      </w:r>
      <w:r w:rsidR="007A27A8" w:rsidRPr="00F25463">
        <w:rPr>
          <w:rFonts w:hAnsi="Times New Roman" w:cs="Times New Roman"/>
          <w:sz w:val="22"/>
          <w:szCs w:val="22"/>
        </w:rPr>
        <w:t>s</w:t>
      </w:r>
      <w:r w:rsidRPr="00F25463">
        <w:rPr>
          <w:rFonts w:hAnsi="Times New Roman" w:cs="Times New Roman"/>
          <w:b/>
          <w:bCs/>
          <w:sz w:val="22"/>
          <w:szCs w:val="22"/>
        </w:rPr>
        <w:t xml:space="preserve"> </w:t>
      </w:r>
      <w:r w:rsidRPr="00F25463">
        <w:rPr>
          <w:rFonts w:hAnsi="Times New Roman" w:cs="Times New Roman"/>
          <w:sz w:val="22"/>
          <w:szCs w:val="22"/>
        </w:rPr>
        <w:t>franç</w:t>
      </w:r>
      <w:r w:rsidR="007A27A8" w:rsidRPr="00F25463">
        <w:rPr>
          <w:rFonts w:hAnsi="Times New Roman" w:cs="Times New Roman"/>
          <w:sz w:val="22"/>
          <w:szCs w:val="22"/>
        </w:rPr>
        <w:t>aise et italienn</w:t>
      </w:r>
      <w:r w:rsidRPr="00F25463">
        <w:rPr>
          <w:rFonts w:hAnsi="Times New Roman" w:cs="Times New Roman"/>
          <w:sz w:val="22"/>
          <w:szCs w:val="22"/>
        </w:rPr>
        <w:t>e prévoient comment appliquer la coutume par rapport à leur droit interne : Ces États ont adopté la thèse moniste avec prépondérance du droit interne.</w:t>
      </w:r>
    </w:p>
    <w:p w14:paraId="489B71B4"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Les constitution</w:t>
      </w:r>
      <w:r w:rsidR="007A27A8" w:rsidRPr="00F25463">
        <w:rPr>
          <w:rFonts w:hAnsi="Times New Roman" w:cs="Times New Roman"/>
          <w:sz w:val="22"/>
          <w:szCs w:val="22"/>
        </w:rPr>
        <w:t>s</w:t>
      </w:r>
      <w:r w:rsidRPr="00F25463">
        <w:rPr>
          <w:rFonts w:hAnsi="Times New Roman" w:cs="Times New Roman"/>
          <w:sz w:val="22"/>
          <w:szCs w:val="22"/>
        </w:rPr>
        <w:t xml:space="preserve"> britannique, américaine et canadienne ne font pas mention de la coutume.  Ils suivent donc la jurisprudence de leurs plus hauts tribunaux.</w:t>
      </w:r>
    </w:p>
    <w:p w14:paraId="0E65E507"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 xml:space="preserve">La jurisprudence américaine a adopté pour le monisme avec prépondérance du droit international.  On applique donc la coutume même si elle contredit la loi interne.  Cependant, la coutume n’est pas </w:t>
      </w:r>
      <w:proofErr w:type="gramStart"/>
      <w:r w:rsidRPr="00F25463">
        <w:rPr>
          <w:rFonts w:hAnsi="Times New Roman" w:cs="Times New Roman"/>
          <w:sz w:val="22"/>
          <w:szCs w:val="22"/>
        </w:rPr>
        <w:t>supérieur</w:t>
      </w:r>
      <w:proofErr w:type="gramEnd"/>
      <w:r w:rsidRPr="00F25463">
        <w:rPr>
          <w:rFonts w:hAnsi="Times New Roman" w:cs="Times New Roman"/>
          <w:sz w:val="22"/>
          <w:szCs w:val="22"/>
        </w:rPr>
        <w:t xml:space="preserve"> à une loi Fédérale si cette dernière est plus récente.</w:t>
      </w:r>
    </w:p>
    <w:p w14:paraId="761000D3"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La constitution britannique, le Canada e le Royaume- Uni</w:t>
      </w:r>
      <w:r w:rsidRPr="00F25463">
        <w:rPr>
          <w:rFonts w:hAnsi="Times New Roman" w:cs="Times New Roman"/>
          <w:b/>
          <w:bCs/>
          <w:sz w:val="22"/>
          <w:szCs w:val="22"/>
        </w:rPr>
        <w:t xml:space="preserve"> </w:t>
      </w:r>
      <w:r w:rsidRPr="00F25463">
        <w:rPr>
          <w:rFonts w:hAnsi="Times New Roman" w:cs="Times New Roman"/>
          <w:sz w:val="22"/>
          <w:szCs w:val="22"/>
        </w:rPr>
        <w:t xml:space="preserve">appliquent les solutions de la jurisprudence des plus hauts tribunaux anglais.  En droit anglais, le droit coutumier international fait parti de l’ordre juridique et les tribunaux doivent en prendre connaissance d’office (à la différence du droit étranger qui doit être allégué et prouvé).  La coutume sera donc </w:t>
      </w:r>
      <w:proofErr w:type="gramStart"/>
      <w:r w:rsidRPr="00F25463">
        <w:rPr>
          <w:rFonts w:hAnsi="Times New Roman" w:cs="Times New Roman"/>
          <w:sz w:val="22"/>
          <w:szCs w:val="22"/>
        </w:rPr>
        <w:t>appliqué</w:t>
      </w:r>
      <w:proofErr w:type="gramEnd"/>
      <w:r w:rsidRPr="00F25463">
        <w:rPr>
          <w:rFonts w:hAnsi="Times New Roman" w:cs="Times New Roman"/>
          <w:sz w:val="22"/>
          <w:szCs w:val="22"/>
        </w:rPr>
        <w:t xml:space="preserve"> par les tribunaux même si elle n’est pas incorporée au droit interne par une loi.  Le droit coutumier international est donc traité différemment du droit des traités.</w:t>
      </w:r>
    </w:p>
    <w:p w14:paraId="5EFCA333"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 xml:space="preserve">Cependant, avant d’appliquer une coutume, le juge canadien ou anglais doit vérifier si L’État a accepté la coutume et s’il y a des précédents judiciaires. </w:t>
      </w:r>
    </w:p>
    <w:p w14:paraId="1D0DC1CF" w14:textId="77777777" w:rsidR="00EC0180" w:rsidRPr="00F25463" w:rsidRDefault="004270F6" w:rsidP="004270F6">
      <w:pPr>
        <w:numPr>
          <w:ilvl w:val="1"/>
          <w:numId w:val="90"/>
        </w:numPr>
        <w:tabs>
          <w:tab w:val="clear" w:pos="1890"/>
          <w:tab w:val="num" w:pos="192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920" w:hanging="360"/>
        <w:jc w:val="both"/>
        <w:rPr>
          <w:rFonts w:hAnsi="Times New Roman" w:cs="Times New Roman"/>
          <w:sz w:val="22"/>
          <w:szCs w:val="22"/>
        </w:rPr>
      </w:pPr>
      <w:r w:rsidRPr="00F25463">
        <w:rPr>
          <w:rFonts w:hAnsi="Times New Roman" w:cs="Times New Roman"/>
          <w:sz w:val="22"/>
          <w:szCs w:val="22"/>
        </w:rPr>
        <w:t xml:space="preserve">Ayant adopté la thèse moniste avec prépondérance du droit interne, si la coutume entre le conflit avec une loi (canadienne ou britannique) ou avec une règle de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les tribunaux canadien et britannique donneront préférence à la loi ou à la règle de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w:t>
      </w:r>
    </w:p>
    <w:p w14:paraId="33D0D35A"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D490387"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i/>
          <w:iCs/>
          <w:sz w:val="22"/>
          <w:szCs w:val="22"/>
        </w:rPr>
      </w:pPr>
      <w:r w:rsidRPr="00F25463">
        <w:rPr>
          <w:rFonts w:hAnsi="Times New Roman" w:cs="Times New Roman"/>
          <w:i/>
          <w:iCs/>
          <w:sz w:val="22"/>
          <w:szCs w:val="22"/>
        </w:rPr>
        <w:t xml:space="preserve">Doc 13 : Le gouvernement de la République démocratique du Congo c. </w:t>
      </w:r>
      <w:proofErr w:type="spellStart"/>
      <w:r w:rsidRPr="00F25463">
        <w:rPr>
          <w:rFonts w:hAnsi="Times New Roman" w:cs="Times New Roman"/>
          <w:i/>
          <w:iCs/>
          <w:sz w:val="22"/>
          <w:szCs w:val="22"/>
        </w:rPr>
        <w:t>Venne</w:t>
      </w:r>
      <w:proofErr w:type="spellEnd"/>
      <w:r w:rsidRPr="00F25463">
        <w:rPr>
          <w:rFonts w:hAnsi="Times New Roman" w:cs="Times New Roman"/>
          <w:i/>
          <w:iCs/>
          <w:sz w:val="22"/>
          <w:szCs w:val="22"/>
        </w:rPr>
        <w:t xml:space="preserve"> (1971)</w:t>
      </w:r>
    </w:p>
    <w:p w14:paraId="25193819"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389D9D8"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l’intimé </w:t>
      </w:r>
      <w:proofErr w:type="spellStart"/>
      <w:r w:rsidRPr="00F25463">
        <w:rPr>
          <w:rFonts w:hAnsi="Times New Roman" w:cs="Times New Roman"/>
          <w:sz w:val="22"/>
          <w:szCs w:val="22"/>
        </w:rPr>
        <w:t>Venne</w:t>
      </w:r>
      <w:proofErr w:type="spellEnd"/>
      <w:r w:rsidRPr="00F25463">
        <w:rPr>
          <w:rFonts w:hAnsi="Times New Roman" w:cs="Times New Roman"/>
          <w:sz w:val="22"/>
          <w:szCs w:val="22"/>
        </w:rPr>
        <w:t xml:space="preserve"> est l’architecte et prétend que ses services ont été retenus au nom du gouvernement appelant pour faire des études préliminaires et préparer des croquis pour le pavillon national que l’appelant se proposait d’Ériger à l’Expo de 1967.  Le Congo a décidé de ne pas construire le pavillon.  L’appelant a produit une </w:t>
      </w:r>
      <w:proofErr w:type="spellStart"/>
      <w:r w:rsidRPr="00F25463">
        <w:rPr>
          <w:rFonts w:hAnsi="Times New Roman" w:cs="Times New Roman"/>
          <w:sz w:val="22"/>
          <w:szCs w:val="22"/>
        </w:rPr>
        <w:t>exeption</w:t>
      </w:r>
      <w:proofErr w:type="spellEnd"/>
      <w:r w:rsidRPr="00F25463">
        <w:rPr>
          <w:rFonts w:hAnsi="Times New Roman" w:cs="Times New Roman"/>
          <w:sz w:val="22"/>
          <w:szCs w:val="22"/>
        </w:rPr>
        <w:t xml:space="preserve"> déclinatoire ou il allègue qu’en raison de son statut d’État souverain, il ne peut être poursuivi devant les tribunaux du Québec.  (coutume de l’immunité des États)</w:t>
      </w:r>
    </w:p>
    <w:p w14:paraId="6A77073C"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735D8BD8"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CS avait donc à décider si le Congo pouvait être poursuivi (et si Vienne y a réclamer des honoraires)</w:t>
      </w:r>
    </w:p>
    <w:p w14:paraId="66CAD1C1"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La cour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décider d’appliquer la coutume de l’immunité absolue des États.  Selon cette coutume, le Congo ne peut être poursuivi au Canada</w:t>
      </w:r>
    </w:p>
    <w:p w14:paraId="0DDDD5B9"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CEPENDANT, depuis 1971, la coutume a évoluée et on parle maintenant d’immunité relative des États selon laquelle on pourrait poursuivre un État devant nos tribunaux dans certaines circonstance (pas ex : si le différend ne porte pas sur la compétence propre de l’état mais sont plutôt du ressort de nos tribunaux. </w:t>
      </w:r>
    </w:p>
    <w:p w14:paraId="125CD04F" w14:textId="77777777" w:rsidR="00EC0180" w:rsidRPr="00F25463" w:rsidRDefault="004270F6" w:rsidP="004270F6">
      <w:pPr>
        <w:numPr>
          <w:ilvl w:val="1"/>
          <w:numId w:val="30"/>
        </w:numPr>
        <w:tabs>
          <w:tab w:val="clear" w:pos="1758"/>
          <w:tab w:val="num" w:pos="178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ex : les opérations commerciales d’un gouvernement étranger sur notre territoire.</w:t>
      </w:r>
    </w:p>
    <w:p w14:paraId="0DB01FB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38BDB873"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Note : Les tribunaux canadiens ne sont pas liées par le Stare </w:t>
      </w:r>
      <w:proofErr w:type="spellStart"/>
      <w:r w:rsidRPr="00F25463">
        <w:rPr>
          <w:rFonts w:hAnsi="Times New Roman" w:cs="Times New Roman"/>
          <w:sz w:val="22"/>
          <w:szCs w:val="22"/>
        </w:rPr>
        <w:t>Decis</w:t>
      </w:r>
      <w:proofErr w:type="spellEnd"/>
      <w:r w:rsidRPr="00F25463">
        <w:rPr>
          <w:rFonts w:hAnsi="Times New Roman" w:cs="Times New Roman"/>
          <w:sz w:val="22"/>
          <w:szCs w:val="22"/>
        </w:rPr>
        <w:t xml:space="preserve"> en ce qui concerne cette affaire de 1971 </w:t>
      </w:r>
      <w:proofErr w:type="spellStart"/>
      <w:r w:rsidRPr="00F25463">
        <w:rPr>
          <w:rFonts w:hAnsi="Times New Roman" w:cs="Times New Roman"/>
          <w:sz w:val="22"/>
          <w:szCs w:val="22"/>
        </w:rPr>
        <w:t>pcq</w:t>
      </w:r>
      <w:proofErr w:type="spellEnd"/>
      <w:r w:rsidRPr="00F25463">
        <w:rPr>
          <w:rFonts w:hAnsi="Times New Roman" w:cs="Times New Roman"/>
          <w:sz w:val="22"/>
          <w:szCs w:val="22"/>
        </w:rPr>
        <w:t xml:space="preserve"> si une coutume se </w:t>
      </w:r>
      <w:proofErr w:type="spellStart"/>
      <w:r w:rsidRPr="00F25463">
        <w:rPr>
          <w:rFonts w:hAnsi="Times New Roman" w:cs="Times New Roman"/>
          <w:sz w:val="22"/>
          <w:szCs w:val="22"/>
        </w:rPr>
        <w:t>modofie</w:t>
      </w:r>
      <w:proofErr w:type="spellEnd"/>
      <w:r w:rsidRPr="00F25463">
        <w:rPr>
          <w:rFonts w:hAnsi="Times New Roman" w:cs="Times New Roman"/>
          <w:sz w:val="22"/>
          <w:szCs w:val="22"/>
        </w:rPr>
        <w:t xml:space="preserve"> ou est remplacée par une nouvelle coutume, ils appliqueront cette nouvelle coutume (ou la coutume telle que modifiée)</w:t>
      </w:r>
    </w:p>
    <w:p w14:paraId="6159EF1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237157C"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Au Canada on à une règle de star </w:t>
      </w:r>
      <w:proofErr w:type="spellStart"/>
      <w:r w:rsidRPr="00F25463">
        <w:rPr>
          <w:rFonts w:hAnsi="Times New Roman" w:cs="Times New Roman"/>
          <w:sz w:val="22"/>
          <w:szCs w:val="22"/>
        </w:rPr>
        <w:t>decisis</w:t>
      </w:r>
      <w:proofErr w:type="spellEnd"/>
      <w:r w:rsidRPr="00F25463">
        <w:rPr>
          <w:rFonts w:hAnsi="Times New Roman" w:cs="Times New Roman"/>
          <w:sz w:val="22"/>
          <w:szCs w:val="22"/>
        </w:rPr>
        <w:t xml:space="preserve"> : si l’État est </w:t>
      </w:r>
      <w:proofErr w:type="spellStart"/>
      <w:r w:rsidRPr="00F25463">
        <w:rPr>
          <w:rFonts w:hAnsi="Times New Roman" w:cs="Times New Roman"/>
          <w:sz w:val="22"/>
          <w:szCs w:val="22"/>
        </w:rPr>
        <w:t>commercant</w:t>
      </w:r>
      <w:proofErr w:type="spellEnd"/>
      <w:r w:rsidRPr="00F25463">
        <w:rPr>
          <w:rFonts w:hAnsi="Times New Roman" w:cs="Times New Roman"/>
          <w:sz w:val="22"/>
          <w:szCs w:val="22"/>
        </w:rPr>
        <w:t>, peu pas poursuivre en tribunal interne (1960) – immunité absolue des États.</w:t>
      </w:r>
    </w:p>
    <w:p w14:paraId="264009BE"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Est-ce que </w:t>
      </w:r>
      <w:proofErr w:type="gramStart"/>
      <w:r w:rsidRPr="00F25463">
        <w:rPr>
          <w:rFonts w:hAnsi="Times New Roman" w:cs="Times New Roman"/>
          <w:sz w:val="22"/>
          <w:szCs w:val="22"/>
        </w:rPr>
        <w:t>les tribunaux inférieur</w:t>
      </w:r>
      <w:proofErr w:type="gramEnd"/>
      <w:r w:rsidRPr="00F25463">
        <w:rPr>
          <w:rFonts w:hAnsi="Times New Roman" w:cs="Times New Roman"/>
          <w:sz w:val="22"/>
          <w:szCs w:val="22"/>
        </w:rPr>
        <w:t xml:space="preserve"> sont liée avec ce </w:t>
      </w:r>
      <w:proofErr w:type="spellStart"/>
      <w:r w:rsidRPr="00F25463">
        <w:rPr>
          <w:rFonts w:hAnsi="Times New Roman" w:cs="Times New Roman"/>
          <w:sz w:val="22"/>
          <w:szCs w:val="22"/>
        </w:rPr>
        <w:t>stare</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decisis</w:t>
      </w:r>
      <w:proofErr w:type="spellEnd"/>
      <w:r w:rsidRPr="00F25463">
        <w:rPr>
          <w:rFonts w:hAnsi="Times New Roman" w:cs="Times New Roman"/>
          <w:sz w:val="22"/>
          <w:szCs w:val="22"/>
        </w:rPr>
        <w:t xml:space="preserve"> de la CS ?</w:t>
      </w:r>
    </w:p>
    <w:p w14:paraId="01C293BF"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Non, peuvent appliquer </w:t>
      </w:r>
      <w:proofErr w:type="gramStart"/>
      <w:r w:rsidRPr="00F25463">
        <w:rPr>
          <w:rFonts w:hAnsi="Times New Roman" w:cs="Times New Roman"/>
          <w:sz w:val="22"/>
          <w:szCs w:val="22"/>
        </w:rPr>
        <w:t>la nouvelle coutume formé</w:t>
      </w:r>
      <w:proofErr w:type="gramEnd"/>
      <w:r w:rsidRPr="00F25463">
        <w:rPr>
          <w:rFonts w:hAnsi="Times New Roman" w:cs="Times New Roman"/>
          <w:sz w:val="22"/>
          <w:szCs w:val="22"/>
        </w:rPr>
        <w:t xml:space="preserve"> par le droit international. Dans ce contexte seulement, on est moniste : </w:t>
      </w:r>
      <w:proofErr w:type="spellStart"/>
      <w:r w:rsidRPr="00F25463">
        <w:rPr>
          <w:rFonts w:hAnsi="Times New Roman" w:cs="Times New Roman"/>
          <w:sz w:val="22"/>
          <w:szCs w:val="22"/>
        </w:rPr>
        <w:t>prévaloi</w:t>
      </w:r>
      <w:proofErr w:type="spellEnd"/>
      <w:r w:rsidRPr="00F25463">
        <w:rPr>
          <w:rFonts w:hAnsi="Times New Roman" w:cs="Times New Roman"/>
          <w:sz w:val="22"/>
          <w:szCs w:val="22"/>
        </w:rPr>
        <w:t xml:space="preserve"> coutume sur une règle de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dans ce contexte ou une nouvelle coutume </w:t>
      </w:r>
      <w:proofErr w:type="spellStart"/>
      <w:r w:rsidRPr="00F25463">
        <w:rPr>
          <w:rFonts w:hAnsi="Times New Roman" w:cs="Times New Roman"/>
          <w:sz w:val="22"/>
          <w:szCs w:val="22"/>
        </w:rPr>
        <w:t>prévot</w:t>
      </w:r>
      <w:proofErr w:type="spellEnd"/>
      <w:r w:rsidRPr="00F25463">
        <w:rPr>
          <w:rFonts w:hAnsi="Times New Roman" w:cs="Times New Roman"/>
          <w:sz w:val="22"/>
          <w:szCs w:val="22"/>
        </w:rPr>
        <w:t xml:space="preserve"> sur la vielle de la CS.</w:t>
      </w:r>
    </w:p>
    <w:p w14:paraId="20AAB21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F7E3269" w14:textId="77777777" w:rsidR="00EC0180" w:rsidRPr="00F25463" w:rsidRDefault="004270F6">
      <w:pPr>
        <w:pStyle w:val="Heading9"/>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III. La codification du droit coutumier</w:t>
      </w:r>
    </w:p>
    <w:p w14:paraId="3760B6C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4506821" w14:textId="77777777" w:rsidR="00EC0180" w:rsidRPr="00F25463" w:rsidRDefault="004270F6">
      <w:pPr>
        <w:pStyle w:val="Heading4"/>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 Historique</w:t>
      </w:r>
    </w:p>
    <w:p w14:paraId="6BB7752E"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8175294"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Crée en 1946 sur l’art 22 de la Chartes des nations Unis. : L’une des missions de l’assemblé générale est de faire des recommandation en vue d’encourager le développement progressif du droit international et sa codification (art 13 (</w:t>
      </w:r>
      <w:proofErr w:type="gramStart"/>
      <w:r w:rsidRPr="00F25463">
        <w:rPr>
          <w:rFonts w:hAnsi="Times New Roman" w:cs="Times New Roman"/>
          <w:sz w:val="22"/>
          <w:szCs w:val="22"/>
        </w:rPr>
        <w:t>1)a</w:t>
      </w:r>
      <w:proofErr w:type="gramEnd"/>
      <w:r w:rsidRPr="00F25463">
        <w:rPr>
          <w:rFonts w:hAnsi="Times New Roman" w:cs="Times New Roman"/>
          <w:sz w:val="22"/>
          <w:szCs w:val="22"/>
        </w:rPr>
        <w:t>))</w:t>
      </w:r>
    </w:p>
    <w:p w14:paraId="31C7F51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F137BC1"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Art 15, 17 Statut Commission droit international </w:t>
      </w:r>
      <w:r w:rsidR="007A27A8" w:rsidRPr="00F25463">
        <w:rPr>
          <w:rFonts w:hAnsi="Times New Roman" w:cs="Times New Roman"/>
          <w:sz w:val="22"/>
          <w:szCs w:val="22"/>
        </w:rPr>
        <w:t>: la CD</w:t>
      </w:r>
      <w:r w:rsidRPr="00F25463">
        <w:rPr>
          <w:rFonts w:hAnsi="Times New Roman" w:cs="Times New Roman"/>
          <w:sz w:val="22"/>
          <w:szCs w:val="22"/>
        </w:rPr>
        <w:t xml:space="preserve">I est créée en vertu de l’art 22 CNU.  Composée de 34 membres élus pour 5 ans par l’Assemblé générale sur une liste de candidats présentés par les gouvernements des </w:t>
      </w:r>
      <w:proofErr w:type="spellStart"/>
      <w:r w:rsidRPr="00F25463">
        <w:rPr>
          <w:rFonts w:hAnsi="Times New Roman" w:cs="Times New Roman"/>
          <w:sz w:val="22"/>
          <w:szCs w:val="22"/>
        </w:rPr>
        <w:t>membes</w:t>
      </w:r>
      <w:proofErr w:type="spellEnd"/>
      <w:r w:rsidRPr="00F25463">
        <w:rPr>
          <w:rFonts w:hAnsi="Times New Roman" w:cs="Times New Roman"/>
          <w:sz w:val="22"/>
          <w:szCs w:val="22"/>
        </w:rPr>
        <w:t xml:space="preserve"> de L’ONU, cette commission a essentiellement pour tâche de formuler avec plus de précision et de systématisation étatique considérable, les précédents et les opinions doctrinal et de veiller au développement progressif du droit. </w:t>
      </w:r>
    </w:p>
    <w:p w14:paraId="097F7E9F"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B2955A0"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Un organe ad hoc : organe qui travail sur un sujet précis. </w:t>
      </w:r>
    </w:p>
    <w:p w14:paraId="7BC6E058"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-ex : droit de la mer en 1973 pour codifier les coutumes concernant la mer</w:t>
      </w:r>
    </w:p>
    <w:p w14:paraId="17998EAD"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9033C51" w14:textId="77777777" w:rsidR="00EC0180" w:rsidRPr="00F25463" w:rsidRDefault="00EC0180">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p>
    <w:p w14:paraId="0C2DD57B" w14:textId="77777777" w:rsidR="00EC0180" w:rsidRPr="00F25463" w:rsidRDefault="004270F6">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B. La commission du droit international (CDI et les organes de l’ONU).</w:t>
      </w:r>
    </w:p>
    <w:p w14:paraId="5563927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7F5F32F"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La codification officielle du droit international s’effectue lentement grâce aux travaux préparatoire</w:t>
      </w:r>
      <w:r w:rsidR="00957003" w:rsidRPr="00F25463">
        <w:rPr>
          <w:rFonts w:hAnsi="Times New Roman" w:cs="Times New Roman"/>
          <w:sz w:val="22"/>
          <w:szCs w:val="22"/>
        </w:rPr>
        <w:t>s</w:t>
      </w:r>
      <w:r w:rsidRPr="00F25463">
        <w:rPr>
          <w:rFonts w:hAnsi="Times New Roman" w:cs="Times New Roman"/>
          <w:sz w:val="22"/>
          <w:szCs w:val="22"/>
        </w:rPr>
        <w:t xml:space="preserve"> de la Commission du droit international.</w:t>
      </w:r>
    </w:p>
    <w:p w14:paraId="617F2EC2"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731BCC3"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7A238171"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Exemple des questions traité</w:t>
      </w:r>
      <w:r w:rsidR="00957003" w:rsidRPr="00F25463">
        <w:rPr>
          <w:rFonts w:hAnsi="Times New Roman" w:cs="Times New Roman"/>
          <w:sz w:val="22"/>
          <w:szCs w:val="22"/>
        </w:rPr>
        <w:t>e</w:t>
      </w:r>
      <w:r w:rsidRPr="00F25463">
        <w:rPr>
          <w:rFonts w:hAnsi="Times New Roman" w:cs="Times New Roman"/>
          <w:sz w:val="22"/>
          <w:szCs w:val="22"/>
        </w:rPr>
        <w:t>s par la CDI :</w:t>
      </w:r>
    </w:p>
    <w:p w14:paraId="3F29CEE0"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Plateau continental, pêcherie et zones </w:t>
      </w:r>
      <w:r w:rsidR="00957003" w:rsidRPr="00F25463">
        <w:rPr>
          <w:rFonts w:hAnsi="Times New Roman" w:cs="Times New Roman"/>
          <w:sz w:val="22"/>
          <w:szCs w:val="22"/>
        </w:rPr>
        <w:t>contigües</w:t>
      </w:r>
    </w:p>
    <w:p w14:paraId="41F246E9"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Mer territoriale</w:t>
      </w:r>
    </w:p>
    <w:p w14:paraId="069722D4"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Relations et immunités diplomatiques</w:t>
      </w:r>
    </w:p>
    <w:p w14:paraId="6F1FCBBF"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Droit des traités</w:t>
      </w:r>
    </w:p>
    <w:p w14:paraId="31D84916"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Succession d’États en matière de traités</w:t>
      </w:r>
    </w:p>
    <w:p w14:paraId="51789DA5"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B4495D1"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Remarque additionnelles :</w:t>
      </w:r>
    </w:p>
    <w:p w14:paraId="3134225B"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Une convention codifiant la coutume peut réécrire ou améliorer la coutume pour la rendre plus actuelle.</w:t>
      </w:r>
    </w:p>
    <w:p w14:paraId="3816D613" w14:textId="77777777" w:rsidR="00EC0180" w:rsidRPr="00F25463" w:rsidRDefault="004270F6" w:rsidP="004270F6">
      <w:pPr>
        <w:numPr>
          <w:ilvl w:val="0"/>
          <w:numId w:val="26"/>
        </w:numPr>
        <w:tabs>
          <w:tab w:val="clear" w:pos="1038"/>
          <w:tab w:val="num" w:pos="1068"/>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Une convention codifiant la coutume peut devenir le point de départ d’une nouvelle coutume (ex : affaire du plateau continental de la Mer du Nord.</w:t>
      </w:r>
    </w:p>
    <w:p w14:paraId="5F1F68A6"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2FE88A9" w14:textId="77777777" w:rsidR="00EC0180" w:rsidRPr="00F25463" w:rsidRDefault="004270F6">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Section 4 – Les principes généraux de droit reconnus par les nations civilisées</w:t>
      </w:r>
    </w:p>
    <w:p w14:paraId="09CDABDE" w14:textId="77777777" w:rsidR="00EC0180" w:rsidRPr="00F25463" w:rsidRDefault="00EC0180">
      <w:pPr>
        <w:tabs>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247096A" w14:textId="77777777" w:rsidR="00EC0180" w:rsidRPr="00F25463" w:rsidRDefault="004270F6">
      <w:pPr>
        <w:pStyle w:val="BodyText"/>
        <w:tabs>
          <w:tab w:val="clear" w:pos="360"/>
          <w:tab w:val="left" w:pos="840"/>
          <w:tab w:val="left" w:pos="2640"/>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I. Définition, origine et contenu des principes généraux de droit.</w:t>
      </w:r>
    </w:p>
    <w:p w14:paraId="6A40EFF6"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r>
      <w:r w:rsidRPr="00F25463">
        <w:rPr>
          <w:rFonts w:hAnsi="Times New Roman" w:cs="Times New Roman"/>
          <w:b/>
          <w:bCs/>
          <w:sz w:val="22"/>
          <w:szCs w:val="22"/>
        </w:rPr>
        <w:tab/>
      </w:r>
    </w:p>
    <w:p w14:paraId="5842A302"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r w:rsidRPr="00F25463">
        <w:rPr>
          <w:rFonts w:hAnsi="Times New Roman" w:cs="Times New Roman"/>
          <w:sz w:val="22"/>
          <w:szCs w:val="22"/>
        </w:rPr>
        <w:t xml:space="preserve"> Il y a deux types de principes généraux de droit reconnus par les nations civilisées</w:t>
      </w:r>
    </w:p>
    <w:p w14:paraId="0F745A1F"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jc w:val="both"/>
        <w:rPr>
          <w:rFonts w:hAnsi="Times New Roman" w:cs="Times New Roman"/>
          <w:sz w:val="22"/>
          <w:szCs w:val="22"/>
        </w:rPr>
      </w:pPr>
    </w:p>
    <w:p w14:paraId="7DB21B4B" w14:textId="77777777" w:rsidR="00EC0180" w:rsidRPr="00F25463" w:rsidRDefault="004270F6" w:rsidP="004270F6">
      <w:pPr>
        <w:numPr>
          <w:ilvl w:val="0"/>
          <w:numId w:val="91"/>
        </w:numPr>
        <w:tabs>
          <w:tab w:val="clear" w:pos="1035"/>
          <w:tab w:val="num"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b/>
          <w:bCs/>
          <w:sz w:val="22"/>
          <w:szCs w:val="22"/>
        </w:rPr>
      </w:pPr>
      <w:r w:rsidRPr="00F25463">
        <w:rPr>
          <w:rFonts w:hAnsi="Times New Roman" w:cs="Times New Roman"/>
          <w:b/>
          <w:bCs/>
          <w:sz w:val="22"/>
          <w:szCs w:val="22"/>
        </w:rPr>
        <w:t>Les principes généraux proposés au droit international public</w:t>
      </w:r>
    </w:p>
    <w:p w14:paraId="34CE09C1" w14:textId="77777777" w:rsidR="00EC0180" w:rsidRPr="00F25463" w:rsidRDefault="00EC0180">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5F58EE2E" w14:textId="77777777" w:rsidR="00EC0180" w:rsidRPr="00F25463" w:rsidRDefault="004270F6">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roofErr w:type="spellStart"/>
      <w:r w:rsidRPr="00F25463">
        <w:rPr>
          <w:rFonts w:hAnsi="Times New Roman" w:cs="Times New Roman"/>
          <w:sz w:val="22"/>
          <w:szCs w:val="22"/>
        </w:rPr>
        <w:t>Def</w:t>
      </w:r>
      <w:proofErr w:type="spellEnd"/>
      <w:r w:rsidRPr="00F25463">
        <w:rPr>
          <w:rFonts w:hAnsi="Times New Roman" w:cs="Times New Roman"/>
          <w:sz w:val="22"/>
          <w:szCs w:val="22"/>
        </w:rPr>
        <w:t> : ce sont des règles de fond ou de procédure qui appartiennent exclusivement à l’ordre juridique du droit international.  Ces règles sont rarement précises mais ce sont des règles ou des principes généraux qui soutiennent des règles précises.</w:t>
      </w:r>
    </w:p>
    <w:p w14:paraId="71B635F9" w14:textId="77777777" w:rsidR="00EC0180" w:rsidRPr="00F25463" w:rsidRDefault="00EC0180">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7641746F" w14:textId="77777777" w:rsidR="00EC0180" w:rsidRPr="00F25463" w:rsidRDefault="004270F6">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sz w:val="22"/>
          <w:szCs w:val="22"/>
        </w:rPr>
        <w:tab/>
        <w:t xml:space="preserve">Ex  le principe général de bon voisinage qui soutient comme règle selon laquelle les États ne peuvent utiliser leur territoire en nuisant à l’État voisin,  (ex : le problème des pluies acides </w:t>
      </w:r>
      <w:proofErr w:type="spellStart"/>
      <w:r w:rsidRPr="00F25463">
        <w:rPr>
          <w:rFonts w:hAnsi="Times New Roman" w:cs="Times New Roman"/>
          <w:sz w:val="22"/>
          <w:szCs w:val="22"/>
        </w:rPr>
        <w:t>proviquées</w:t>
      </w:r>
      <w:proofErr w:type="spellEnd"/>
      <w:r w:rsidRPr="00F25463">
        <w:rPr>
          <w:rFonts w:hAnsi="Times New Roman" w:cs="Times New Roman"/>
          <w:sz w:val="22"/>
          <w:szCs w:val="22"/>
        </w:rPr>
        <w:t xml:space="preserve"> par les usines américaines)</w:t>
      </w:r>
    </w:p>
    <w:p w14:paraId="481CC494" w14:textId="77777777" w:rsidR="00EC0180" w:rsidRPr="00F25463" w:rsidRDefault="00EC0180">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p>
    <w:p w14:paraId="12AE3E28" w14:textId="77777777" w:rsidR="00EC0180" w:rsidRPr="00F25463" w:rsidRDefault="004270F6">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sz w:val="22"/>
          <w:szCs w:val="22"/>
        </w:rPr>
        <w:t xml:space="preserve">Note : Quand on parle des principes propres au droit international </w:t>
      </w:r>
      <w:proofErr w:type="gramStart"/>
      <w:r w:rsidRPr="00F25463">
        <w:rPr>
          <w:rFonts w:hAnsi="Times New Roman" w:cs="Times New Roman"/>
          <w:sz w:val="22"/>
          <w:szCs w:val="22"/>
        </w:rPr>
        <w:t>public ,</w:t>
      </w:r>
      <w:proofErr w:type="gramEnd"/>
      <w:r w:rsidRPr="00F25463">
        <w:rPr>
          <w:rFonts w:hAnsi="Times New Roman" w:cs="Times New Roman"/>
          <w:sz w:val="22"/>
          <w:szCs w:val="22"/>
        </w:rPr>
        <w:t xml:space="preserve"> on n’a pas à mentionner l’art 38 (1) Statue CIJ parce que ces principes existent déjà en vertu :</w:t>
      </w:r>
    </w:p>
    <w:p w14:paraId="41933695" w14:textId="77777777" w:rsidR="00EC0180" w:rsidRPr="00F25463" w:rsidRDefault="004270F6">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48"/>
        <w:jc w:val="both"/>
        <w:rPr>
          <w:rFonts w:hAnsi="Times New Roman" w:cs="Times New Roman"/>
          <w:sz w:val="22"/>
          <w:szCs w:val="22"/>
        </w:rPr>
      </w:pPr>
      <w:r w:rsidRPr="00F25463">
        <w:rPr>
          <w:rFonts w:hAnsi="Times New Roman" w:cs="Times New Roman"/>
          <w:sz w:val="22"/>
          <w:szCs w:val="22"/>
        </w:rPr>
        <w:t>- des règles de Jus Cogens et</w:t>
      </w:r>
    </w:p>
    <w:p w14:paraId="47A1D8DB" w14:textId="77777777" w:rsidR="00EC0180" w:rsidRPr="00F25463" w:rsidRDefault="004270F6">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48"/>
        <w:jc w:val="both"/>
        <w:rPr>
          <w:rFonts w:hAnsi="Times New Roman" w:cs="Times New Roman"/>
          <w:sz w:val="22"/>
          <w:szCs w:val="22"/>
        </w:rPr>
      </w:pPr>
      <w:r w:rsidRPr="00F25463">
        <w:rPr>
          <w:rFonts w:hAnsi="Times New Roman" w:cs="Times New Roman"/>
          <w:sz w:val="22"/>
          <w:szCs w:val="22"/>
        </w:rPr>
        <w:t>- des normes coutumières</w:t>
      </w:r>
    </w:p>
    <w:p w14:paraId="27092486" w14:textId="77777777" w:rsidR="00EC0180" w:rsidRPr="00F25463" w:rsidRDefault="00EC0180">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4CAEFCA" w14:textId="77777777" w:rsidR="00EC0180" w:rsidRPr="00F25463" w:rsidRDefault="004270F6" w:rsidP="004270F6">
      <w:pPr>
        <w:numPr>
          <w:ilvl w:val="0"/>
          <w:numId w:val="91"/>
        </w:numPr>
        <w:tabs>
          <w:tab w:val="clear" w:pos="1035"/>
          <w:tab w:val="num" w:pos="1065"/>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hanging="360"/>
        <w:jc w:val="both"/>
        <w:rPr>
          <w:rFonts w:hAnsi="Times New Roman" w:cs="Times New Roman"/>
          <w:b/>
          <w:bCs/>
          <w:sz w:val="22"/>
          <w:szCs w:val="22"/>
        </w:rPr>
      </w:pPr>
      <w:r w:rsidRPr="00F25463">
        <w:rPr>
          <w:rFonts w:hAnsi="Times New Roman" w:cs="Times New Roman"/>
          <w:b/>
          <w:bCs/>
          <w:sz w:val="22"/>
          <w:szCs w:val="22"/>
        </w:rPr>
        <w:t>Les principes généraux couverts par l’Art 38 (1) c) du Statu CIJ</w:t>
      </w:r>
    </w:p>
    <w:p w14:paraId="185DDA53" w14:textId="77777777" w:rsidR="00EC0180" w:rsidRPr="00F25463" w:rsidRDefault="00EC0180">
      <w:pPr>
        <w:tabs>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5"/>
        <w:jc w:val="both"/>
        <w:rPr>
          <w:rFonts w:hAnsi="Times New Roman" w:cs="Times New Roman"/>
          <w:sz w:val="22"/>
          <w:szCs w:val="22"/>
        </w:rPr>
      </w:pPr>
    </w:p>
    <w:p w14:paraId="638D4FA2" w14:textId="77777777" w:rsidR="00EC0180" w:rsidRPr="00F25463" w:rsidRDefault="004270F6">
      <w:pPr>
        <w:tabs>
          <w:tab w:val="left" w:pos="108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5"/>
        <w:jc w:val="both"/>
        <w:rPr>
          <w:rFonts w:hAnsi="Times New Roman" w:cs="Times New Roman"/>
          <w:sz w:val="22"/>
          <w:szCs w:val="22"/>
        </w:rPr>
      </w:pPr>
      <w:proofErr w:type="spellStart"/>
      <w:r w:rsidRPr="00F25463">
        <w:rPr>
          <w:rFonts w:hAnsi="Times New Roman" w:cs="Times New Roman"/>
          <w:sz w:val="22"/>
          <w:szCs w:val="22"/>
        </w:rPr>
        <w:t>Def</w:t>
      </w:r>
      <w:proofErr w:type="spellEnd"/>
      <w:r w:rsidRPr="00F25463">
        <w:rPr>
          <w:rFonts w:hAnsi="Times New Roman" w:cs="Times New Roman"/>
          <w:sz w:val="22"/>
          <w:szCs w:val="22"/>
        </w:rPr>
        <w:t xml:space="preserve"> : ces principes ont leur origine dans le droit interne des États (et non dans le droit international comme tel) L’art 38 (1)c) </w:t>
      </w:r>
      <w:proofErr w:type="spellStart"/>
      <w:r w:rsidRPr="00F25463">
        <w:rPr>
          <w:rFonts w:hAnsi="Times New Roman" w:cs="Times New Roman"/>
          <w:sz w:val="22"/>
          <w:szCs w:val="22"/>
        </w:rPr>
        <w:t>Status</w:t>
      </w:r>
      <w:proofErr w:type="spellEnd"/>
      <w:r w:rsidRPr="00F25463">
        <w:rPr>
          <w:rFonts w:hAnsi="Times New Roman" w:cs="Times New Roman"/>
          <w:sz w:val="22"/>
          <w:szCs w:val="22"/>
        </w:rPr>
        <w:t xml:space="preserve"> CIJ concède au juge international le pouvoir de constater les principes qui sont communs aux différents systèmes juridiques nationaux (du monde entier), de les transposer et  ou de les utiliser dans l’ordre juridique international afin de trouver des solutions aux problèmes</w:t>
      </w:r>
    </w:p>
    <w:p w14:paraId="3F34DD82" w14:textId="77777777" w:rsidR="00EC0180" w:rsidRPr="00F25463" w:rsidRDefault="004270F6">
      <w:pPr>
        <w:tabs>
          <w:tab w:val="left" w:pos="108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jc w:val="both"/>
        <w:rPr>
          <w:rFonts w:hAnsi="Times New Roman" w:cs="Times New Roman"/>
          <w:sz w:val="22"/>
          <w:szCs w:val="22"/>
        </w:rPr>
      </w:pPr>
      <w:r w:rsidRPr="00F25463">
        <w:rPr>
          <w:rFonts w:hAnsi="Times New Roman" w:cs="Times New Roman"/>
          <w:sz w:val="22"/>
          <w:szCs w:val="22"/>
        </w:rPr>
        <w:tab/>
        <w:t xml:space="preserve">** * le fait de faire cela est du droit coutumier qui préexistait à la   </w:t>
      </w:r>
    </w:p>
    <w:p w14:paraId="6A228E07" w14:textId="77777777" w:rsidR="00EC0180" w:rsidRPr="00F25463" w:rsidRDefault="004270F6">
      <w:pPr>
        <w:tabs>
          <w:tab w:val="left" w:pos="108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 xml:space="preserve">      </w:t>
      </w:r>
      <w:proofErr w:type="gramStart"/>
      <w:r w:rsidRPr="00F25463">
        <w:rPr>
          <w:rFonts w:hAnsi="Times New Roman" w:cs="Times New Roman"/>
          <w:sz w:val="22"/>
          <w:szCs w:val="22"/>
        </w:rPr>
        <w:t>cour</w:t>
      </w:r>
      <w:proofErr w:type="gramEnd"/>
      <w:r w:rsidRPr="00F25463">
        <w:rPr>
          <w:rFonts w:hAnsi="Times New Roman" w:cs="Times New Roman"/>
          <w:sz w:val="22"/>
          <w:szCs w:val="22"/>
        </w:rPr>
        <w:t xml:space="preserve"> permanente de droit International.</w:t>
      </w:r>
    </w:p>
    <w:p w14:paraId="4AAF9F86"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E87B09E" w14:textId="77777777" w:rsidR="00EC0180" w:rsidRPr="00F25463" w:rsidRDefault="004270F6">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t>Remarque sur ces principes couverts par 38 statu CIJ</w:t>
      </w:r>
    </w:p>
    <w:p w14:paraId="468F8E8A" w14:textId="77777777" w:rsidR="00EC0180" w:rsidRPr="00F25463" w:rsidRDefault="004270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868"/>
        <w:jc w:val="both"/>
        <w:rPr>
          <w:rFonts w:hAnsi="Times New Roman" w:cs="Times New Roman"/>
          <w:sz w:val="22"/>
          <w:szCs w:val="22"/>
        </w:rPr>
      </w:pPr>
      <w:r w:rsidRPr="00F25463">
        <w:rPr>
          <w:rFonts w:hAnsi="Times New Roman" w:cs="Times New Roman"/>
          <w:sz w:val="22"/>
          <w:szCs w:val="22"/>
        </w:rPr>
        <w:t xml:space="preserve">-Lire Bonne foi dans </w:t>
      </w:r>
      <w:proofErr w:type="spellStart"/>
      <w:r w:rsidRPr="00F25463">
        <w:rPr>
          <w:rFonts w:hAnsi="Times New Roman" w:cs="Times New Roman"/>
          <w:sz w:val="22"/>
          <w:szCs w:val="22"/>
        </w:rPr>
        <w:t>Arbour</w:t>
      </w:r>
      <w:proofErr w:type="spellEnd"/>
      <w:r w:rsidRPr="00F25463">
        <w:rPr>
          <w:rFonts w:hAnsi="Times New Roman" w:cs="Times New Roman"/>
          <w:sz w:val="22"/>
          <w:szCs w:val="22"/>
        </w:rPr>
        <w:t>.</w:t>
      </w:r>
    </w:p>
    <w:p w14:paraId="0C5C289D" w14:textId="77777777" w:rsidR="00EC0180" w:rsidRPr="00F25463" w:rsidRDefault="00EC01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868"/>
        <w:jc w:val="both"/>
        <w:rPr>
          <w:rFonts w:hAnsi="Times New Roman" w:cs="Times New Roman"/>
          <w:sz w:val="22"/>
          <w:szCs w:val="22"/>
        </w:rPr>
      </w:pPr>
    </w:p>
    <w:p w14:paraId="468ED8C4" w14:textId="77777777" w:rsidR="00EC0180" w:rsidRPr="00F25463" w:rsidRDefault="004270F6" w:rsidP="004270F6">
      <w:pPr>
        <w:numPr>
          <w:ilvl w:val="0"/>
          <w:numId w:val="92"/>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L’Art 38 (1)c) reprend en la codifiant une règle coutumière existante qui s’impose aux États, indépendant de leur volonté.</w:t>
      </w:r>
    </w:p>
    <w:p w14:paraId="711EA6D9" w14:textId="77777777" w:rsidR="00EC0180" w:rsidRPr="00F25463" w:rsidRDefault="004270F6" w:rsidP="004270F6">
      <w:pPr>
        <w:numPr>
          <w:ilvl w:val="0"/>
          <w:numId w:val="92"/>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Ces principes ne sont ni d’origine coutumière, ni d’origine conventionnelle MAIS sont plutôt originaire du droit interne des États.  On retrouve ces règles dans les différents systèmes juridiques du monde.  (ex : abus de droit)</w:t>
      </w:r>
    </w:p>
    <w:p w14:paraId="3FF3D642" w14:textId="77777777" w:rsidR="00EC0180" w:rsidRPr="00F25463" w:rsidRDefault="004270F6" w:rsidP="004270F6">
      <w:pPr>
        <w:numPr>
          <w:ilvl w:val="0"/>
          <w:numId w:val="92"/>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Les principes ne doivent pas faire partie de tous les systèmes juridique interne.  En effet, selon la doctrine et la jurisprudence, il suffit de constater un degré suffisant de généralité</w:t>
      </w:r>
    </w:p>
    <w:p w14:paraId="086F6C89" w14:textId="77777777" w:rsidR="00EC0180" w:rsidRPr="00F25463" w:rsidRDefault="004270F6" w:rsidP="004270F6">
      <w:pPr>
        <w:numPr>
          <w:ilvl w:val="1"/>
          <w:numId w:val="93"/>
        </w:numPr>
        <w:tabs>
          <w:tab w:val="clear" w:pos="2130"/>
          <w:tab w:val="num" w:pos="2160"/>
          <w:tab w:val="left" w:pos="2832"/>
          <w:tab w:val="left" w:pos="3540"/>
          <w:tab w:val="left" w:pos="4248"/>
          <w:tab w:val="left" w:pos="4956"/>
          <w:tab w:val="left" w:pos="5664"/>
          <w:tab w:val="left" w:pos="6372"/>
          <w:tab w:val="left" w:pos="7080"/>
          <w:tab w:val="left" w:pos="7788"/>
          <w:tab w:val="left" w:pos="8496"/>
          <w:tab w:val="left" w:pos="9204"/>
          <w:tab w:val="left" w:pos="9472"/>
        </w:tabs>
        <w:ind w:left="2160" w:hanging="360"/>
        <w:jc w:val="both"/>
        <w:rPr>
          <w:rFonts w:hAnsi="Times New Roman" w:cs="Times New Roman"/>
          <w:sz w:val="22"/>
          <w:szCs w:val="22"/>
        </w:rPr>
      </w:pPr>
      <w:proofErr w:type="spellStart"/>
      <w:r w:rsidRPr="00F25463">
        <w:rPr>
          <w:rFonts w:hAnsi="Times New Roman" w:cs="Times New Roman"/>
          <w:sz w:val="22"/>
          <w:szCs w:val="22"/>
        </w:rPr>
        <w:t>Critète</w:t>
      </w:r>
      <w:proofErr w:type="spellEnd"/>
      <w:r w:rsidRPr="00F25463">
        <w:rPr>
          <w:rFonts w:hAnsi="Times New Roman" w:cs="Times New Roman"/>
          <w:sz w:val="22"/>
          <w:szCs w:val="22"/>
        </w:rPr>
        <w:t xml:space="preserve"> de généralité suffisant de généralité :</w:t>
      </w:r>
    </w:p>
    <w:p w14:paraId="35A36CFB" w14:textId="77777777" w:rsidR="00EC0180" w:rsidRPr="00F25463" w:rsidRDefault="004270F6" w:rsidP="004270F6">
      <w:pPr>
        <w:numPr>
          <w:ilvl w:val="2"/>
          <w:numId w:val="94"/>
        </w:numPr>
        <w:tabs>
          <w:tab w:val="clear" w:pos="2852"/>
          <w:tab w:val="num" w:pos="2880"/>
          <w:tab w:val="left" w:pos="3540"/>
          <w:tab w:val="left" w:pos="4248"/>
          <w:tab w:val="left" w:pos="4956"/>
          <w:tab w:val="left" w:pos="5664"/>
          <w:tab w:val="left" w:pos="6372"/>
          <w:tab w:val="left" w:pos="7080"/>
          <w:tab w:val="left" w:pos="7788"/>
          <w:tab w:val="left" w:pos="8496"/>
          <w:tab w:val="left" w:pos="9204"/>
          <w:tab w:val="left" w:pos="9472"/>
        </w:tabs>
        <w:ind w:left="2880" w:hanging="340"/>
        <w:jc w:val="both"/>
        <w:rPr>
          <w:rFonts w:hAnsi="Times New Roman" w:cs="Times New Roman"/>
          <w:sz w:val="22"/>
          <w:szCs w:val="22"/>
        </w:rPr>
      </w:pPr>
      <w:r w:rsidRPr="00F25463">
        <w:rPr>
          <w:rFonts w:hAnsi="Times New Roman" w:cs="Times New Roman"/>
          <w:sz w:val="22"/>
          <w:szCs w:val="22"/>
        </w:rPr>
        <w:t>Le critère de suffisance est rencontré lorsque le principe se retrouve dans les différends systèmes juridiques où les juges de la CIJ ont été formés (Art 9 Statu CIJ)</w:t>
      </w:r>
    </w:p>
    <w:p w14:paraId="5998AF46"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1890551" w14:textId="77777777" w:rsidR="00EC0180" w:rsidRPr="00F25463" w:rsidRDefault="004270F6" w:rsidP="004270F6">
      <w:pPr>
        <w:numPr>
          <w:ilvl w:val="0"/>
          <w:numId w:val="92"/>
        </w:numPr>
        <w:tabs>
          <w:tab w:val="clear" w:pos="141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jc w:val="both"/>
        <w:rPr>
          <w:rFonts w:hAnsi="Times New Roman" w:cs="Times New Roman"/>
          <w:sz w:val="22"/>
          <w:szCs w:val="22"/>
        </w:rPr>
      </w:pPr>
      <w:r w:rsidRPr="00F25463">
        <w:rPr>
          <w:rFonts w:hAnsi="Times New Roman" w:cs="Times New Roman"/>
          <w:sz w:val="22"/>
          <w:szCs w:val="22"/>
        </w:rPr>
        <w:t>Le principe général doit être compatible avec les caractéristiques de l’ordre juridique international et ce, même si ledit principe rencontre le critère du degré suffisant (La transposition du principe dans le droit international n’est donc pas automatique)</w:t>
      </w:r>
    </w:p>
    <w:p w14:paraId="109DDC0E" w14:textId="77777777" w:rsidR="00EC0180" w:rsidRPr="00F25463" w:rsidRDefault="004270F6" w:rsidP="004270F6">
      <w:pPr>
        <w:numPr>
          <w:ilvl w:val="1"/>
          <w:numId w:val="93"/>
        </w:numPr>
        <w:tabs>
          <w:tab w:val="clear" w:pos="2130"/>
          <w:tab w:val="num" w:pos="2160"/>
          <w:tab w:val="left" w:pos="2832"/>
          <w:tab w:val="left" w:pos="3540"/>
          <w:tab w:val="left" w:pos="4248"/>
          <w:tab w:val="left" w:pos="4956"/>
          <w:tab w:val="left" w:pos="5664"/>
          <w:tab w:val="left" w:pos="6372"/>
          <w:tab w:val="left" w:pos="7080"/>
          <w:tab w:val="left" w:pos="7788"/>
          <w:tab w:val="left" w:pos="8496"/>
          <w:tab w:val="left" w:pos="9204"/>
          <w:tab w:val="left" w:pos="9472"/>
        </w:tabs>
        <w:ind w:left="2160" w:hanging="360"/>
        <w:jc w:val="both"/>
        <w:rPr>
          <w:rFonts w:hAnsi="Times New Roman" w:cs="Times New Roman"/>
          <w:sz w:val="22"/>
          <w:szCs w:val="22"/>
        </w:rPr>
      </w:pPr>
      <w:r w:rsidRPr="00F25463">
        <w:rPr>
          <w:rFonts w:hAnsi="Times New Roman" w:cs="Times New Roman"/>
          <w:sz w:val="22"/>
          <w:szCs w:val="22"/>
        </w:rPr>
        <w:t>Ex : Principe selon lequel « Toute personne peut ester en justice.  Ce principe n’existe pas en droit international et il n’est pas transportable à cause de l’art 34 Statu de la CIJ qui ne permet qu’aux États d’ester en justice devant la CIJ.</w:t>
      </w:r>
    </w:p>
    <w:p w14:paraId="130FC095"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E5BD02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Exemple  de principes généraux :</w:t>
      </w:r>
    </w:p>
    <w:p w14:paraId="034D083E"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L’Abus de droit</w:t>
      </w:r>
    </w:p>
    <w:p w14:paraId="3D41DC1C"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bonne foi</w:t>
      </w:r>
    </w:p>
    <w:p w14:paraId="22A5F0BF"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La force majeure</w:t>
      </w:r>
    </w:p>
    <w:p w14:paraId="5311A04F"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Le cessionnaire n’a pas plus de droit que le cédant</w:t>
      </w:r>
    </w:p>
    <w:p w14:paraId="663FD721"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Nul ne peut se prévaloir de sa propre faute.</w:t>
      </w:r>
    </w:p>
    <w:p w14:paraId="3A2D046D"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Respect des droits acquis</w:t>
      </w:r>
    </w:p>
    <w:p w14:paraId="6C0F919A"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Nul ne peut être juge et parties</w:t>
      </w:r>
    </w:p>
    <w:p w14:paraId="2C51B024"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4DF1DD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*si un principe est souvent utilisé par les tribunaux : il peut devenir du droit coutumier</w:t>
      </w:r>
    </w:p>
    <w:p w14:paraId="0E885C88"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0529351" w14:textId="77777777" w:rsidR="00EC0180" w:rsidRPr="00F25463" w:rsidRDefault="004270F6">
      <w:pPr>
        <w:pStyle w:val="Heading4"/>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II. L’Utilité des principes généraux de droit</w:t>
      </w:r>
    </w:p>
    <w:p w14:paraId="1AEA4FF6"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ab/>
      </w:r>
    </w:p>
    <w:p w14:paraId="2A0A596D"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Ces principes ont un caractère supplétif : ils ne sont utilisés qu’en l’absence de règle coutumière ou conventionnelle sur un sujet donné.  Ils comblent les lacunes de la coutume ou des conventions sur un sujet donné.</w:t>
      </w:r>
    </w:p>
    <w:p w14:paraId="6A1561E4"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Ces principes généraux permettent de réduire le rôle de l’Équité (</w:t>
      </w:r>
      <w:proofErr w:type="spellStart"/>
      <w:r w:rsidRPr="00F25463">
        <w:rPr>
          <w:rFonts w:hAnsi="Times New Roman" w:cs="Times New Roman"/>
          <w:sz w:val="22"/>
          <w:szCs w:val="22"/>
        </w:rPr>
        <w:t>metionné</w:t>
      </w:r>
      <w:proofErr w:type="spellEnd"/>
      <w:r w:rsidRPr="00F25463">
        <w:rPr>
          <w:rFonts w:hAnsi="Times New Roman" w:cs="Times New Roman"/>
          <w:sz w:val="22"/>
          <w:szCs w:val="22"/>
        </w:rPr>
        <w:t xml:space="preserve"> à l’art 38 (2) Statu CIJ en cas de lacune du droit coutumier ou </w:t>
      </w:r>
      <w:proofErr w:type="spellStart"/>
      <w:r w:rsidRPr="00F25463">
        <w:rPr>
          <w:rFonts w:hAnsi="Times New Roman" w:cs="Times New Roman"/>
          <w:sz w:val="22"/>
          <w:szCs w:val="22"/>
        </w:rPr>
        <w:t>conventionel</w:t>
      </w:r>
      <w:proofErr w:type="spellEnd"/>
      <w:r w:rsidRPr="00F25463">
        <w:rPr>
          <w:rFonts w:hAnsi="Times New Roman" w:cs="Times New Roman"/>
          <w:sz w:val="22"/>
          <w:szCs w:val="22"/>
        </w:rPr>
        <w:t xml:space="preserve">.  </w:t>
      </w:r>
    </w:p>
    <w:p w14:paraId="515969FA" w14:textId="77777777" w:rsidR="00EC0180" w:rsidRPr="00F25463" w:rsidRDefault="004270F6" w:rsidP="004270F6">
      <w:pPr>
        <w:numPr>
          <w:ilvl w:val="1"/>
          <w:numId w:val="30"/>
        </w:numPr>
        <w:tabs>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jc w:val="both"/>
        <w:rPr>
          <w:rFonts w:hAnsi="Times New Roman" w:cs="Times New Roman"/>
          <w:sz w:val="22"/>
          <w:szCs w:val="22"/>
        </w:rPr>
      </w:pPr>
      <w:r w:rsidRPr="00F25463">
        <w:rPr>
          <w:rFonts w:hAnsi="Times New Roman" w:cs="Times New Roman"/>
          <w:sz w:val="22"/>
          <w:szCs w:val="22"/>
        </w:rPr>
        <w:t xml:space="preserve">Ces principes peuvent être utilisés pour interpréter une règle de droit coutumier ou </w:t>
      </w:r>
      <w:proofErr w:type="spellStart"/>
      <w:r w:rsidRPr="00F25463">
        <w:rPr>
          <w:rFonts w:hAnsi="Times New Roman" w:cs="Times New Roman"/>
          <w:sz w:val="22"/>
          <w:szCs w:val="22"/>
        </w:rPr>
        <w:t>conventionel</w:t>
      </w:r>
      <w:proofErr w:type="spellEnd"/>
      <w:r w:rsidRPr="00F25463">
        <w:rPr>
          <w:rFonts w:hAnsi="Times New Roman" w:cs="Times New Roman"/>
          <w:sz w:val="22"/>
          <w:szCs w:val="22"/>
        </w:rPr>
        <w:t xml:space="preserve"> qui serait obscure.</w:t>
      </w:r>
    </w:p>
    <w:p w14:paraId="6E438937"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2FF3E450"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Remarque importante : En aucune façon les principes généraux ne peuvent se substituer aux règles du droit coutumier ou du droit conventionnel (lorsqu’elles sont choisis) parce que le droit international est fondé sur la volonté des états. </w:t>
      </w:r>
    </w:p>
    <w:p w14:paraId="3A8AA91B"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748634B1" w14:textId="77777777" w:rsidR="00EC0180" w:rsidRPr="00F25463" w:rsidRDefault="004270F6">
      <w:pPr>
        <w:pStyle w:val="Heading9"/>
        <w:tabs>
          <w:tab w:val="clear" w:pos="360"/>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Section 5 : Les sources subsidiaires (doit avoir été préautorisé par un traité, une convention ou une autre source).</w:t>
      </w:r>
    </w:p>
    <w:p w14:paraId="5BA059DE"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1A48552"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sz w:val="22"/>
          <w:szCs w:val="22"/>
        </w:rPr>
        <w:t xml:space="preserve">I. </w:t>
      </w:r>
      <w:r w:rsidRPr="00F25463">
        <w:rPr>
          <w:rFonts w:hAnsi="Times New Roman" w:cs="Times New Roman"/>
          <w:b/>
          <w:bCs/>
          <w:sz w:val="22"/>
          <w:szCs w:val="22"/>
        </w:rPr>
        <w:t>Les actes unilatéraux des organismes internationaux</w:t>
      </w:r>
    </w:p>
    <w:p w14:paraId="0F9B754E"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Ces actes sont issus de la volonté d’un seul sujet de droit international (organisation international)</w:t>
      </w:r>
    </w:p>
    <w:p w14:paraId="59EFF4FF" w14:textId="77777777" w:rsidR="00EC0180" w:rsidRPr="00F25463" w:rsidRDefault="004270F6" w:rsidP="004270F6">
      <w:pPr>
        <w:numPr>
          <w:ilvl w:val="0"/>
          <w:numId w:val="61"/>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i/>
          <w:iCs/>
          <w:sz w:val="22"/>
          <w:szCs w:val="22"/>
        </w:rPr>
      </w:pPr>
      <w:r w:rsidRPr="00F25463">
        <w:rPr>
          <w:rFonts w:hAnsi="Times New Roman" w:cs="Times New Roman"/>
          <w:i/>
          <w:iCs/>
          <w:sz w:val="22"/>
          <w:szCs w:val="22"/>
        </w:rPr>
        <w:t>Dans quelle mesure les actes unilatéraux des organisations internationales adoptés conformément à leurs traités constitutif</w:t>
      </w:r>
      <w:r w:rsidR="00957003" w:rsidRPr="00F25463">
        <w:rPr>
          <w:rFonts w:hAnsi="Times New Roman" w:cs="Times New Roman"/>
          <w:i/>
          <w:iCs/>
          <w:sz w:val="22"/>
          <w:szCs w:val="22"/>
        </w:rPr>
        <w:t>s</w:t>
      </w:r>
      <w:r w:rsidRPr="00F25463">
        <w:rPr>
          <w:rFonts w:hAnsi="Times New Roman" w:cs="Times New Roman"/>
          <w:i/>
          <w:iCs/>
          <w:sz w:val="22"/>
          <w:szCs w:val="22"/>
        </w:rPr>
        <w:t xml:space="preserve"> peuvent-ils constituer des sources de droit et s’imposer aux membres (États) des NU ??</w:t>
      </w:r>
    </w:p>
    <w:p w14:paraId="6596B54C"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center"/>
        <w:rPr>
          <w:rFonts w:hAnsi="Times New Roman" w:cs="Times New Roman"/>
          <w:sz w:val="22"/>
          <w:szCs w:val="22"/>
        </w:rPr>
      </w:pPr>
    </w:p>
    <w:p w14:paraId="61B61C91" w14:textId="77777777" w:rsidR="00EC0180" w:rsidRPr="00F25463" w:rsidRDefault="004270F6">
      <w:pPr>
        <w:pStyle w:val="Heading6"/>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 Les résolutions relatives à la vie interne de l’organisation</w:t>
      </w:r>
    </w:p>
    <w:p w14:paraId="2272DF76"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BF38437"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ab/>
        <w:t>Ces résolutions représentent un véritable droit interne qui s’impose à l’organisation et à l’État membre.  (</w:t>
      </w:r>
      <w:proofErr w:type="gramStart"/>
      <w:r w:rsidRPr="00F25463">
        <w:rPr>
          <w:rFonts w:hAnsi="Times New Roman" w:cs="Times New Roman"/>
          <w:i/>
          <w:iCs/>
          <w:sz w:val="22"/>
          <w:szCs w:val="22"/>
        </w:rPr>
        <w:t>toutes</w:t>
      </w:r>
      <w:proofErr w:type="gramEnd"/>
      <w:r w:rsidRPr="00F25463">
        <w:rPr>
          <w:rFonts w:hAnsi="Times New Roman" w:cs="Times New Roman"/>
          <w:i/>
          <w:iCs/>
          <w:sz w:val="22"/>
          <w:szCs w:val="22"/>
        </w:rPr>
        <w:t xml:space="preserve"> les organisations internationales ont reçu implicitement ou expressément le pouvoir de décider ce qui leur est indispensable pour régler leur fonctionnement- un peu un droit administratif</w:t>
      </w:r>
      <w:r w:rsidRPr="00F25463">
        <w:rPr>
          <w:rFonts w:hAnsi="Times New Roman" w:cs="Times New Roman"/>
          <w:sz w:val="22"/>
          <w:szCs w:val="22"/>
        </w:rPr>
        <w:t>)</w:t>
      </w:r>
    </w:p>
    <w:p w14:paraId="3823FD5C"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7BB81EB"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Ex : Résolution des NU</w:t>
      </w:r>
    </w:p>
    <w:p w14:paraId="4F7409DC"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L’organisation admet (ou exclut) un nouveau membre</w:t>
      </w:r>
    </w:p>
    <w:p w14:paraId="31AB0F92"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L’organisation procède à l’élection des membres des organes restreint au Conseil de Sécurité</w:t>
      </w:r>
    </w:p>
    <w:p w14:paraId="0A8114EE"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Elle nomme les juges de la CIJ</w:t>
      </w:r>
    </w:p>
    <w:p w14:paraId="150CAD7B"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Elle adopte des règles d’organisation intérieur</w:t>
      </w:r>
    </w:p>
    <w:p w14:paraId="2267F1F2"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Elle crée des organes subsidiaires (ex : tribunal administratif des NU)</w:t>
      </w:r>
    </w:p>
    <w:p w14:paraId="08B9957A"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Elle prend des décisions relatives à la fixation du budget et des dépenses par les membres des NU (ces dépenses sont obligatoires en vertu de -L’Avis de la CIJ de 1962 sur certaines dépenses des NU.  Dans cette affaire, la France et LURSS refusaient de financer les dépenses à Suez et au Congo.  La CIJ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décider que même si les actions dans ces régions avaient été irrégulière les dépenses sont quand même obligatoire) Car elles ont servi conformément à l’esprit de la Charte des Nations Unis.</w:t>
      </w:r>
    </w:p>
    <w:p w14:paraId="52A82483"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178DA277"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 xml:space="preserve">**Quant aux décisions du tribunal administratif des NU (organe subsidiaire pour régler les problèmes de personnels dans les entreprises (employeur VS employé), l’avis de 1954 de la CIJ sur l’effet des jugements du tribunal administratif des NU les a déclarées obligatoires pour les membres de NU. Dans cette affaire, une indemnité fut </w:t>
      </w:r>
      <w:proofErr w:type="gramStart"/>
      <w:r w:rsidRPr="00F25463">
        <w:rPr>
          <w:rFonts w:hAnsi="Times New Roman" w:cs="Times New Roman"/>
          <w:sz w:val="22"/>
          <w:szCs w:val="22"/>
        </w:rPr>
        <w:t>donné</w:t>
      </w:r>
      <w:proofErr w:type="gramEnd"/>
      <w:r w:rsidRPr="00F25463">
        <w:rPr>
          <w:rFonts w:hAnsi="Times New Roman" w:cs="Times New Roman"/>
          <w:sz w:val="22"/>
          <w:szCs w:val="22"/>
        </w:rPr>
        <w:t xml:space="preserve"> par le tribunal pour le congédiement de 11 personnes. Est-ce que tout le monde doit se soumettre à leurs ordres ? Oui, assemblé général doit se soumettre. Il a un statut autonome, fait parti des résolutions qui s’impose.</w:t>
      </w:r>
    </w:p>
    <w:p w14:paraId="2F9E5FC9"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9CD7078" w14:textId="77777777" w:rsidR="00EC0180" w:rsidRPr="00F25463" w:rsidRDefault="004270F6" w:rsidP="004270F6">
      <w:pPr>
        <w:numPr>
          <w:ilvl w:val="0"/>
          <w:numId w:val="26"/>
        </w:numPr>
        <w:tabs>
          <w:tab w:val="clear" w:pos="1038"/>
          <w:tab w:val="num" w:pos="1068"/>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lastRenderedPageBreak/>
        <w:t>La fixation du budget et le financement des dépenses sont des actes obligatoires (art 17 CNU)</w:t>
      </w:r>
    </w:p>
    <w:p w14:paraId="09608C41"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57F1593A"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B. Les résolutions relatives à des questions externes à l’organisation qui ont un caractère obligatoire</w:t>
      </w:r>
    </w:p>
    <w:p w14:paraId="60F8E813"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r>
    </w:p>
    <w:p w14:paraId="47EC1138"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b/>
          <w:bCs/>
          <w:sz w:val="22"/>
          <w:szCs w:val="22"/>
        </w:rPr>
      </w:pPr>
      <w:r w:rsidRPr="00F25463">
        <w:rPr>
          <w:rFonts w:hAnsi="Times New Roman" w:cs="Times New Roman"/>
          <w:b/>
          <w:bCs/>
          <w:sz w:val="22"/>
          <w:szCs w:val="22"/>
        </w:rPr>
        <w:tab/>
        <w:t>i) Les institutions spécialisées</w:t>
      </w:r>
    </w:p>
    <w:p w14:paraId="465D75E6" w14:textId="77777777" w:rsidR="00EC0180" w:rsidRPr="00F25463" w:rsidRDefault="00EC0180">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0A80C942"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Certaines institutions spécialisées ont reçu un certain pouvoir d’adoption de règlement obligatoires</w:t>
      </w:r>
    </w:p>
    <w:p w14:paraId="09B58E25" w14:textId="77777777" w:rsidR="00EC0180" w:rsidRPr="00F25463" w:rsidRDefault="004270F6">
      <w:pPr>
        <w:tabs>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 xml:space="preserve">Ex : -Organisation de l’Aviation Civil International (OACI) </w:t>
      </w:r>
    </w:p>
    <w:p w14:paraId="151AD884"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148"/>
        <w:jc w:val="both"/>
        <w:rPr>
          <w:rFonts w:hAnsi="Times New Roman" w:cs="Times New Roman"/>
          <w:sz w:val="22"/>
          <w:szCs w:val="22"/>
        </w:rPr>
      </w:pPr>
      <w:r w:rsidRPr="00F25463">
        <w:rPr>
          <w:rFonts w:hAnsi="Times New Roman" w:cs="Times New Roman"/>
          <w:sz w:val="22"/>
          <w:szCs w:val="22"/>
        </w:rPr>
        <w:t xml:space="preserve">       -Organisation Mondiale de la Santé (OMS)</w:t>
      </w:r>
    </w:p>
    <w:p w14:paraId="41F106D6"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6A01323"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 xml:space="preserve">Ces organisations peuvent adopter des règlements techniques qui sont notifiés aux États membres et qui entrent en vigueur après </w:t>
      </w:r>
      <w:proofErr w:type="gramStart"/>
      <w:r w:rsidRPr="00F25463">
        <w:rPr>
          <w:rFonts w:hAnsi="Times New Roman" w:cs="Times New Roman"/>
          <w:sz w:val="22"/>
          <w:szCs w:val="22"/>
        </w:rPr>
        <w:t>un certain délais</w:t>
      </w:r>
      <w:proofErr w:type="gramEnd"/>
      <w:r w:rsidRPr="00F25463">
        <w:rPr>
          <w:rFonts w:hAnsi="Times New Roman" w:cs="Times New Roman"/>
          <w:sz w:val="22"/>
          <w:szCs w:val="22"/>
        </w:rPr>
        <w:t>. – Ils ont un pouvoir de légiférer.  Habituellement ces règlements permettent une dérogation lorsqu’ils ne sont pas importants.</w:t>
      </w:r>
    </w:p>
    <w:p w14:paraId="560B05EC"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7FEF1143"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b/>
          <w:bCs/>
          <w:sz w:val="22"/>
          <w:szCs w:val="22"/>
        </w:rPr>
      </w:pPr>
      <w:r w:rsidRPr="00F25463">
        <w:rPr>
          <w:rFonts w:hAnsi="Times New Roman" w:cs="Times New Roman"/>
          <w:b/>
          <w:bCs/>
          <w:sz w:val="22"/>
          <w:szCs w:val="22"/>
        </w:rPr>
        <w:t>ii) Le conseil de Sécurité de L’ONU (Chapitre 7 –action pour maintenir et rétablir la paix)</w:t>
      </w:r>
    </w:p>
    <w:p w14:paraId="11763213"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u w:val="single"/>
        </w:rPr>
      </w:pPr>
    </w:p>
    <w:p w14:paraId="7E6BCAC1"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r w:rsidRPr="00F25463">
        <w:rPr>
          <w:rFonts w:hAnsi="Times New Roman" w:cs="Times New Roman"/>
          <w:sz w:val="22"/>
          <w:szCs w:val="22"/>
        </w:rPr>
        <w:tab/>
        <w:t xml:space="preserve">Art 33 et </w:t>
      </w:r>
      <w:proofErr w:type="spellStart"/>
      <w:r w:rsidRPr="00F25463">
        <w:rPr>
          <w:rFonts w:hAnsi="Times New Roman" w:cs="Times New Roman"/>
          <w:sz w:val="22"/>
          <w:szCs w:val="22"/>
        </w:rPr>
        <w:t>ss</w:t>
      </w:r>
      <w:proofErr w:type="spellEnd"/>
      <w:r w:rsidRPr="00F25463">
        <w:rPr>
          <w:rFonts w:hAnsi="Times New Roman" w:cs="Times New Roman"/>
          <w:sz w:val="22"/>
          <w:szCs w:val="22"/>
        </w:rPr>
        <w:t xml:space="preserve">. CNU.  Le conseil de sécurité peut adopter des résolutions obligatoires en cas de menaces contre la paix, de rupture de la paix et d’agression.  En vertu de l’Avis de la CIJ de 1971 relatif à la présence continue de l’Afrique du Sud en Namibie, le Conseil de Sécurité de l’ONU peut adopter des règlements obligatoires non seulement sur la base du chapitre 7, mais aussi sur une autre base s’il le désire, en autant que ce soit clair que c’est une résolution obligatoire.  (En 1966, l’Assemblé Générales avait révoqué le mandat de l’Afrique du Sud en Namibie). En vertu de l’art 25 CNU, toutes les décisions du Conseil de Sécurité sont acceptées et appliquées par les membres de L’ONU. </w:t>
      </w:r>
    </w:p>
    <w:p w14:paraId="084E55BD"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jc w:val="both"/>
        <w:rPr>
          <w:rFonts w:hAnsi="Times New Roman" w:cs="Times New Roman"/>
          <w:sz w:val="22"/>
          <w:szCs w:val="22"/>
        </w:rPr>
      </w:pPr>
    </w:p>
    <w:p w14:paraId="403BDE72"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jc w:val="both"/>
        <w:rPr>
          <w:rFonts w:hAnsi="Times New Roman" w:cs="Times New Roman"/>
          <w:sz w:val="22"/>
          <w:szCs w:val="22"/>
        </w:rPr>
      </w:pPr>
      <w:r w:rsidRPr="00F25463">
        <w:rPr>
          <w:rFonts w:hAnsi="Times New Roman" w:cs="Times New Roman"/>
          <w:sz w:val="22"/>
          <w:szCs w:val="22"/>
        </w:rPr>
        <w:tab/>
        <w:t xml:space="preserve">L’Assemblé générale n’a pas le mandant de le faire, mais le mandat est traité.  L’Afrique du Sud a violé une disposition au mandat.  L’Assemblée Générale comme partie au traité, à la capacité de voter des résolutions obligatoires (en dehors du </w:t>
      </w:r>
      <w:proofErr w:type="spellStart"/>
      <w:r w:rsidRPr="00F25463">
        <w:rPr>
          <w:rFonts w:hAnsi="Times New Roman" w:cs="Times New Roman"/>
          <w:sz w:val="22"/>
          <w:szCs w:val="22"/>
        </w:rPr>
        <w:t>chap</w:t>
      </w:r>
      <w:proofErr w:type="spellEnd"/>
      <w:r w:rsidRPr="00F25463">
        <w:rPr>
          <w:rFonts w:hAnsi="Times New Roman" w:cs="Times New Roman"/>
          <w:sz w:val="22"/>
          <w:szCs w:val="22"/>
        </w:rPr>
        <w:t xml:space="preserve"> 7) – Si les termes indiquent que la CS voulait des résolutions obligatoires)</w:t>
      </w:r>
    </w:p>
    <w:p w14:paraId="53D18A63"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p>
    <w:p w14:paraId="28B6E30A"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jc w:val="both"/>
        <w:rPr>
          <w:rFonts w:hAnsi="Times New Roman" w:cs="Times New Roman"/>
          <w:sz w:val="22"/>
          <w:szCs w:val="22"/>
        </w:rPr>
      </w:pPr>
      <w:r w:rsidRPr="00F25463">
        <w:rPr>
          <w:rFonts w:hAnsi="Times New Roman" w:cs="Times New Roman"/>
          <w:sz w:val="22"/>
          <w:szCs w:val="22"/>
        </w:rPr>
        <w:t xml:space="preserve">      La cour dit Oui en 1970, L’Afrique du Sud doit se retirer de la Namibie.</w:t>
      </w:r>
    </w:p>
    <w:p w14:paraId="0B30BFC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8398077"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iii) L’Assemblée Générale</w:t>
      </w:r>
    </w:p>
    <w:p w14:paraId="0102534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u w:val="single"/>
        </w:rPr>
      </w:pPr>
    </w:p>
    <w:p w14:paraId="5140F8BF" w14:textId="77777777" w:rsidR="00EC0180" w:rsidRPr="00F25463" w:rsidRDefault="004270F6">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firstLine="120"/>
        <w:jc w:val="both"/>
        <w:rPr>
          <w:rFonts w:hAnsi="Times New Roman" w:cs="Times New Roman"/>
          <w:sz w:val="22"/>
          <w:szCs w:val="22"/>
        </w:rPr>
      </w:pPr>
      <w:r w:rsidRPr="00F25463">
        <w:rPr>
          <w:rFonts w:hAnsi="Times New Roman" w:cs="Times New Roman"/>
          <w:sz w:val="22"/>
          <w:szCs w:val="22"/>
        </w:rPr>
        <w:tab/>
        <w:t>L’Assemblé Générale est en principe incompétente pour adopter es résolutions obligatoire pour ses membres. Cependant, dans l’Avis de 1971 sur l’Afrique du Sud, la CIJ a déclaré que la décision de l’Assemblé Générale était obligatoire parce que le mandat confié à l’Afrique du Sud découlait d’un traité entre les Nations Unis et l’Afrique du Sud.  EN vertu du droit des traités, il est possible à une partie de constaté la terminaison d’un traité en cas de violation par l’autre partie.  Dans ce cas, la violation était l’Apartheid.  LE mandat avait donc été révoqué.</w:t>
      </w:r>
    </w:p>
    <w:p w14:paraId="44939533"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6CCF9459"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iv) La cour Internationale de justice (CIJ)</w:t>
      </w:r>
    </w:p>
    <w:p w14:paraId="727B1DD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u w:val="single"/>
        </w:rPr>
      </w:pPr>
    </w:p>
    <w:p w14:paraId="783445D3" w14:textId="77777777" w:rsidR="00EC0180" w:rsidRPr="00F25463" w:rsidRDefault="004270F6">
      <w:pPr>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La CIJ adopte des décisions évidemment obligatoire</w:t>
      </w:r>
      <w:r w:rsidR="00AF4E7B" w:rsidRPr="00F25463">
        <w:rPr>
          <w:rFonts w:hAnsi="Times New Roman" w:cs="Times New Roman"/>
          <w:sz w:val="22"/>
          <w:szCs w:val="22"/>
        </w:rPr>
        <w:t>s</w:t>
      </w:r>
      <w:r w:rsidRPr="00F25463">
        <w:rPr>
          <w:rFonts w:hAnsi="Times New Roman" w:cs="Times New Roman"/>
          <w:sz w:val="22"/>
          <w:szCs w:val="22"/>
        </w:rPr>
        <w:t xml:space="preserve"> pour les parties. Les arbitres aussi. LA communauté européenne aussi, pouvoir législatif- adopté des règlements. </w:t>
      </w:r>
    </w:p>
    <w:p w14:paraId="08679A9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09A1DB0A"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r w:rsidRPr="00F25463">
        <w:rPr>
          <w:rFonts w:hAnsi="Times New Roman" w:cs="Times New Roman"/>
          <w:b/>
          <w:bCs/>
          <w:sz w:val="22"/>
          <w:szCs w:val="22"/>
        </w:rPr>
        <w:t>v) Le conseil de la communauté Économique Européenne (CEE)</w:t>
      </w:r>
    </w:p>
    <w:p w14:paraId="215CB5BF"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b/>
          <w:bCs/>
          <w:sz w:val="22"/>
          <w:szCs w:val="22"/>
        </w:rPr>
      </w:pPr>
    </w:p>
    <w:p w14:paraId="7CB5332E" w14:textId="77777777" w:rsidR="00EC0180" w:rsidRPr="00F25463" w:rsidRDefault="004270F6">
      <w:pPr>
        <w:tabs>
          <w:tab w:val="left" w:pos="108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Cette organisation adopte des règlements, des directives et prend des décisions obligatoires pour les État membres.  (Un individu peut même l’Alléger dans les tribunaux internes</w:t>
      </w:r>
    </w:p>
    <w:p w14:paraId="4E7960E6"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218734B1"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firstLine="708"/>
        <w:jc w:val="both"/>
        <w:rPr>
          <w:rFonts w:hAnsi="Times New Roman" w:cs="Times New Roman"/>
          <w:sz w:val="22"/>
          <w:szCs w:val="22"/>
        </w:rPr>
      </w:pPr>
    </w:p>
    <w:p w14:paraId="5AFD3BAC"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firstLine="708"/>
        <w:jc w:val="both"/>
        <w:rPr>
          <w:rFonts w:hAnsi="Times New Roman" w:cs="Times New Roman"/>
          <w:sz w:val="22"/>
          <w:szCs w:val="22"/>
        </w:rPr>
      </w:pPr>
    </w:p>
    <w:p w14:paraId="3FE7195D"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firstLine="708"/>
        <w:jc w:val="both"/>
        <w:rPr>
          <w:rFonts w:hAnsi="Times New Roman" w:cs="Times New Roman"/>
          <w:sz w:val="22"/>
          <w:szCs w:val="22"/>
        </w:rPr>
      </w:pPr>
    </w:p>
    <w:p w14:paraId="1FC4E37F"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firstLine="708"/>
        <w:jc w:val="both"/>
        <w:rPr>
          <w:rFonts w:hAnsi="Times New Roman" w:cs="Times New Roman"/>
          <w:sz w:val="22"/>
          <w:szCs w:val="22"/>
        </w:rPr>
      </w:pPr>
    </w:p>
    <w:p w14:paraId="5F584964" w14:textId="77777777" w:rsidR="00EC0180" w:rsidRPr="00F25463" w:rsidRDefault="004270F6">
      <w:pPr>
        <w:pStyle w:val="Heading4"/>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 Les actes unilatéraux des organisations internationales dépourvus d’obligation : les Recommandations (beaucoup plus que des résolutions</w:t>
      </w:r>
    </w:p>
    <w:p w14:paraId="59045B6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1732F1E8"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r w:rsidRPr="00F25463">
        <w:rPr>
          <w:rFonts w:hAnsi="Times New Roman" w:cs="Times New Roman"/>
          <w:sz w:val="22"/>
          <w:szCs w:val="22"/>
        </w:rPr>
        <w:t>C’est une invitation à avoir un certain comportement matériel. Ils ne sont pas consacré obligatoire – une incitation. Ces actes sont destinés aux :</w:t>
      </w:r>
    </w:p>
    <w:p w14:paraId="18771E4F"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jc w:val="both"/>
        <w:rPr>
          <w:rFonts w:hAnsi="Times New Roman" w:cs="Times New Roman"/>
          <w:sz w:val="22"/>
          <w:szCs w:val="22"/>
        </w:rPr>
      </w:pPr>
    </w:p>
    <w:p w14:paraId="2CD28C0D" w14:textId="77777777" w:rsidR="00EC0180" w:rsidRPr="00F25463" w:rsidRDefault="004270F6" w:rsidP="004270F6">
      <w:pPr>
        <w:numPr>
          <w:ilvl w:val="0"/>
          <w:numId w:val="26"/>
        </w:numPr>
        <w:tabs>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États membres</w:t>
      </w:r>
    </w:p>
    <w:p w14:paraId="24538FEA" w14:textId="77777777" w:rsidR="00EC0180" w:rsidRPr="00F25463" w:rsidRDefault="004270F6" w:rsidP="004270F6">
      <w:pPr>
        <w:numPr>
          <w:ilvl w:val="0"/>
          <w:numId w:val="26"/>
        </w:numPr>
        <w:tabs>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Non-membres</w:t>
      </w:r>
    </w:p>
    <w:p w14:paraId="34C4B889" w14:textId="77777777" w:rsidR="00EC0180" w:rsidRPr="00F25463" w:rsidRDefault="004270F6" w:rsidP="004270F6">
      <w:pPr>
        <w:numPr>
          <w:ilvl w:val="0"/>
          <w:numId w:val="26"/>
        </w:numPr>
        <w:tabs>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Autres organisations internationales (FMI, Banque Mondiale)</w:t>
      </w:r>
    </w:p>
    <w:p w14:paraId="79E81FE8" w14:textId="77777777" w:rsidR="00EC0180" w:rsidRPr="00F25463" w:rsidRDefault="004270F6" w:rsidP="004270F6">
      <w:pPr>
        <w:numPr>
          <w:ilvl w:val="0"/>
          <w:numId w:val="26"/>
        </w:numPr>
        <w:tabs>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jc w:val="both"/>
        <w:rPr>
          <w:rFonts w:hAnsi="Times New Roman" w:cs="Times New Roman"/>
        </w:rPr>
      </w:pPr>
      <w:r w:rsidRPr="00F25463">
        <w:rPr>
          <w:rFonts w:hAnsi="Times New Roman" w:cs="Times New Roman"/>
          <w:sz w:val="22"/>
          <w:szCs w:val="22"/>
        </w:rPr>
        <w:t>Organes subsidiaires</w:t>
      </w:r>
    </w:p>
    <w:p w14:paraId="591CF3B4"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6BE13F0"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Même si elles ne sont pas obligatoires, les recommandations ont une certaine portée :</w:t>
      </w:r>
    </w:p>
    <w:p w14:paraId="050FA5F9"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45EF562" w14:textId="77777777" w:rsidR="00EC0180" w:rsidRPr="00F25463" w:rsidRDefault="004270F6" w:rsidP="004270F6">
      <w:pPr>
        <w:numPr>
          <w:ilvl w:val="6"/>
          <w:numId w:val="95"/>
        </w:numPr>
        <w:tabs>
          <w:tab w:val="clear" w:pos="1170"/>
          <w:tab w:val="num" w:pos="1200"/>
          <w:tab w:val="left" w:pos="1920"/>
          <w:tab w:val="left" w:pos="5388"/>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Les résolutions de l’Assemblée Générale sont adoptées dans le cadre de la Charte des NU qui elle, est obligatoire.  Les États membres des NU doivent considérer les résolutions de Bonne Foi. (art 2 (2) CNU)</w:t>
      </w:r>
    </w:p>
    <w:p w14:paraId="09F885B9" w14:textId="77777777" w:rsidR="00EC0180" w:rsidRPr="00F25463" w:rsidRDefault="004270F6" w:rsidP="004270F6">
      <w:pPr>
        <w:numPr>
          <w:ilvl w:val="6"/>
          <w:numId w:val="95"/>
        </w:numPr>
        <w:tabs>
          <w:tab w:val="clear" w:pos="1170"/>
          <w:tab w:val="num" w:pos="1200"/>
          <w:tab w:val="left" w:pos="1920"/>
          <w:tab w:val="left" w:pos="5388"/>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 xml:space="preserve"> Les résolutions étant un moyen de pression exercé par la communauté internationale sur ses membres. Un État qui s’oppose à une recommandation doit s’expliquer (ex : Apartheid)</w:t>
      </w:r>
    </w:p>
    <w:p w14:paraId="1E2ECADF" w14:textId="77777777" w:rsidR="00EC0180" w:rsidRPr="00F25463" w:rsidRDefault="004270F6" w:rsidP="004270F6">
      <w:pPr>
        <w:numPr>
          <w:ilvl w:val="6"/>
          <w:numId w:val="95"/>
        </w:numPr>
        <w:tabs>
          <w:tab w:val="clear" w:pos="1170"/>
          <w:tab w:val="num" w:pos="1200"/>
          <w:tab w:val="left" w:pos="1920"/>
          <w:tab w:val="left" w:pos="5388"/>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Une recommandation comporte une valeur permissive.  Ça habilite les États membres à l’exécuter.  Cependant, une recommandation ne peut permettre à un État d’enfreindre une coutume ou une règle internationale.</w:t>
      </w:r>
    </w:p>
    <w:p w14:paraId="04299D7D" w14:textId="77777777" w:rsidR="00EC0180" w:rsidRPr="00F25463" w:rsidRDefault="004270F6" w:rsidP="004270F6">
      <w:pPr>
        <w:numPr>
          <w:ilvl w:val="6"/>
          <w:numId w:val="95"/>
        </w:numPr>
        <w:tabs>
          <w:tab w:val="clear" w:pos="1170"/>
          <w:tab w:val="num" w:pos="1200"/>
          <w:tab w:val="left" w:pos="1920"/>
          <w:tab w:val="left" w:pos="5388"/>
          <w:tab w:val="left" w:pos="5664"/>
          <w:tab w:val="left" w:pos="6372"/>
          <w:tab w:val="left" w:pos="7080"/>
          <w:tab w:val="left" w:pos="7788"/>
          <w:tab w:val="left" w:pos="8496"/>
          <w:tab w:val="left" w:pos="9204"/>
          <w:tab w:val="left" w:pos="9472"/>
        </w:tabs>
        <w:ind w:left="1200" w:hanging="360"/>
        <w:jc w:val="both"/>
        <w:rPr>
          <w:rFonts w:hAnsi="Times New Roman" w:cs="Times New Roman"/>
          <w:sz w:val="22"/>
          <w:szCs w:val="22"/>
        </w:rPr>
      </w:pPr>
      <w:r w:rsidRPr="00F25463">
        <w:rPr>
          <w:rFonts w:hAnsi="Times New Roman" w:cs="Times New Roman"/>
          <w:sz w:val="22"/>
          <w:szCs w:val="22"/>
        </w:rPr>
        <w:t>Une recommandation peut constituer un élément de la formation d’une coutume (à ses conditions)</w:t>
      </w:r>
    </w:p>
    <w:p w14:paraId="4B8B7B08" w14:textId="77777777" w:rsidR="00EC0180" w:rsidRPr="00F25463" w:rsidRDefault="004270F6" w:rsidP="004270F6">
      <w:pPr>
        <w:numPr>
          <w:ilvl w:val="7"/>
          <w:numId w:val="96"/>
        </w:numPr>
        <w:tabs>
          <w:tab w:val="clear" w:pos="2970"/>
          <w:tab w:val="num" w:pos="3000"/>
          <w:tab w:val="left" w:pos="6108"/>
          <w:tab w:val="left" w:pos="6372"/>
          <w:tab w:val="left" w:pos="7080"/>
          <w:tab w:val="left" w:pos="7788"/>
          <w:tab w:val="left" w:pos="8496"/>
          <w:tab w:val="left" w:pos="9204"/>
          <w:tab w:val="left" w:pos="9472"/>
        </w:tabs>
        <w:ind w:left="3000" w:hanging="360"/>
        <w:jc w:val="both"/>
        <w:rPr>
          <w:rFonts w:eastAsia="Courier New" w:hAnsi="Times New Roman" w:cs="Times New Roman"/>
          <w:sz w:val="22"/>
          <w:szCs w:val="22"/>
        </w:rPr>
      </w:pPr>
      <w:r w:rsidRPr="00F25463">
        <w:rPr>
          <w:rFonts w:hAnsi="Times New Roman" w:cs="Times New Roman"/>
          <w:sz w:val="22"/>
          <w:szCs w:val="22"/>
        </w:rPr>
        <w:t>Une recommandation doit traduire l’</w:t>
      </w:r>
      <w:proofErr w:type="spellStart"/>
      <w:r w:rsidRPr="00F25463">
        <w:rPr>
          <w:rFonts w:hAnsi="Times New Roman" w:cs="Times New Roman"/>
          <w:sz w:val="22"/>
          <w:szCs w:val="22"/>
        </w:rPr>
        <w:t>opinio</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juris</w:t>
      </w:r>
      <w:proofErr w:type="spellEnd"/>
      <w:r w:rsidRPr="00F25463">
        <w:rPr>
          <w:rFonts w:hAnsi="Times New Roman" w:cs="Times New Roman"/>
          <w:sz w:val="22"/>
          <w:szCs w:val="22"/>
        </w:rPr>
        <w:t xml:space="preserve"> (élément intellectuel – une forte majorité) Il faut regarder la recommandation a été adopté = à la majorité importante sans opposition </w:t>
      </w:r>
      <w:proofErr w:type="gramStart"/>
      <w:r w:rsidRPr="00F25463">
        <w:rPr>
          <w:rFonts w:hAnsi="Times New Roman" w:cs="Times New Roman"/>
          <w:sz w:val="22"/>
          <w:szCs w:val="22"/>
        </w:rPr>
        <w:t>notoire .</w:t>
      </w:r>
      <w:proofErr w:type="gramEnd"/>
    </w:p>
    <w:p w14:paraId="40FBCBB5" w14:textId="77777777" w:rsidR="00EC0180" w:rsidRPr="00F25463" w:rsidRDefault="004270F6" w:rsidP="004270F6">
      <w:pPr>
        <w:numPr>
          <w:ilvl w:val="7"/>
          <w:numId w:val="96"/>
        </w:numPr>
        <w:tabs>
          <w:tab w:val="clear" w:pos="2970"/>
          <w:tab w:val="num" w:pos="3000"/>
          <w:tab w:val="left" w:pos="6108"/>
          <w:tab w:val="left" w:pos="6372"/>
          <w:tab w:val="left" w:pos="7080"/>
          <w:tab w:val="left" w:pos="7788"/>
          <w:tab w:val="left" w:pos="8496"/>
          <w:tab w:val="left" w:pos="9204"/>
          <w:tab w:val="left" w:pos="9472"/>
        </w:tabs>
        <w:ind w:left="3000" w:hanging="360"/>
        <w:jc w:val="both"/>
        <w:rPr>
          <w:rFonts w:eastAsia="Courier New" w:hAnsi="Times New Roman" w:cs="Times New Roman"/>
          <w:sz w:val="22"/>
          <w:szCs w:val="22"/>
        </w:rPr>
      </w:pPr>
      <w:r w:rsidRPr="00F25463">
        <w:rPr>
          <w:rFonts w:hAnsi="Times New Roman" w:cs="Times New Roman"/>
          <w:sz w:val="22"/>
          <w:szCs w:val="22"/>
        </w:rPr>
        <w:t>Le contenu de la résolution doit être sans équivoque ou clair. (élément matériel). Contenue clairement formulé</w:t>
      </w:r>
    </w:p>
    <w:p w14:paraId="16C2A484" w14:textId="77777777" w:rsidR="00EC0180" w:rsidRPr="00F25463" w:rsidRDefault="004270F6" w:rsidP="004270F6">
      <w:pPr>
        <w:numPr>
          <w:ilvl w:val="7"/>
          <w:numId w:val="96"/>
        </w:numPr>
        <w:tabs>
          <w:tab w:val="clear" w:pos="2970"/>
          <w:tab w:val="num" w:pos="3000"/>
          <w:tab w:val="left" w:pos="6108"/>
          <w:tab w:val="left" w:pos="6372"/>
          <w:tab w:val="left" w:pos="7080"/>
          <w:tab w:val="left" w:pos="7788"/>
          <w:tab w:val="left" w:pos="8496"/>
          <w:tab w:val="left" w:pos="9204"/>
          <w:tab w:val="left" w:pos="9472"/>
        </w:tabs>
        <w:ind w:left="3000" w:hanging="360"/>
        <w:jc w:val="both"/>
        <w:rPr>
          <w:rFonts w:eastAsia="Courier New" w:hAnsi="Times New Roman" w:cs="Times New Roman"/>
          <w:sz w:val="22"/>
          <w:szCs w:val="22"/>
        </w:rPr>
      </w:pPr>
      <w:r w:rsidRPr="00F25463">
        <w:rPr>
          <w:rFonts w:hAnsi="Times New Roman" w:cs="Times New Roman"/>
          <w:sz w:val="22"/>
          <w:szCs w:val="22"/>
        </w:rPr>
        <w:t>La résolution doit être suivie par une pratique des États qui viennent confirmé et consolider la résolution.</w:t>
      </w:r>
    </w:p>
    <w:p w14:paraId="442E138D" w14:textId="77777777" w:rsidR="00EC0180" w:rsidRPr="00F25463" w:rsidRDefault="004270F6">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r w:rsidRPr="00F25463">
        <w:rPr>
          <w:rFonts w:hAnsi="Times New Roman" w:cs="Times New Roman"/>
          <w:sz w:val="22"/>
          <w:szCs w:val="22"/>
        </w:rPr>
        <w:t xml:space="preserve">Pour être adopté, tire autorité du traité de la Charte. LA recommandation pas une source des droits mais fait en sorte d’être un éléments qui mènera à une coutume (subsidiaire) </w:t>
      </w:r>
    </w:p>
    <w:p w14:paraId="36B0D985"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995A03A"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C30B3E7"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33726ECC"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81165B2"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5E77327B"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1DD88A34" w14:textId="77777777" w:rsidR="00EC0180" w:rsidRPr="00F25463" w:rsidRDefault="004270F6">
      <w:pPr>
        <w:pStyle w:val="Heading9"/>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II. Actes Unilatéraux étatiques</w:t>
      </w:r>
    </w:p>
    <w:p w14:paraId="173AA77D" w14:textId="77777777" w:rsidR="00EC0180" w:rsidRPr="00F25463" w:rsidRDefault="00EC0180">
      <w:pPr>
        <w:tabs>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both"/>
        <w:rPr>
          <w:rFonts w:hAnsi="Times New Roman" w:cs="Times New Roman"/>
          <w:sz w:val="22"/>
          <w:szCs w:val="22"/>
        </w:rPr>
      </w:pPr>
    </w:p>
    <w:p w14:paraId="40381B8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Définition : c</w:t>
      </w:r>
      <w:r w:rsidR="00E860B2" w:rsidRPr="00F25463">
        <w:rPr>
          <w:rFonts w:hAnsi="Times New Roman" w:cs="Times New Roman"/>
          <w:sz w:val="22"/>
          <w:szCs w:val="22"/>
        </w:rPr>
        <w:t>es actes sont une manifestation</w:t>
      </w:r>
      <w:r w:rsidRPr="00F25463">
        <w:rPr>
          <w:rFonts w:hAnsi="Times New Roman" w:cs="Times New Roman"/>
          <w:sz w:val="22"/>
          <w:szCs w:val="22"/>
        </w:rPr>
        <w:t xml:space="preserve"> de la volonté d’un sujet international.  Ils peuvent constituer des sources de droit et produire des effets contre les autres États qui n’ont pas consenti à l’acte. Un seul sujet qui agit = État.</w:t>
      </w:r>
    </w:p>
    <w:p w14:paraId="4385284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66790B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Dans quel</w:t>
      </w:r>
      <w:r w:rsidR="00E860B2" w:rsidRPr="00F25463">
        <w:rPr>
          <w:rFonts w:hAnsi="Times New Roman" w:cs="Times New Roman"/>
          <w:i/>
          <w:iCs/>
          <w:sz w:val="22"/>
          <w:szCs w:val="22"/>
        </w:rPr>
        <w:t>le</w:t>
      </w:r>
      <w:r w:rsidRPr="00F25463">
        <w:rPr>
          <w:rFonts w:hAnsi="Times New Roman" w:cs="Times New Roman"/>
          <w:i/>
          <w:iCs/>
          <w:sz w:val="22"/>
          <w:szCs w:val="22"/>
        </w:rPr>
        <w:t xml:space="preserve"> mesure l’acte d’un État peut-il être une source de droit, avoir des effets juridiques pour les autres États, qui n’ont pas consenti ou pas participer à l’acte ?</w:t>
      </w:r>
    </w:p>
    <w:p w14:paraId="2E26F97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3E482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Il y a 2 sortes d’actes unilatéraux étatiques :</w:t>
      </w:r>
    </w:p>
    <w:p w14:paraId="7862601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10D82CF" w14:textId="77777777" w:rsidR="00EC0180" w:rsidRPr="00F25463" w:rsidRDefault="004270F6" w:rsidP="004270F6">
      <w:pPr>
        <w:pStyle w:val="BodyText"/>
        <w:numPr>
          <w:ilvl w:val="0"/>
          <w:numId w:val="9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En liaison avec un traité ou une coutume</w:t>
      </w:r>
      <w:r w:rsidR="00E860B2" w:rsidRPr="00F25463">
        <w:rPr>
          <w:rFonts w:hAnsi="Times New Roman" w:cs="Times New Roman"/>
          <w:sz w:val="22"/>
          <w:szCs w:val="22"/>
        </w:rPr>
        <w:t xml:space="preserve"> (Non-autonome)</w:t>
      </w:r>
      <w:r w:rsidRPr="00F25463">
        <w:rPr>
          <w:rFonts w:hAnsi="Times New Roman" w:cs="Times New Roman"/>
          <w:sz w:val="22"/>
          <w:szCs w:val="22"/>
        </w:rPr>
        <w:t> :</w:t>
      </w:r>
    </w:p>
    <w:p w14:paraId="2E60366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C1433A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Souvent la compétence d’un État pour adopter un acte unilatéral est conférée </w:t>
      </w:r>
      <w:r w:rsidR="00E860B2" w:rsidRPr="00F25463">
        <w:rPr>
          <w:rFonts w:hAnsi="Times New Roman" w:cs="Times New Roman"/>
          <w:sz w:val="22"/>
          <w:szCs w:val="22"/>
        </w:rPr>
        <w:t>expressément</w:t>
      </w:r>
      <w:r w:rsidRPr="00F25463">
        <w:rPr>
          <w:rFonts w:hAnsi="Times New Roman" w:cs="Times New Roman"/>
          <w:sz w:val="22"/>
          <w:szCs w:val="22"/>
        </w:rPr>
        <w:t xml:space="preserve"> ou implicitement par un traité</w:t>
      </w:r>
    </w:p>
    <w:p w14:paraId="6E0F9CB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67FCC2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r w:rsidRPr="00F25463">
        <w:rPr>
          <w:rFonts w:hAnsi="Times New Roman" w:cs="Times New Roman"/>
          <w:sz w:val="22"/>
          <w:szCs w:val="22"/>
        </w:rPr>
        <w:t>Ex : CDVT – Réserves</w:t>
      </w:r>
    </w:p>
    <w:p w14:paraId="66B1DEC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r w:rsidRPr="00F25463">
        <w:rPr>
          <w:rFonts w:hAnsi="Times New Roman" w:cs="Times New Roman"/>
          <w:sz w:val="22"/>
          <w:szCs w:val="22"/>
        </w:rPr>
        <w:t>Ex : L’art 36 (2) Statuts CIJ permet à un État de faire un acte unilatéral ayant des conséquences pour les autres États (i.e. reconnaître la compétence obligatoire de la CIJ)</w:t>
      </w:r>
    </w:p>
    <w:p w14:paraId="50BCA5D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032839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Rapports entre les coutume</w:t>
      </w:r>
      <w:r w:rsidR="00E860B2" w:rsidRPr="00F25463">
        <w:rPr>
          <w:rFonts w:hAnsi="Times New Roman" w:cs="Times New Roman"/>
          <w:sz w:val="22"/>
          <w:szCs w:val="22"/>
        </w:rPr>
        <w:t>s</w:t>
      </w:r>
      <w:r w:rsidRPr="00F25463">
        <w:rPr>
          <w:rFonts w:hAnsi="Times New Roman" w:cs="Times New Roman"/>
          <w:sz w:val="22"/>
          <w:szCs w:val="22"/>
        </w:rPr>
        <w:t xml:space="preserve"> et les actes unilatéraux</w:t>
      </w:r>
    </w:p>
    <w:p w14:paraId="5CEE2B7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380558E8"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 actes unilatéraux constituent des précédents invoqués pour prouver l’élément matériel d’une coutume.</w:t>
      </w:r>
    </w:p>
    <w:p w14:paraId="4030815E"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La coutume peut aussi autoriser un État à poser des actes unilatéraux ayant des effets à l’égard des autres États.</w:t>
      </w:r>
    </w:p>
    <w:p w14:paraId="1FDFB8C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4BFBA8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Ex : Le principe de la souveraineté des États permet à un État de fixer</w:t>
      </w:r>
    </w:p>
    <w:p w14:paraId="2A629A0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rPr>
          <w:rFonts w:hAnsi="Times New Roman" w:cs="Times New Roman"/>
          <w:sz w:val="22"/>
          <w:szCs w:val="22"/>
        </w:rPr>
      </w:pPr>
      <w:r w:rsidRPr="00F25463">
        <w:rPr>
          <w:rFonts w:hAnsi="Times New Roman" w:cs="Times New Roman"/>
          <w:sz w:val="22"/>
          <w:szCs w:val="22"/>
        </w:rPr>
        <w:tab/>
        <w:t>-La délimitation se sa mer territoriale (jusqu’à 12 miles)</w:t>
      </w:r>
    </w:p>
    <w:p w14:paraId="23BC4DC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28"/>
        <w:rPr>
          <w:rFonts w:hAnsi="Times New Roman" w:cs="Times New Roman"/>
          <w:sz w:val="22"/>
          <w:szCs w:val="22"/>
        </w:rPr>
      </w:pPr>
      <w:r w:rsidRPr="00F25463">
        <w:rPr>
          <w:rFonts w:hAnsi="Times New Roman" w:cs="Times New Roman"/>
          <w:sz w:val="22"/>
          <w:szCs w:val="22"/>
        </w:rPr>
        <w:tab/>
        <w:t>-Les conditions d’acquisitions de la nationalité</w:t>
      </w:r>
    </w:p>
    <w:p w14:paraId="0A014EA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F31F67C" w14:textId="77777777" w:rsidR="00EC0180" w:rsidRPr="00F25463" w:rsidRDefault="004270F6" w:rsidP="004270F6">
      <w:pPr>
        <w:pStyle w:val="BodyText"/>
        <w:numPr>
          <w:ilvl w:val="0"/>
          <w:numId w:val="98"/>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Les actes unilatéraux étatiques autonomes</w:t>
      </w:r>
    </w:p>
    <w:p w14:paraId="6AC9F33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085AFF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Ces actes sont des manifestations de volonté unilatérale émise sans aucun lien avec un traité ou une coutume et dont la validité ne dépend d’aucun autre acte juridique (unilatéral ou multilatéral)</w:t>
      </w:r>
    </w:p>
    <w:p w14:paraId="03BDAA1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p>
    <w:p w14:paraId="1E32459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b/>
          <w:bCs/>
          <w:sz w:val="22"/>
          <w:szCs w:val="22"/>
        </w:rPr>
      </w:pPr>
      <w:r w:rsidRPr="00F25463">
        <w:rPr>
          <w:rFonts w:hAnsi="Times New Roman" w:cs="Times New Roman"/>
          <w:b/>
          <w:bCs/>
          <w:sz w:val="22"/>
          <w:szCs w:val="22"/>
        </w:rPr>
        <w:t>Les 2 types d’actes unilatéraux peuvent prendre plusieurs formes :</w:t>
      </w:r>
    </w:p>
    <w:p w14:paraId="09A5600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b/>
          <w:bCs/>
          <w:sz w:val="22"/>
          <w:szCs w:val="22"/>
        </w:rPr>
      </w:pPr>
    </w:p>
    <w:p w14:paraId="28624ED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Notification</w:t>
      </w:r>
    </w:p>
    <w:p w14:paraId="5E76E3C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Reconnaissance d’État ou de gouvernement</w:t>
      </w:r>
    </w:p>
    <w:p w14:paraId="120CE4B8"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Protestation</w:t>
      </w:r>
    </w:p>
    <w:p w14:paraId="13AF2CC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Renonciation à certains droits</w:t>
      </w:r>
    </w:p>
    <w:p w14:paraId="4254ADA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Promesse de faire ou de s’abstenir de faire quelque chose </w:t>
      </w:r>
    </w:p>
    <w:p w14:paraId="4596825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13E11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Commentaires sur la portée juridique des actes unilatéraux étatiques</w:t>
      </w:r>
    </w:p>
    <w:p w14:paraId="27AEBE6B"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Il ne fait aucun doute qu’un État peut exercer unilatéralement les droits conférés par un traité ou une coutume.</w:t>
      </w:r>
    </w:p>
    <w:p w14:paraId="75CBD5E6"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Il ne fait aucun doute qu’un État peut s’imposer unilatéralement de façon autonome des obligations à lui-même, faisant naître des droits pour les autres États.</w:t>
      </w:r>
    </w:p>
    <w:p w14:paraId="27D9E040"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Il est impossible à un État d’imposer unilatéralement des obligations à un sujet de droit international sans son consentement.  SAUF si l’État exerce des compétences provenant d’une coutume ou d’un traité.</w:t>
      </w:r>
    </w:p>
    <w:p w14:paraId="6C7CCF4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0B29342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Ex  de renonciation: </w:t>
      </w:r>
      <w:r w:rsidRPr="00F25463">
        <w:rPr>
          <w:rFonts w:hAnsi="Times New Roman" w:cs="Times New Roman"/>
          <w:i/>
          <w:iCs/>
          <w:sz w:val="22"/>
          <w:szCs w:val="22"/>
        </w:rPr>
        <w:t>Affaire du Statut juridique du Groenland oriental (CCJI 1933)</w:t>
      </w:r>
      <w:r w:rsidRPr="00F25463">
        <w:rPr>
          <w:rFonts w:hAnsi="Times New Roman" w:cs="Times New Roman"/>
          <w:sz w:val="22"/>
          <w:szCs w:val="22"/>
        </w:rPr>
        <w:t xml:space="preserve"> </w:t>
      </w:r>
    </w:p>
    <w:p w14:paraId="46C1C5B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en 1931, la Norvège prend possession du Groenland Oriental et se justifie en prétextant que le Groenland est une partie non colonisée de l’île. </w:t>
      </w:r>
    </w:p>
    <w:p w14:paraId="12CA83ED" w14:textId="77777777" w:rsidR="00E860B2" w:rsidRPr="00F25463" w:rsidRDefault="00E860B2"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 Danemark allègue qu’il a la souveraineté sur tout le Groenland</w:t>
      </w:r>
    </w:p>
    <w:p w14:paraId="7E33E66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CIJ : donne raison au Danemark. La déclaration est nulle.</w:t>
      </w:r>
    </w:p>
    <w:p w14:paraId="281AC5F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En 1919, à la conférence de Paris, le ministre des affaires extérieures de la Norvège avait déclaré que celle-ci n’opposait aucune difficulté à la souveraineté du Danemark. – déclaration fait en réponse à la question du Danemark.</w:t>
      </w:r>
    </w:p>
    <w:p w14:paraId="2628CE8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La cour </w:t>
      </w:r>
      <w:r w:rsidR="00DC7BB4" w:rsidRPr="00F25463">
        <w:rPr>
          <w:rFonts w:hAnsi="Times New Roman" w:cs="Times New Roman"/>
          <w:sz w:val="22"/>
          <w:szCs w:val="22"/>
        </w:rPr>
        <w:t>a</w:t>
      </w:r>
      <w:r w:rsidRPr="00F25463">
        <w:rPr>
          <w:rFonts w:hAnsi="Times New Roman" w:cs="Times New Roman"/>
          <w:sz w:val="22"/>
          <w:szCs w:val="22"/>
        </w:rPr>
        <w:t xml:space="preserve"> déduit que la déclaration de 1919 était un acte unilatéral qui lie son auteur.</w:t>
      </w:r>
    </w:p>
    <w:p w14:paraId="0687BCF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déclaration d’une personne qui représente l’État, en réponse d’une question : Empêche la Norvège d’occuper une partie du Groenland.</w:t>
      </w:r>
    </w:p>
    <w:p w14:paraId="2068A10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68F7435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CIJ dit : déclaration norvégienne invalide parce que :</w:t>
      </w:r>
    </w:p>
    <w:p w14:paraId="70DF55B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1. Basé sur la déclaration du 22 juillet 1919, lors de la conférence de paix de Paris, et déclarer que la souveraineté est à tout le </w:t>
      </w:r>
      <w:proofErr w:type="spellStart"/>
      <w:r w:rsidRPr="00F25463">
        <w:rPr>
          <w:rFonts w:hAnsi="Times New Roman" w:cs="Times New Roman"/>
          <w:sz w:val="22"/>
          <w:szCs w:val="22"/>
        </w:rPr>
        <w:t>Groendland</w:t>
      </w:r>
      <w:proofErr w:type="spellEnd"/>
      <w:r w:rsidRPr="00F25463">
        <w:rPr>
          <w:rFonts w:hAnsi="Times New Roman" w:cs="Times New Roman"/>
          <w:sz w:val="22"/>
          <w:szCs w:val="22"/>
        </w:rPr>
        <w:t xml:space="preserve"> pour le Danemark. </w:t>
      </w:r>
    </w:p>
    <w:p w14:paraId="42E84A0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Unilatéral : parce que, en réponse au ministre des affaires extérieur du Danemark, il a décidé seul de la réponse.</w:t>
      </w:r>
    </w:p>
    <w:p w14:paraId="646C2AB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24B0396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Ex2 de </w:t>
      </w:r>
      <w:proofErr w:type="gramStart"/>
      <w:r w:rsidRPr="00F25463">
        <w:rPr>
          <w:rFonts w:hAnsi="Times New Roman" w:cs="Times New Roman"/>
          <w:sz w:val="22"/>
          <w:szCs w:val="22"/>
        </w:rPr>
        <w:t>promesse</w:t>
      </w:r>
      <w:r w:rsidRPr="00F25463">
        <w:rPr>
          <w:rFonts w:hAnsi="Times New Roman" w:cs="Times New Roman"/>
          <w:i/>
          <w:iCs/>
          <w:sz w:val="22"/>
          <w:szCs w:val="22"/>
        </w:rPr>
        <w:t>:</w:t>
      </w:r>
      <w:proofErr w:type="gramEnd"/>
      <w:r w:rsidRPr="00F25463">
        <w:rPr>
          <w:rFonts w:hAnsi="Times New Roman" w:cs="Times New Roman"/>
          <w:i/>
          <w:iCs/>
          <w:sz w:val="22"/>
          <w:szCs w:val="22"/>
        </w:rPr>
        <w:t xml:space="preserve">  Affaire des essais nucléaires (CIJ 1974),</w:t>
      </w:r>
      <w:r w:rsidRPr="00F25463">
        <w:rPr>
          <w:rFonts w:hAnsi="Times New Roman" w:cs="Times New Roman"/>
          <w:sz w:val="22"/>
          <w:szCs w:val="22"/>
        </w:rPr>
        <w:t xml:space="preserve"> </w:t>
      </w:r>
    </w:p>
    <w:p w14:paraId="1795F1D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En 1963, 111 États concluent un traité défendant les essais nucléaires sous l’eau, dans l’atmosphère et dans l’espace extra-atmosphérique. (Les essais sous terre ne sont pas mentionnés)</w:t>
      </w:r>
    </w:p>
    <w:p w14:paraId="6E6C8AE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France (qui n’était pas partie au traité) a continué ses essais dans le Pacifique Sud jusqu’en 1973.  L’Australie et la Nouvelle- Zélande font une requête à la CIJ contre la France.</w:t>
      </w:r>
    </w:p>
    <w:p w14:paraId="5519445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CIJ ne s’est pas prononcée sur le caractère légal ou non des essais parce qu’au moment d’entendre la cause, il n’y avait plus d’objet car la France avait indiqué son intention de ne pas faire d’essais nucléaire atmosphérique après 1974.</w:t>
      </w:r>
    </w:p>
    <w:p w14:paraId="455F8CA8"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France, en 1974, avait fait plusieurs déclarations publiques unilatérales :</w:t>
      </w:r>
    </w:p>
    <w:p w14:paraId="7DA3D4B5"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Juin 1974 : Déclaration émanant du bureau du Président français : Note de l’ambassadeur français en Nouvelle- Zélande</w:t>
      </w:r>
    </w:p>
    <w:p w14:paraId="11240F21"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Juillet 1974 : Conférence de presse</w:t>
      </w:r>
    </w:p>
    <w:p w14:paraId="2F6523B4"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Septembre 1974 : Déclaration devant l’Assemble Générale des NU : conférences de presse.</w:t>
      </w:r>
    </w:p>
    <w:p w14:paraId="56178B8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04FA8E8"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Dans ces circonstances, ces actes unilatéraux lient et engagent légalement la France.  La cour a élaboré et décrit des conditions pour constituer des actes unilatéraux liant l’État qui les faits.  (Ces critères étaient rencontrés par les déclarations de la France) :</w:t>
      </w:r>
    </w:p>
    <w:p w14:paraId="6B0FAC56"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 déclarations doivent être publiques (orales ou Écrites)</w:t>
      </w:r>
    </w:p>
    <w:p w14:paraId="53535A33"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Elles doivent être faites dans l’intention de se lier</w:t>
      </w:r>
    </w:p>
    <w:p w14:paraId="3FB83337"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Elles doivent être faites par des personnes crédibles</w:t>
      </w:r>
    </w:p>
    <w:p w14:paraId="189192E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3BDA487"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Note : </w:t>
      </w:r>
    </w:p>
    <w:p w14:paraId="3D5D852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L’intention de se lier est déterminée par l’interprétation des actes.  (Les circonstances, qui le fait, le nombre de fois)</w:t>
      </w:r>
    </w:p>
    <w:p w14:paraId="47C9957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Aucune acceptation, réponse ou réaction n’est nécessaire pour que l’État qui se soit lié soit lié.  (contrairement à la Coutume régional)</w:t>
      </w:r>
    </w:p>
    <w:p w14:paraId="1B77B27A"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actes qui visent à restreindre la liberté d’action doivent être respectés restrictivement.  La CIJ estime que ces déclarations ne peuvent pas être interprétées comme impliquant le pouvoir arbitraire de les reconsidérer.</w:t>
      </w:r>
    </w:p>
    <w:p w14:paraId="5A06A74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En terminant, la cour explique pourquoi une obligation assumée par déclaration unilatérale a un caractère obligatoire :</w:t>
      </w:r>
    </w:p>
    <w:p w14:paraId="4C4CD232"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À cause du principe de la bonne foi dans les relations internationales, les États qui ont cru ces déclarations publiques et qui ont fait confiance ont le droit d’exiger que l’obligation créée soit respectée.</w:t>
      </w:r>
    </w:p>
    <w:p w14:paraId="3A289BD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2F01CA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08791A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BEA7CF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DC9FC4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8DF3D9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74B1DA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7BE62C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DE0E3A1"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789882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Conditions</w:t>
      </w:r>
    </w:p>
    <w:p w14:paraId="223A2DBF" w14:textId="77777777" w:rsidR="00EC0180" w:rsidRPr="00F25463" w:rsidRDefault="004270F6" w:rsidP="004270F6">
      <w:pPr>
        <w:pStyle w:val="BodyText"/>
        <w:numPr>
          <w:ilvl w:val="0"/>
          <w:numId w:val="9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déclaration fait publiquement</w:t>
      </w:r>
    </w:p>
    <w:p w14:paraId="2CF9B47B" w14:textId="77777777" w:rsidR="00EC0180" w:rsidRPr="00F25463" w:rsidRDefault="004270F6" w:rsidP="004270F6">
      <w:pPr>
        <w:pStyle w:val="BodyText"/>
        <w:numPr>
          <w:ilvl w:val="0"/>
          <w:numId w:val="9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lastRenderedPageBreak/>
        <w:t>Intention de liée l’État qui fait la déclaration (elle se dégage de l’interprétation de l’acte unilatéral)</w:t>
      </w:r>
    </w:p>
    <w:p w14:paraId="028DA017" w14:textId="77777777" w:rsidR="00EC0180" w:rsidRPr="00F25463" w:rsidRDefault="004270F6" w:rsidP="004270F6">
      <w:pPr>
        <w:pStyle w:val="BodyText"/>
        <w:numPr>
          <w:ilvl w:val="0"/>
          <w:numId w:val="9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Peu pas la reconsidérer.</w:t>
      </w:r>
    </w:p>
    <w:p w14:paraId="0E4337D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3C1463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Principe de Bonne Foi : les États croient</w:t>
      </w:r>
    </w:p>
    <w:p w14:paraId="68B05F8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14EE32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III. L’Équité</w:t>
      </w:r>
    </w:p>
    <w:p w14:paraId="5A6CAF0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168355F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Le concept d’équité peut être utilisé de 2 manières : </w:t>
      </w:r>
      <w:proofErr w:type="spellStart"/>
      <w:r w:rsidRPr="00F25463">
        <w:rPr>
          <w:rFonts w:hAnsi="Times New Roman" w:cs="Times New Roman"/>
          <w:sz w:val="22"/>
          <w:szCs w:val="22"/>
        </w:rPr>
        <w:t>exaéquo</w:t>
      </w:r>
      <w:proofErr w:type="spellEnd"/>
      <w:r w:rsidRPr="00F25463">
        <w:rPr>
          <w:rFonts w:hAnsi="Times New Roman" w:cs="Times New Roman"/>
          <w:sz w:val="22"/>
          <w:szCs w:val="22"/>
        </w:rPr>
        <w:t xml:space="preserve"> et Bono</w:t>
      </w:r>
    </w:p>
    <w:p w14:paraId="4784D37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DB08E89" w14:textId="77777777" w:rsidR="00EC0180" w:rsidRPr="00F25463" w:rsidRDefault="004270F6" w:rsidP="004270F6">
      <w:pPr>
        <w:pStyle w:val="BodyText"/>
        <w:numPr>
          <w:ilvl w:val="0"/>
          <w:numId w:val="10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proofErr w:type="gramStart"/>
      <w:r w:rsidRPr="00F25463">
        <w:rPr>
          <w:rFonts w:hAnsi="Times New Roman" w:cs="Times New Roman"/>
          <w:sz w:val="22"/>
          <w:szCs w:val="22"/>
        </w:rPr>
        <w:t>L’ équité</w:t>
      </w:r>
      <w:proofErr w:type="gramEnd"/>
      <w:r w:rsidRPr="00F25463">
        <w:rPr>
          <w:rFonts w:hAnsi="Times New Roman" w:cs="Times New Roman"/>
          <w:sz w:val="22"/>
          <w:szCs w:val="22"/>
        </w:rPr>
        <w:t xml:space="preserve"> comme principe d’interprétation de l’application d’une règle de droit international</w:t>
      </w:r>
    </w:p>
    <w:p w14:paraId="0958FA9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3592E82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Pour rendre une décision, un juge peut utiliser le mode d’interprétation qu’il désire.  (Il utilise habituellement la plus juste et la plus raisonnable) L’équité est une façon d’appliquer et d’interpréter le droit.</w:t>
      </w:r>
    </w:p>
    <w:p w14:paraId="5FE1ADF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L’équité n’est pas une source autonome.  C’est une règle accessoire à laquelle le juge a recours si :</w:t>
      </w:r>
    </w:p>
    <w:p w14:paraId="6FDC79C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7837DFD0"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Une coutume le permet</w:t>
      </w:r>
    </w:p>
    <w:p w14:paraId="129234C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rPr>
          <w:rFonts w:hAnsi="Times New Roman" w:cs="Times New Roman"/>
          <w:sz w:val="22"/>
          <w:szCs w:val="22"/>
        </w:rPr>
      </w:pPr>
      <w:r w:rsidRPr="00F25463">
        <w:rPr>
          <w:rFonts w:hAnsi="Times New Roman" w:cs="Times New Roman"/>
          <w:sz w:val="22"/>
          <w:szCs w:val="22"/>
        </w:rPr>
        <w:t>Ex : Dans l’affaire du Plateau Continental, la coutume permettait que la délimitation du Plateau se fasse de façon équitable.</w:t>
      </w:r>
    </w:p>
    <w:p w14:paraId="0DFEDC9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561EFE4"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Un traité le permet :</w:t>
      </w:r>
    </w:p>
    <w:p w14:paraId="193CBF8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rPr>
          <w:rFonts w:hAnsi="Times New Roman" w:cs="Times New Roman"/>
          <w:sz w:val="22"/>
          <w:szCs w:val="22"/>
        </w:rPr>
      </w:pPr>
      <w:r w:rsidRPr="00F25463">
        <w:rPr>
          <w:rFonts w:hAnsi="Times New Roman" w:cs="Times New Roman"/>
          <w:sz w:val="22"/>
          <w:szCs w:val="22"/>
        </w:rPr>
        <w:t>Ex : l’Art 44(3)c) CVDT prévoit que si certaines clauses d’un traité sont nulles, on peut quand même appliquer le reste si ce n’est pas injuste (i.e. si c’est équitable)</w:t>
      </w:r>
    </w:p>
    <w:p w14:paraId="4A8CF66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CD6F058"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Il estime que c’est nécessaire pour que sa décision soit juste :</w:t>
      </w:r>
    </w:p>
    <w:p w14:paraId="7CCF28A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rPr>
          <w:rFonts w:hAnsi="Times New Roman" w:cs="Times New Roman"/>
          <w:sz w:val="22"/>
          <w:szCs w:val="22"/>
        </w:rPr>
      </w:pPr>
      <w:r w:rsidRPr="00F25463">
        <w:rPr>
          <w:rFonts w:hAnsi="Times New Roman" w:cs="Times New Roman"/>
          <w:sz w:val="22"/>
          <w:szCs w:val="22"/>
        </w:rPr>
        <w:t>Ex : Les règles de la responsabilité internationale sont assez précises mais celles de la fixation des dommages ne le sont pas. Les juges doivent donc procéder à une évaluation équitable.</w:t>
      </w:r>
    </w:p>
    <w:p w14:paraId="3257497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9AB0A83" w14:textId="77777777" w:rsidR="00EC0180" w:rsidRPr="00F25463" w:rsidRDefault="004270F6" w:rsidP="004270F6">
      <w:pPr>
        <w:pStyle w:val="BodyText"/>
        <w:numPr>
          <w:ilvl w:val="0"/>
          <w:numId w:val="10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L’équité comme concept servant à écarter, corriger ou inventer le droit.</w:t>
      </w:r>
    </w:p>
    <w:p w14:paraId="11BF361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F8A8C1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L’art 38 (2) Statuts CIJ : L’Équité ne peut être utilisée par le juge ou l’arbitre que lorsqu’il il autorisé de façon spécifique par les parties à procéder de cette façon.  (Ce n’est arrivé que devant des arbitres lorsqu’un É</w:t>
      </w:r>
      <w:r w:rsidR="000B0006" w:rsidRPr="00F25463">
        <w:rPr>
          <w:rFonts w:hAnsi="Times New Roman" w:cs="Times New Roman"/>
          <w:sz w:val="22"/>
          <w:szCs w:val="22"/>
        </w:rPr>
        <w:t>tat neutre avait subi</w:t>
      </w:r>
      <w:r w:rsidRPr="00F25463">
        <w:rPr>
          <w:rFonts w:hAnsi="Times New Roman" w:cs="Times New Roman"/>
          <w:sz w:val="22"/>
          <w:szCs w:val="22"/>
        </w:rPr>
        <w:t xml:space="preserve"> des dommages lors d’une guerre…)</w:t>
      </w:r>
    </w:p>
    <w:p w14:paraId="312CF44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4A3D19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IV. La jurisprudence</w:t>
      </w:r>
    </w:p>
    <w:p w14:paraId="3BAD1FA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La jurisprudence (autant celle international que celle des tribunaux internes) est une source subsidiaire.  Elle est un élément constitutif de la coutume, un moyen de déterminer si une règle de droit existe ou non. </w:t>
      </w:r>
    </w:p>
    <w:p w14:paraId="7BA3CBD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jurisprudence des tribunaux internes sur des sujets de droits internationaux représente un élément matériel qu’on va alléguer pour prouver que la coutume existe.</w:t>
      </w:r>
    </w:p>
    <w:p w14:paraId="55CFDB3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Quant à la jurisprudence </w:t>
      </w:r>
      <w:proofErr w:type="gramStart"/>
      <w:r w:rsidRPr="00F25463">
        <w:rPr>
          <w:rFonts w:hAnsi="Times New Roman" w:cs="Times New Roman"/>
          <w:sz w:val="22"/>
          <w:szCs w:val="22"/>
        </w:rPr>
        <w:t>de la cou</w:t>
      </w:r>
      <w:proofErr w:type="gramEnd"/>
      <w:r w:rsidRPr="00F25463">
        <w:rPr>
          <w:rFonts w:hAnsi="Times New Roman" w:cs="Times New Roman"/>
          <w:sz w:val="22"/>
          <w:szCs w:val="22"/>
        </w:rPr>
        <w:t xml:space="preserve"> international, elle n’est obligatoire que pour les parties en litige et dans le cas qui a été décidés.  Il n’y a donc pas de Stare </w:t>
      </w:r>
      <w:proofErr w:type="spellStart"/>
      <w:r w:rsidRPr="00F25463">
        <w:rPr>
          <w:rFonts w:hAnsi="Times New Roman" w:cs="Times New Roman"/>
          <w:sz w:val="22"/>
          <w:szCs w:val="22"/>
        </w:rPr>
        <w:t>Decisis</w:t>
      </w:r>
      <w:proofErr w:type="spellEnd"/>
      <w:r w:rsidRPr="00F25463">
        <w:rPr>
          <w:rFonts w:hAnsi="Times New Roman" w:cs="Times New Roman"/>
          <w:sz w:val="22"/>
          <w:szCs w:val="22"/>
        </w:rPr>
        <w:t>, art 59 Statuts de la CIJ.</w:t>
      </w:r>
    </w:p>
    <w:p w14:paraId="221973D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On a crée une fiction selon laquelle en droit international, lorsque le tribunal rend une décision, il ne crée pas de droit.  CEPANDANT, par la qualité de son raisonnement, le jugement en référant à la jurisprudence, va démontrer qu’une coutume existe.</w:t>
      </w:r>
    </w:p>
    <w:p w14:paraId="457EEFE7"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Il y a aussi des cas ou une coutume existe, </w:t>
      </w:r>
      <w:proofErr w:type="spellStart"/>
      <w:r w:rsidRPr="00F25463">
        <w:rPr>
          <w:rFonts w:hAnsi="Times New Roman" w:cs="Times New Roman"/>
          <w:sz w:val="22"/>
          <w:szCs w:val="22"/>
        </w:rPr>
        <w:t>mAIS</w:t>
      </w:r>
      <w:proofErr w:type="spellEnd"/>
      <w:r w:rsidRPr="00F25463">
        <w:rPr>
          <w:rFonts w:hAnsi="Times New Roman" w:cs="Times New Roman"/>
          <w:sz w:val="22"/>
          <w:szCs w:val="22"/>
        </w:rPr>
        <w:t xml:space="preserve"> son contenu n’est pas clair.  Le juge peut alors la formuler plus clairement.  Par exemple, dans l’affaire du Nicaragua, le fait que la cour définisse les zones économique exclusives équivaut à une proposition du formulation s’adressant aux autres États qui peuvent y acquiescer </w:t>
      </w:r>
      <w:proofErr w:type="spellStart"/>
      <w:r w:rsidRPr="00F25463">
        <w:rPr>
          <w:rFonts w:hAnsi="Times New Roman" w:cs="Times New Roman"/>
          <w:sz w:val="22"/>
          <w:szCs w:val="22"/>
        </w:rPr>
        <w:t>expréssement</w:t>
      </w:r>
      <w:proofErr w:type="spellEnd"/>
      <w:r w:rsidRPr="00F25463">
        <w:rPr>
          <w:rFonts w:hAnsi="Times New Roman" w:cs="Times New Roman"/>
          <w:sz w:val="22"/>
          <w:szCs w:val="22"/>
        </w:rPr>
        <w:t xml:space="preserve"> ou implicitement.  La coutume pourra alors dégager la coutume du comportement des États.  Elle </w:t>
      </w:r>
      <w:proofErr w:type="gramStart"/>
      <w:r w:rsidRPr="00F25463">
        <w:rPr>
          <w:rFonts w:hAnsi="Times New Roman" w:cs="Times New Roman"/>
          <w:sz w:val="22"/>
          <w:szCs w:val="22"/>
        </w:rPr>
        <w:t>vas</w:t>
      </w:r>
      <w:proofErr w:type="gramEnd"/>
      <w:r w:rsidRPr="00F25463">
        <w:rPr>
          <w:rFonts w:hAnsi="Times New Roman" w:cs="Times New Roman"/>
          <w:sz w:val="22"/>
          <w:szCs w:val="22"/>
        </w:rPr>
        <w:t xml:space="preserve"> montrer l’élément matériel et l’élément psychologique.</w:t>
      </w:r>
    </w:p>
    <w:p w14:paraId="31C64C1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F6283D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V. La doctrine des auteurs les plus qualifiés.</w:t>
      </w:r>
    </w:p>
    <w:p w14:paraId="2167EB3A"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auteurs ne sont pas source de droit.  Ils l’analyse et l’interprète.  Ils découvrent et démontre l’existence des coutumes.</w:t>
      </w:r>
    </w:p>
    <w:p w14:paraId="2AB7E50A"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Lorsque les auteurs constatent des lacunes, ils peuvent soumettre des propositions auxquelles les États peuvent souscrire pour combler ces lacunes.</w:t>
      </w:r>
    </w:p>
    <w:p w14:paraId="6BDA89B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39E256E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**Lorsque l’art 38 (</w:t>
      </w:r>
      <w:proofErr w:type="gramStart"/>
      <w:r w:rsidRPr="00F25463">
        <w:rPr>
          <w:rFonts w:hAnsi="Times New Roman" w:cs="Times New Roman"/>
          <w:sz w:val="22"/>
          <w:szCs w:val="22"/>
        </w:rPr>
        <w:t>1)d</w:t>
      </w:r>
      <w:proofErr w:type="gramEnd"/>
      <w:r w:rsidRPr="00F25463">
        <w:rPr>
          <w:rFonts w:hAnsi="Times New Roman" w:cs="Times New Roman"/>
          <w:sz w:val="22"/>
          <w:szCs w:val="22"/>
        </w:rPr>
        <w:t xml:space="preserve">) Statuts CIJ réfère aux opinions des auteurs qualifiés, il fait en sorte d’inclure dans la doctrine on seulement les divers auteurs mais aussi les opinions des juges tant majoritaires que dissidents, les opinions des membres de la communauté internationale et les travaux de la CIJ et de ses membres ou de la Commission de droit international (CDI)** </w:t>
      </w:r>
    </w:p>
    <w:p w14:paraId="3B2D77F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5A6055E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b/>
          <w:bCs/>
          <w:sz w:val="22"/>
          <w:szCs w:val="22"/>
        </w:rPr>
      </w:pPr>
      <w:r w:rsidRPr="00F25463">
        <w:rPr>
          <w:rFonts w:hAnsi="Times New Roman" w:cs="Times New Roman"/>
          <w:b/>
          <w:bCs/>
          <w:sz w:val="22"/>
          <w:szCs w:val="22"/>
        </w:rPr>
        <w:t>Chapitre II – Les sujets de DIP</w:t>
      </w:r>
    </w:p>
    <w:p w14:paraId="3CCDA0C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379E65F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Section I – Les États</w:t>
      </w:r>
    </w:p>
    <w:p w14:paraId="52BA5C8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27C1F1A" w14:textId="77777777" w:rsidR="00EC0180" w:rsidRPr="00F25463" w:rsidRDefault="004270F6" w:rsidP="004270F6">
      <w:pPr>
        <w:pStyle w:val="BodyText"/>
        <w:numPr>
          <w:ilvl w:val="0"/>
          <w:numId w:val="101"/>
        </w:numPr>
        <w:tabs>
          <w:tab w:val="clear" w:pos="33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hanging="360"/>
        <w:rPr>
          <w:rFonts w:hAnsi="Times New Roman" w:cs="Times New Roman"/>
          <w:b/>
          <w:bCs/>
          <w:sz w:val="22"/>
          <w:szCs w:val="22"/>
        </w:rPr>
      </w:pPr>
      <w:r w:rsidRPr="00F25463">
        <w:rPr>
          <w:rFonts w:hAnsi="Times New Roman" w:cs="Times New Roman"/>
          <w:b/>
          <w:bCs/>
          <w:sz w:val="22"/>
          <w:szCs w:val="22"/>
        </w:rPr>
        <w:t>Notion de souveraineté d’indépendance et d’égalité des États.</w:t>
      </w:r>
    </w:p>
    <w:p w14:paraId="7EC1F88A" w14:textId="77777777" w:rsidR="00EC0180" w:rsidRPr="00F25463" w:rsidRDefault="004270F6">
      <w:pPr>
        <w:pStyle w:val="BodyText"/>
        <w:tabs>
          <w:tab w:val="clear" w:pos="360"/>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t>Pour qu’Il y ait un État, il faut 3 éléments constitutif</w:t>
      </w:r>
    </w:p>
    <w:p w14:paraId="7268CD00" w14:textId="77777777" w:rsidR="00EC0180" w:rsidRPr="00F25463" w:rsidRDefault="004270F6" w:rsidP="004270F6">
      <w:pPr>
        <w:pStyle w:val="BodyText"/>
        <w:numPr>
          <w:ilvl w:val="0"/>
          <w:numId w:val="102"/>
        </w:numPr>
        <w:tabs>
          <w:tab w:val="clear" w:pos="360"/>
          <w:tab w:val="clear" w:pos="2250"/>
          <w:tab w:val="num" w:pos="2280"/>
          <w:tab w:val="left" w:pos="2832"/>
          <w:tab w:val="left" w:pos="3540"/>
          <w:tab w:val="left" w:pos="4248"/>
          <w:tab w:val="left" w:pos="4956"/>
          <w:tab w:val="left" w:pos="5664"/>
          <w:tab w:val="left" w:pos="6372"/>
          <w:tab w:val="left" w:pos="7080"/>
          <w:tab w:val="left" w:pos="7788"/>
          <w:tab w:val="left" w:pos="8496"/>
          <w:tab w:val="left" w:pos="9204"/>
          <w:tab w:val="left" w:pos="9472"/>
        </w:tabs>
        <w:ind w:left="2280" w:hanging="360"/>
        <w:rPr>
          <w:rFonts w:hAnsi="Times New Roman" w:cs="Times New Roman"/>
          <w:sz w:val="22"/>
          <w:szCs w:val="22"/>
        </w:rPr>
      </w:pPr>
      <w:r w:rsidRPr="00F25463">
        <w:rPr>
          <w:rFonts w:hAnsi="Times New Roman" w:cs="Times New Roman"/>
          <w:sz w:val="22"/>
          <w:szCs w:val="22"/>
        </w:rPr>
        <w:t>Un territoire</w:t>
      </w:r>
    </w:p>
    <w:p w14:paraId="398D7768" w14:textId="77777777" w:rsidR="00EC0180" w:rsidRPr="00F25463" w:rsidRDefault="004270F6" w:rsidP="004270F6">
      <w:pPr>
        <w:pStyle w:val="BodyText"/>
        <w:numPr>
          <w:ilvl w:val="0"/>
          <w:numId w:val="102"/>
        </w:numPr>
        <w:tabs>
          <w:tab w:val="clear" w:pos="360"/>
          <w:tab w:val="clear" w:pos="2250"/>
          <w:tab w:val="num" w:pos="2280"/>
          <w:tab w:val="left" w:pos="2832"/>
          <w:tab w:val="left" w:pos="3540"/>
          <w:tab w:val="left" w:pos="4248"/>
          <w:tab w:val="left" w:pos="4956"/>
          <w:tab w:val="left" w:pos="5664"/>
          <w:tab w:val="left" w:pos="6372"/>
          <w:tab w:val="left" w:pos="7080"/>
          <w:tab w:val="left" w:pos="7788"/>
          <w:tab w:val="left" w:pos="8496"/>
          <w:tab w:val="left" w:pos="9204"/>
          <w:tab w:val="left" w:pos="9472"/>
        </w:tabs>
        <w:ind w:left="2280" w:hanging="360"/>
        <w:rPr>
          <w:rFonts w:hAnsi="Times New Roman" w:cs="Times New Roman"/>
          <w:sz w:val="22"/>
          <w:szCs w:val="22"/>
        </w:rPr>
      </w:pPr>
      <w:r w:rsidRPr="00F25463">
        <w:rPr>
          <w:rFonts w:hAnsi="Times New Roman" w:cs="Times New Roman"/>
          <w:sz w:val="22"/>
          <w:szCs w:val="22"/>
        </w:rPr>
        <w:t>Une population</w:t>
      </w:r>
    </w:p>
    <w:p w14:paraId="032A94BF" w14:textId="77777777" w:rsidR="00EC0180" w:rsidRPr="00F25463" w:rsidRDefault="004270F6" w:rsidP="004270F6">
      <w:pPr>
        <w:pStyle w:val="BodyText"/>
        <w:numPr>
          <w:ilvl w:val="0"/>
          <w:numId w:val="102"/>
        </w:numPr>
        <w:tabs>
          <w:tab w:val="clear" w:pos="360"/>
          <w:tab w:val="clear" w:pos="2250"/>
          <w:tab w:val="num" w:pos="2280"/>
          <w:tab w:val="left" w:pos="2832"/>
          <w:tab w:val="left" w:pos="3540"/>
          <w:tab w:val="left" w:pos="4248"/>
          <w:tab w:val="left" w:pos="4956"/>
          <w:tab w:val="left" w:pos="5664"/>
          <w:tab w:val="left" w:pos="6372"/>
          <w:tab w:val="left" w:pos="7080"/>
          <w:tab w:val="left" w:pos="7788"/>
          <w:tab w:val="left" w:pos="8496"/>
          <w:tab w:val="left" w:pos="9204"/>
          <w:tab w:val="left" w:pos="9472"/>
        </w:tabs>
        <w:ind w:left="2280" w:hanging="360"/>
        <w:rPr>
          <w:rFonts w:hAnsi="Times New Roman" w:cs="Times New Roman"/>
          <w:sz w:val="22"/>
          <w:szCs w:val="22"/>
        </w:rPr>
      </w:pPr>
      <w:r w:rsidRPr="00F25463">
        <w:rPr>
          <w:rFonts w:hAnsi="Times New Roman" w:cs="Times New Roman"/>
          <w:sz w:val="22"/>
          <w:szCs w:val="22"/>
        </w:rPr>
        <w:t>Un gouvernement</w:t>
      </w:r>
    </w:p>
    <w:p w14:paraId="13990D3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920"/>
        <w:rPr>
          <w:rFonts w:hAnsi="Times New Roman" w:cs="Times New Roman"/>
          <w:sz w:val="22"/>
          <w:szCs w:val="22"/>
        </w:rPr>
      </w:pPr>
    </w:p>
    <w:p w14:paraId="719C1EA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Cependant, ces 3 éléments ne sont pas suffisant. (ex : une municipalité répond à ces caractéristique).  La souveraineté est nécessaire.</w:t>
      </w:r>
    </w:p>
    <w:p w14:paraId="0D50648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02C642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r w:rsidRPr="00F25463">
        <w:rPr>
          <w:rFonts w:hAnsi="Times New Roman" w:cs="Times New Roman"/>
          <w:sz w:val="22"/>
          <w:szCs w:val="22"/>
        </w:rPr>
        <w:t>Souveraineté : Suprématie du pouvoir. L’État n’a pas de supérieur hiérarchique. L’État est autonome : Ni sa population, ni son gouvernement ne sont soumis à une autorité étrangère.</w:t>
      </w:r>
    </w:p>
    <w:p w14:paraId="220A39D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D594CC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 Degré de souveraineté requis pour qu’une collectivité soit qualifié d’État</w:t>
      </w:r>
    </w:p>
    <w:p w14:paraId="65E4966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D6A311B" w14:textId="77777777" w:rsidR="00EC0180" w:rsidRPr="00F25463" w:rsidRDefault="004270F6" w:rsidP="004270F6">
      <w:pPr>
        <w:pStyle w:val="BodyText"/>
        <w:numPr>
          <w:ilvl w:val="5"/>
          <w:numId w:val="103"/>
        </w:numPr>
        <w:tabs>
          <w:tab w:val="clear" w:pos="360"/>
          <w:tab w:val="clear" w:pos="1140"/>
          <w:tab w:val="num" w:pos="1200"/>
          <w:tab w:val="left" w:pos="1920"/>
          <w:tab w:val="left" w:pos="5913"/>
          <w:tab w:val="left" w:pos="6372"/>
          <w:tab w:val="left" w:pos="7080"/>
          <w:tab w:val="left" w:pos="7788"/>
          <w:tab w:val="left" w:pos="8496"/>
          <w:tab w:val="left" w:pos="9204"/>
          <w:tab w:val="left" w:pos="9472"/>
        </w:tabs>
        <w:ind w:left="1200" w:hanging="720"/>
        <w:rPr>
          <w:rFonts w:hAnsi="Times New Roman" w:cs="Times New Roman"/>
          <w:b/>
          <w:bCs/>
          <w:sz w:val="22"/>
          <w:szCs w:val="22"/>
        </w:rPr>
      </w:pPr>
      <w:r w:rsidRPr="00F25463">
        <w:rPr>
          <w:rFonts w:hAnsi="Times New Roman" w:cs="Times New Roman"/>
          <w:b/>
          <w:bCs/>
          <w:sz w:val="22"/>
          <w:szCs w:val="22"/>
        </w:rPr>
        <w:t>Les membres d’une fédération (ex : les provinces du Canada)</w:t>
      </w:r>
    </w:p>
    <w:p w14:paraId="3DEA83D1"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Ce ne sont pas des États. Ils ont une autorité supérieur (le pouvoir central fédéral) </w:t>
      </w:r>
      <w:proofErr w:type="gramStart"/>
      <w:r w:rsidRPr="00F25463">
        <w:rPr>
          <w:rFonts w:hAnsi="Times New Roman" w:cs="Times New Roman"/>
          <w:sz w:val="22"/>
          <w:szCs w:val="22"/>
        </w:rPr>
        <w:t>qui  peut</w:t>
      </w:r>
      <w:proofErr w:type="gramEnd"/>
      <w:r w:rsidRPr="00F25463">
        <w:rPr>
          <w:rFonts w:hAnsi="Times New Roman" w:cs="Times New Roman"/>
          <w:sz w:val="22"/>
          <w:szCs w:val="22"/>
        </w:rPr>
        <w:t xml:space="preserve"> imposer sa volonté à divers degrés.  Les pouvoirs qui lui sont dévolus par la constitution et non du droit international.</w:t>
      </w:r>
    </w:p>
    <w:p w14:paraId="68CFCCCE"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6F0D98D" w14:textId="77777777" w:rsidR="00EC0180" w:rsidRPr="00F25463" w:rsidRDefault="004270F6">
      <w:pPr>
        <w:pStyle w:val="BodyText"/>
        <w:tabs>
          <w:tab w:val="clear" w:pos="360"/>
          <w:tab w:val="left"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720"/>
        <w:rPr>
          <w:rFonts w:hAnsi="Times New Roman" w:cs="Times New Roman"/>
          <w:b/>
          <w:bCs/>
          <w:sz w:val="22"/>
          <w:szCs w:val="22"/>
        </w:rPr>
      </w:pPr>
      <w:r w:rsidRPr="00F25463">
        <w:rPr>
          <w:rFonts w:hAnsi="Times New Roman" w:cs="Times New Roman"/>
          <w:b/>
          <w:bCs/>
          <w:sz w:val="22"/>
          <w:szCs w:val="22"/>
        </w:rPr>
        <w:t>ii)</w:t>
      </w:r>
      <w:r w:rsidRPr="00F25463">
        <w:rPr>
          <w:rFonts w:hAnsi="Times New Roman" w:cs="Times New Roman"/>
          <w:b/>
          <w:bCs/>
          <w:sz w:val="22"/>
          <w:szCs w:val="22"/>
        </w:rPr>
        <w:tab/>
      </w:r>
      <w:r w:rsidRPr="00F25463">
        <w:rPr>
          <w:rFonts w:hAnsi="Times New Roman" w:cs="Times New Roman"/>
          <w:b/>
          <w:bCs/>
          <w:sz w:val="22"/>
          <w:szCs w:val="22"/>
        </w:rPr>
        <w:tab/>
        <w:t xml:space="preserve"> Les États membres d’une confédération ou d’une organisation internationale.</w:t>
      </w:r>
    </w:p>
    <w:p w14:paraId="60D69A1D"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Ces État conservent leur qualité d’États (les confédérations sont créées par traité)</w:t>
      </w:r>
    </w:p>
    <w:p w14:paraId="23E3249A"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BFFE828"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b/>
        <w:t xml:space="preserve">iii) </w:t>
      </w:r>
      <w:r w:rsidRPr="00F25463">
        <w:rPr>
          <w:rFonts w:hAnsi="Times New Roman" w:cs="Times New Roman"/>
          <w:b/>
          <w:bCs/>
          <w:sz w:val="22"/>
          <w:szCs w:val="22"/>
        </w:rPr>
        <w:tab/>
        <w:t>Les États Fantoches (n’ont pas la qualité d’État)</w:t>
      </w:r>
    </w:p>
    <w:p w14:paraId="037A39E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Un État fantoche existe quand un État A facilite la création d’un autre État B et A prétend que B est un État indépendant SAUF que les gouvernement de B sont en place grâce à l’action de A.  Le but de cette action, c’est de conserver (pour des raisons de politique international), la maîtrise réelle du territoire de B mais sans annexer B à son territoire (Où l’y maintenir)</w:t>
      </w:r>
    </w:p>
    <w:p w14:paraId="030CE216"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204A272F"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Ex : En 1931, Le Japon envahit une partie du Mandchourie au Nord-Est de la Chine et nomme ce territoire </w:t>
      </w:r>
      <w:proofErr w:type="spellStart"/>
      <w:r w:rsidRPr="00F25463">
        <w:rPr>
          <w:rFonts w:hAnsi="Times New Roman" w:cs="Times New Roman"/>
          <w:sz w:val="22"/>
          <w:szCs w:val="22"/>
        </w:rPr>
        <w:t>Mandchoukow</w:t>
      </w:r>
      <w:proofErr w:type="spellEnd"/>
      <w:r w:rsidRPr="00F25463">
        <w:rPr>
          <w:rFonts w:hAnsi="Times New Roman" w:cs="Times New Roman"/>
          <w:sz w:val="22"/>
          <w:szCs w:val="22"/>
        </w:rPr>
        <w:t xml:space="preserve">.  En 1932, le Japon reconnaît ce territoire comme État indépendant.  La SDN envoie alors sur place la Commission Lytton qui découvre qu’au sein du gouvernement du </w:t>
      </w:r>
      <w:proofErr w:type="spellStart"/>
      <w:r w:rsidRPr="00F25463">
        <w:rPr>
          <w:rFonts w:hAnsi="Times New Roman" w:cs="Times New Roman"/>
          <w:sz w:val="22"/>
          <w:szCs w:val="22"/>
        </w:rPr>
        <w:t>Mandchoukow</w:t>
      </w:r>
      <w:proofErr w:type="spellEnd"/>
      <w:r w:rsidRPr="00F25463">
        <w:rPr>
          <w:rFonts w:hAnsi="Times New Roman" w:cs="Times New Roman"/>
          <w:sz w:val="22"/>
          <w:szCs w:val="22"/>
        </w:rPr>
        <w:t xml:space="preserve">, plusieurs japonais occupent des portes et reçoivent leurs directives du Japon.  De plus, </w:t>
      </w:r>
      <w:proofErr w:type="gramStart"/>
      <w:r w:rsidRPr="00F25463">
        <w:rPr>
          <w:rFonts w:hAnsi="Times New Roman" w:cs="Times New Roman"/>
          <w:sz w:val="22"/>
          <w:szCs w:val="22"/>
        </w:rPr>
        <w:t>des troupes japonaise</w:t>
      </w:r>
      <w:proofErr w:type="gramEnd"/>
      <w:r w:rsidRPr="00F25463">
        <w:rPr>
          <w:rFonts w:hAnsi="Times New Roman" w:cs="Times New Roman"/>
          <w:sz w:val="22"/>
          <w:szCs w:val="22"/>
        </w:rPr>
        <w:t xml:space="preserve"> occupaient toujours le </w:t>
      </w:r>
      <w:proofErr w:type="spellStart"/>
      <w:r w:rsidRPr="00F25463">
        <w:rPr>
          <w:rFonts w:hAnsi="Times New Roman" w:cs="Times New Roman"/>
          <w:sz w:val="22"/>
          <w:szCs w:val="22"/>
        </w:rPr>
        <w:t>Mandchoulow</w:t>
      </w:r>
      <w:proofErr w:type="spellEnd"/>
      <w:r w:rsidRPr="00F25463">
        <w:rPr>
          <w:rFonts w:hAnsi="Times New Roman" w:cs="Times New Roman"/>
          <w:sz w:val="22"/>
          <w:szCs w:val="22"/>
        </w:rPr>
        <w:t xml:space="preserve">.  En 1933, la SDN adopte une résolution selon laquelle le </w:t>
      </w:r>
      <w:proofErr w:type="spellStart"/>
      <w:r w:rsidRPr="00F25463">
        <w:rPr>
          <w:rFonts w:hAnsi="Times New Roman" w:cs="Times New Roman"/>
          <w:sz w:val="22"/>
          <w:szCs w:val="22"/>
        </w:rPr>
        <w:t>Mandchoukow</w:t>
      </w:r>
      <w:proofErr w:type="spellEnd"/>
      <w:r w:rsidRPr="00F25463">
        <w:rPr>
          <w:rFonts w:hAnsi="Times New Roman" w:cs="Times New Roman"/>
          <w:sz w:val="22"/>
          <w:szCs w:val="22"/>
        </w:rPr>
        <w:t xml:space="preserve"> n’est pas indépendant.  Ce territoire est redevenu partie du Mandchourie</w:t>
      </w:r>
    </w:p>
    <w:p w14:paraId="57CDEA9A"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11ADED17"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lastRenderedPageBreak/>
        <w:tab/>
        <w:t xml:space="preserve">Ex : Le gouvernement de l’Afrique du Sud, qui exerçait sa politique de l’Apartheid avait choisi 10 territoires (impropres à la culture) ou les noirs devaient habiter : les </w:t>
      </w:r>
      <w:proofErr w:type="spellStart"/>
      <w:r w:rsidRPr="00F25463">
        <w:rPr>
          <w:rFonts w:hAnsi="Times New Roman" w:cs="Times New Roman"/>
          <w:sz w:val="22"/>
          <w:szCs w:val="22"/>
        </w:rPr>
        <w:t>Bantoustants</w:t>
      </w:r>
      <w:proofErr w:type="spellEnd"/>
      <w:r w:rsidRPr="00F25463">
        <w:rPr>
          <w:rFonts w:hAnsi="Times New Roman" w:cs="Times New Roman"/>
          <w:sz w:val="22"/>
          <w:szCs w:val="22"/>
        </w:rPr>
        <w:t xml:space="preserve">.  4 de ces territoires ont été déclarés indépendants par l’Afrique du Sud.  Le </w:t>
      </w:r>
      <w:proofErr w:type="spellStart"/>
      <w:r w:rsidRPr="00F25463">
        <w:rPr>
          <w:rFonts w:hAnsi="Times New Roman" w:cs="Times New Roman"/>
          <w:sz w:val="22"/>
          <w:szCs w:val="22"/>
        </w:rPr>
        <w:t>transkei</w:t>
      </w:r>
      <w:proofErr w:type="spellEnd"/>
      <w:r w:rsidRPr="00F25463">
        <w:rPr>
          <w:rFonts w:hAnsi="Times New Roman" w:cs="Times New Roman"/>
          <w:sz w:val="22"/>
          <w:szCs w:val="22"/>
        </w:rPr>
        <w:t xml:space="preserve"> était dévolu au peuple </w:t>
      </w:r>
      <w:proofErr w:type="spellStart"/>
      <w:r w:rsidRPr="00F25463">
        <w:rPr>
          <w:rFonts w:hAnsi="Times New Roman" w:cs="Times New Roman"/>
          <w:sz w:val="22"/>
          <w:szCs w:val="22"/>
        </w:rPr>
        <w:t>soth</w:t>
      </w:r>
      <w:proofErr w:type="spellEnd"/>
      <w:r w:rsidRPr="00F25463">
        <w:rPr>
          <w:rFonts w:hAnsi="Times New Roman" w:cs="Times New Roman"/>
          <w:sz w:val="22"/>
          <w:szCs w:val="22"/>
        </w:rPr>
        <w:t xml:space="preserve">.  Ces territoires devenant indépendants, tous les </w:t>
      </w:r>
      <w:proofErr w:type="spellStart"/>
      <w:r w:rsidRPr="00F25463">
        <w:rPr>
          <w:rFonts w:hAnsi="Times New Roman" w:cs="Times New Roman"/>
          <w:sz w:val="22"/>
          <w:szCs w:val="22"/>
        </w:rPr>
        <w:t>sothos</w:t>
      </w:r>
      <w:proofErr w:type="spellEnd"/>
      <w:r w:rsidRPr="00F25463">
        <w:rPr>
          <w:rFonts w:hAnsi="Times New Roman" w:cs="Times New Roman"/>
          <w:sz w:val="22"/>
          <w:szCs w:val="22"/>
        </w:rPr>
        <w:t xml:space="preserve"> ou qu’ils soient perdaient leur nationalité sud-africaine.  L’Assemblé Générale a condamné cette action et a demander aux États des NU de ne pas reconnaître ces États ce qu’ils sont fait.</w:t>
      </w:r>
    </w:p>
    <w:p w14:paraId="586D4859"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737D52A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Ce n’est pas facile de devenir un État mais ce n’est pas non plus facile de perdre sa qualité d’État. </w:t>
      </w:r>
    </w:p>
    <w:p w14:paraId="29D7AB3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Ex : La France durant la 2</w:t>
      </w:r>
      <w:r w:rsidRPr="00F25463">
        <w:rPr>
          <w:rFonts w:hAnsi="Times New Roman" w:cs="Times New Roman"/>
          <w:sz w:val="22"/>
          <w:szCs w:val="22"/>
          <w:vertAlign w:val="superscript"/>
        </w:rPr>
        <w:t>e</w:t>
      </w:r>
      <w:r w:rsidRPr="00F25463">
        <w:rPr>
          <w:rFonts w:hAnsi="Times New Roman" w:cs="Times New Roman"/>
          <w:sz w:val="22"/>
          <w:szCs w:val="22"/>
        </w:rPr>
        <w:t xml:space="preserve"> guerre mondiale envahit par </w:t>
      </w:r>
    </w:p>
    <w:p w14:paraId="51D0A783"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l’Allemagne</w:t>
      </w:r>
      <w:proofErr w:type="gramEnd"/>
      <w:r w:rsidRPr="00F25463">
        <w:rPr>
          <w:rFonts w:hAnsi="Times New Roman" w:cs="Times New Roman"/>
          <w:sz w:val="22"/>
          <w:szCs w:val="22"/>
        </w:rPr>
        <w:t>.</w:t>
      </w:r>
    </w:p>
    <w:p w14:paraId="4CB72574"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p>
    <w:p w14:paraId="2924BD5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Un État souverain peut limiter pour l’avenir sa liberté d’action.  D’ailleurs les traités ont tous cet effet.  Cependant, cette capacité de limiter sa liberté d’action est restreinte par les règles de Jus Cogens (l’indépendance des États et la </w:t>
      </w:r>
      <w:proofErr w:type="spellStart"/>
      <w:r w:rsidRPr="00F25463">
        <w:rPr>
          <w:rFonts w:hAnsi="Times New Roman" w:cs="Times New Roman"/>
          <w:sz w:val="22"/>
          <w:szCs w:val="22"/>
        </w:rPr>
        <w:t>non-ingérance</w:t>
      </w:r>
      <w:proofErr w:type="spellEnd"/>
      <w:r w:rsidRPr="00F25463">
        <w:rPr>
          <w:rFonts w:hAnsi="Times New Roman" w:cs="Times New Roman"/>
          <w:sz w:val="22"/>
          <w:szCs w:val="22"/>
        </w:rPr>
        <w:t>, le droit à l’auto- détermination est une règle de jus cogens)</w:t>
      </w:r>
    </w:p>
    <w:p w14:paraId="017F8EAB"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1590D91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En vertu de ces règles, les États ne peuvent plus conclure des traités de protectorat selon lesquels un État cède à un autre État </w:t>
      </w:r>
      <w:proofErr w:type="spellStart"/>
      <w:r w:rsidRPr="00F25463">
        <w:rPr>
          <w:rFonts w:hAnsi="Times New Roman" w:cs="Times New Roman"/>
          <w:sz w:val="22"/>
          <w:szCs w:val="22"/>
        </w:rPr>
        <w:t>protectoral</w:t>
      </w:r>
      <w:proofErr w:type="spellEnd"/>
      <w:r w:rsidRPr="00F25463">
        <w:rPr>
          <w:rFonts w:hAnsi="Times New Roman" w:cs="Times New Roman"/>
          <w:sz w:val="22"/>
          <w:szCs w:val="22"/>
        </w:rPr>
        <w:t xml:space="preserve"> des attributs de sa souveraineté (par exemple, les relations extérieurs).  Ils ne reste d’ailleurs qu’un seul protectorat : le Bhoutan sous la protection de l’Inde pour ses relations extérieures.</w:t>
      </w:r>
    </w:p>
    <w:p w14:paraId="70E600B4"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2B5F68F"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pour le droit à l’autodétermination, celui-ci doit avoir été exprimé par le peuple même et non pas par les colons. (</w:t>
      </w:r>
      <w:proofErr w:type="gramStart"/>
      <w:r w:rsidRPr="00F25463">
        <w:rPr>
          <w:rFonts w:hAnsi="Times New Roman" w:cs="Times New Roman"/>
          <w:sz w:val="22"/>
          <w:szCs w:val="22"/>
        </w:rPr>
        <w:t>référendum</w:t>
      </w:r>
      <w:proofErr w:type="gramEnd"/>
      <w:r w:rsidRPr="00F25463">
        <w:rPr>
          <w:rFonts w:hAnsi="Times New Roman" w:cs="Times New Roman"/>
          <w:sz w:val="22"/>
          <w:szCs w:val="22"/>
        </w:rPr>
        <w:t>)</w:t>
      </w:r>
    </w:p>
    <w:p w14:paraId="59C0A33D"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4E434C74" w14:textId="77777777" w:rsidR="00EC0180" w:rsidRPr="00F25463" w:rsidRDefault="004270F6" w:rsidP="004270F6">
      <w:pPr>
        <w:pStyle w:val="BodyText"/>
        <w:numPr>
          <w:ilvl w:val="8"/>
          <w:numId w:val="104"/>
        </w:numPr>
        <w:tabs>
          <w:tab w:val="clear" w:pos="360"/>
          <w:tab w:val="clear" w:pos="1500"/>
          <w:tab w:val="num" w:pos="1560"/>
          <w:tab w:val="left" w:pos="1920"/>
          <w:tab w:val="left" w:pos="7188"/>
          <w:tab w:val="left" w:pos="7788"/>
          <w:tab w:val="left" w:pos="8496"/>
          <w:tab w:val="left" w:pos="9204"/>
          <w:tab w:val="left" w:pos="9472"/>
        </w:tabs>
        <w:ind w:left="1560" w:hanging="720"/>
        <w:rPr>
          <w:rFonts w:hAnsi="Times New Roman" w:cs="Times New Roman"/>
          <w:b/>
          <w:bCs/>
          <w:sz w:val="22"/>
          <w:szCs w:val="22"/>
        </w:rPr>
      </w:pPr>
      <w:r w:rsidRPr="00F25463">
        <w:rPr>
          <w:rFonts w:hAnsi="Times New Roman" w:cs="Times New Roman"/>
          <w:b/>
          <w:bCs/>
          <w:sz w:val="22"/>
          <w:szCs w:val="22"/>
        </w:rPr>
        <w:t>Éléments constitutifs de l’État</w:t>
      </w:r>
    </w:p>
    <w:p w14:paraId="06D8CA32"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b/>
          <w:bCs/>
          <w:sz w:val="22"/>
          <w:szCs w:val="22"/>
        </w:rPr>
      </w:pPr>
    </w:p>
    <w:p w14:paraId="45D1A1A7" w14:textId="77777777" w:rsidR="00EC0180" w:rsidRPr="00F25463" w:rsidRDefault="004270F6" w:rsidP="004270F6">
      <w:pPr>
        <w:pStyle w:val="BodyText"/>
        <w:numPr>
          <w:ilvl w:val="1"/>
          <w:numId w:val="105"/>
        </w:numPr>
        <w:tabs>
          <w:tab w:val="clear" w:pos="360"/>
          <w:tab w:val="clear" w:pos="2970"/>
          <w:tab w:val="num" w:pos="3000"/>
          <w:tab w:val="left" w:pos="3540"/>
          <w:tab w:val="left" w:pos="4248"/>
          <w:tab w:val="left" w:pos="4956"/>
          <w:tab w:val="left" w:pos="5664"/>
          <w:tab w:val="left" w:pos="6372"/>
          <w:tab w:val="left" w:pos="7080"/>
          <w:tab w:val="left" w:pos="7788"/>
          <w:tab w:val="left" w:pos="8496"/>
          <w:tab w:val="left" w:pos="9204"/>
          <w:tab w:val="left" w:pos="9472"/>
        </w:tabs>
        <w:ind w:left="3000" w:hanging="360"/>
        <w:rPr>
          <w:rFonts w:hAnsi="Times New Roman" w:cs="Times New Roman"/>
          <w:b/>
          <w:bCs/>
          <w:sz w:val="22"/>
          <w:szCs w:val="22"/>
        </w:rPr>
      </w:pPr>
      <w:r w:rsidRPr="00F25463">
        <w:rPr>
          <w:rFonts w:hAnsi="Times New Roman" w:cs="Times New Roman"/>
          <w:b/>
          <w:bCs/>
          <w:sz w:val="22"/>
          <w:szCs w:val="22"/>
        </w:rPr>
        <w:t>Le territoire</w:t>
      </w:r>
    </w:p>
    <w:p w14:paraId="16335412"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640"/>
        <w:rPr>
          <w:rFonts w:hAnsi="Times New Roman" w:cs="Times New Roman"/>
          <w:b/>
          <w:bCs/>
          <w:sz w:val="22"/>
          <w:szCs w:val="22"/>
        </w:rPr>
      </w:pPr>
    </w:p>
    <w:p w14:paraId="4A2CE631"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Le territoire de l’État s’étend sur 3 dimensions :</w:t>
      </w:r>
    </w:p>
    <w:p w14:paraId="3787D3B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mer (maritime)</w:t>
      </w:r>
    </w:p>
    <w:p w14:paraId="70D22597"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terre (terrestre)</w:t>
      </w:r>
    </w:p>
    <w:p w14:paraId="48F8F35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l’espace (aérien)</w:t>
      </w:r>
    </w:p>
    <w:p w14:paraId="119C1039"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2B27165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Définition : Le territoire c’est l’espace physique où l’État exerce validement et à titre exclusif ses pouvoirs étatiques souverains.  Ses lois et règlements s’y appliquent donc.</w:t>
      </w:r>
    </w:p>
    <w:p w14:paraId="159144A7"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010378DD" w14:textId="77777777" w:rsidR="00EC0180" w:rsidRPr="00F25463" w:rsidRDefault="004270F6" w:rsidP="004270F6">
      <w:pPr>
        <w:pStyle w:val="BodyText"/>
        <w:numPr>
          <w:ilvl w:val="6"/>
          <w:numId w:val="95"/>
        </w:numPr>
        <w:tabs>
          <w:tab w:val="clear" w:pos="360"/>
          <w:tab w:val="clear" w:pos="1170"/>
          <w:tab w:val="num" w:pos="1200"/>
          <w:tab w:val="left" w:pos="1920"/>
          <w:tab w:val="left" w:pos="5388"/>
          <w:tab w:val="left" w:pos="5664"/>
          <w:tab w:val="left" w:pos="6372"/>
          <w:tab w:val="left" w:pos="7080"/>
          <w:tab w:val="left" w:pos="7788"/>
          <w:tab w:val="left" w:pos="8496"/>
          <w:tab w:val="left" w:pos="9204"/>
          <w:tab w:val="left" w:pos="9472"/>
        </w:tabs>
        <w:ind w:left="1200" w:hanging="360"/>
        <w:rPr>
          <w:rFonts w:hAnsi="Times New Roman" w:cs="Times New Roman"/>
          <w:sz w:val="22"/>
          <w:szCs w:val="22"/>
        </w:rPr>
      </w:pPr>
      <w:r w:rsidRPr="00F25463">
        <w:rPr>
          <w:rFonts w:hAnsi="Times New Roman" w:cs="Times New Roman"/>
          <w:sz w:val="22"/>
          <w:szCs w:val="22"/>
        </w:rPr>
        <w:t>Le territoire (espace) terrestre : L’espace terrestre est constitué par la terre ferme et par les espaces d’eau douce entourés de terre ferme</w:t>
      </w:r>
    </w:p>
    <w:p w14:paraId="7D40609E"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9C77F4B" w14:textId="77777777" w:rsidR="00EC0180" w:rsidRPr="00F25463" w:rsidRDefault="004270F6" w:rsidP="004270F6">
      <w:pPr>
        <w:pStyle w:val="BodyText"/>
        <w:numPr>
          <w:ilvl w:val="2"/>
          <w:numId w:val="106"/>
        </w:numPr>
        <w:tabs>
          <w:tab w:val="clear" w:pos="360"/>
          <w:tab w:val="clear" w:pos="810"/>
          <w:tab w:val="num" w:pos="840"/>
          <w:tab w:val="left" w:pos="1200"/>
          <w:tab w:val="left" w:pos="1320"/>
          <w:tab w:val="left" w:pos="390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sz w:val="22"/>
          <w:szCs w:val="22"/>
        </w:rPr>
      </w:pPr>
      <w:r w:rsidRPr="00F25463">
        <w:rPr>
          <w:rFonts w:hAnsi="Times New Roman" w:cs="Times New Roman"/>
          <w:sz w:val="22"/>
          <w:szCs w:val="22"/>
        </w:rPr>
        <w:t>Les modes d’acquisition :</w:t>
      </w:r>
    </w:p>
    <w:p w14:paraId="656B22DB" w14:textId="77777777" w:rsidR="00EC0180" w:rsidRPr="00F25463" w:rsidRDefault="004270F6">
      <w:pPr>
        <w:pStyle w:val="BodyText"/>
        <w:tabs>
          <w:tab w:val="clear" w:pos="360"/>
          <w:tab w:val="left" w:pos="84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t>Affaire l’île du Panama : Doc 14a – Les modes d’acquisition du territoire terrestre.</w:t>
      </w:r>
    </w:p>
    <w:p w14:paraId="5A2517C1"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800"/>
        <w:rPr>
          <w:rFonts w:hAnsi="Times New Roman" w:cs="Times New Roman"/>
          <w:sz w:val="22"/>
          <w:szCs w:val="22"/>
        </w:rPr>
      </w:pPr>
    </w:p>
    <w:p w14:paraId="5C0D2C0A" w14:textId="77777777" w:rsidR="00EC0180" w:rsidRPr="00F25463" w:rsidRDefault="004270F6">
      <w:pPr>
        <w:pStyle w:val="BodyText"/>
        <w:tabs>
          <w:tab w:val="clear" w:pos="360"/>
          <w:tab w:val="left" w:pos="480"/>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r w:rsidRPr="00F25463">
        <w:rPr>
          <w:rFonts w:hAnsi="Times New Roman" w:cs="Times New Roman"/>
          <w:sz w:val="22"/>
          <w:szCs w:val="22"/>
        </w:rPr>
        <w:t>Il y a deux sortes de modes d’acquisitions :</w:t>
      </w:r>
    </w:p>
    <w:p w14:paraId="005F6F2D" w14:textId="77777777" w:rsidR="00EC0180" w:rsidRPr="00F25463" w:rsidRDefault="00EC0180">
      <w:pPr>
        <w:pStyle w:val="BodyText"/>
        <w:tabs>
          <w:tab w:val="clear" w:pos="360"/>
          <w:tab w:val="left" w:pos="480"/>
          <w:tab w:val="left" w:pos="8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sz w:val="22"/>
          <w:szCs w:val="22"/>
        </w:rPr>
      </w:pPr>
    </w:p>
    <w:p w14:paraId="6838C845" w14:textId="77777777" w:rsidR="00EC0180" w:rsidRPr="00F25463" w:rsidRDefault="004270F6" w:rsidP="004270F6">
      <w:pPr>
        <w:pStyle w:val="BodyText"/>
        <w:numPr>
          <w:ilvl w:val="1"/>
          <w:numId w:val="107"/>
        </w:numPr>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 xml:space="preserve"> Ceux qui donne un titre originaire (i.e. un titre portant sur un territoire qui n’appartient à aucun État.</w:t>
      </w:r>
    </w:p>
    <w:p w14:paraId="6567DE60" w14:textId="77777777" w:rsidR="00EC0180" w:rsidRPr="00F25463" w:rsidRDefault="00EC0180">
      <w:pPr>
        <w:pStyle w:val="BodyText"/>
        <w:tabs>
          <w:tab w:val="clear" w:pos="360"/>
          <w:tab w:val="left" w:pos="10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rPr>
          <w:rFonts w:hAnsi="Times New Roman" w:cs="Times New Roman"/>
          <w:sz w:val="22"/>
          <w:szCs w:val="22"/>
        </w:rPr>
      </w:pPr>
    </w:p>
    <w:p w14:paraId="5CCAF2E6" w14:textId="77777777" w:rsidR="00EC0180" w:rsidRPr="00F25463" w:rsidRDefault="004270F6" w:rsidP="004270F6">
      <w:pPr>
        <w:pStyle w:val="BodyText"/>
        <w:numPr>
          <w:ilvl w:val="1"/>
          <w:numId w:val="107"/>
        </w:numPr>
        <w:tabs>
          <w:tab w:val="clear" w:pos="36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Ceux qui donnent un titre dérivé (i.e. un titre portant sur un territoire déjà incorporé dans un État ou un titre provenant du transfert d’une portion de territoire d’un État à un autre État).</w:t>
      </w:r>
    </w:p>
    <w:p w14:paraId="70D53C37" w14:textId="77777777" w:rsidR="00EC0180" w:rsidRPr="00F25463" w:rsidRDefault="004270F6">
      <w:pPr>
        <w:pStyle w:val="BodyText"/>
        <w:tabs>
          <w:tab w:val="clear" w:pos="360"/>
          <w:tab w:val="left" w:pos="84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3F7401F1" w14:textId="77777777" w:rsidR="00EC0180" w:rsidRPr="00F25463" w:rsidRDefault="004270F6" w:rsidP="004270F6">
      <w:pPr>
        <w:pStyle w:val="BodyText"/>
        <w:numPr>
          <w:ilvl w:val="0"/>
          <w:numId w:val="108"/>
        </w:numPr>
        <w:tabs>
          <w:tab w:val="clear" w:pos="360"/>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360"/>
        <w:rPr>
          <w:rFonts w:hAnsi="Times New Roman" w:cs="Times New Roman"/>
          <w:sz w:val="22"/>
          <w:szCs w:val="22"/>
        </w:rPr>
      </w:pPr>
      <w:r w:rsidRPr="00F25463">
        <w:rPr>
          <w:rFonts w:hAnsi="Times New Roman" w:cs="Times New Roman"/>
          <w:sz w:val="22"/>
          <w:szCs w:val="22"/>
        </w:rPr>
        <w:t>Modes d’acquisition d’un titre originaire</w:t>
      </w:r>
    </w:p>
    <w:p w14:paraId="607B4D0C" w14:textId="77777777" w:rsidR="00EC0180" w:rsidRPr="00F25463" w:rsidRDefault="00EC0180">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5479EAC" w14:textId="77777777" w:rsidR="00EC0180" w:rsidRPr="00F25463" w:rsidRDefault="004270F6">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lastRenderedPageBreak/>
        <w:t>Même s’il n’y a plus de territoire à découvrir, ces règles sont encore utiles parce qu’elles sont toujours utilisées pour régler les litiges.</w:t>
      </w:r>
    </w:p>
    <w:p w14:paraId="579F1A1A" w14:textId="77777777" w:rsidR="00EC0180" w:rsidRPr="00F25463" w:rsidRDefault="004270F6">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En effet, tout litige actuel portant sur l’existence ou non d’un titre originaire sur un territoire en faveur d’un État doit être résolu par les tribunaux en appliquant les règles en vigueur au moment où les titres ont été acquis.</w:t>
      </w:r>
    </w:p>
    <w:p w14:paraId="0DB94DC3" w14:textId="77777777" w:rsidR="00EC0180" w:rsidRPr="00F25463" w:rsidRDefault="00EC0180">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18E8DE0D" w14:textId="77777777" w:rsidR="00EC0180" w:rsidRPr="00F25463" w:rsidRDefault="004270F6">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b/>
          <w:bCs/>
          <w:sz w:val="22"/>
          <w:szCs w:val="22"/>
        </w:rPr>
      </w:pPr>
      <w:r w:rsidRPr="00F25463">
        <w:rPr>
          <w:rFonts w:hAnsi="Times New Roman" w:cs="Times New Roman"/>
          <w:b/>
          <w:bCs/>
          <w:sz w:val="22"/>
          <w:szCs w:val="22"/>
        </w:rPr>
        <w:t xml:space="preserve">Conséquences : </w:t>
      </w:r>
    </w:p>
    <w:p w14:paraId="389B52A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règles nouvelles ne rétroagissent pas sur de telles situations</w:t>
      </w:r>
    </w:p>
    <w:p w14:paraId="39BE471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Il est donc important de connaître les différents modes d’acquisition qui ne sont succédé dans le temps.</w:t>
      </w:r>
    </w:p>
    <w:p w14:paraId="53B99A83" w14:textId="77777777" w:rsidR="00EC0180" w:rsidRPr="00F25463" w:rsidRDefault="00EC0180">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269820A" w14:textId="77777777" w:rsidR="00EC0180" w:rsidRPr="00F25463" w:rsidRDefault="004270F6">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Il y a 4 modes d’acquisition d’un titre originaire :</w:t>
      </w:r>
    </w:p>
    <w:p w14:paraId="74AE6311"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L’Attribution par décision pontificale et la découverte.</w:t>
      </w:r>
    </w:p>
    <w:p w14:paraId="611B6E2C"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L’occupation effective</w:t>
      </w:r>
    </w:p>
    <w:p w14:paraId="745E7682"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la contiguïté</w:t>
      </w:r>
    </w:p>
    <w:p w14:paraId="66F541F9"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L’expansion territoriale par un processus naturel.</w:t>
      </w:r>
    </w:p>
    <w:p w14:paraId="69F0EB42" w14:textId="77777777" w:rsidR="00EC0180" w:rsidRPr="00F25463" w:rsidRDefault="00EC0180">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A7E4234" w14:textId="77777777" w:rsidR="00EC0180" w:rsidRPr="00F25463" w:rsidRDefault="004270F6">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Les titres de souveraineté fondés sur la découverte ou sur l’attribution papale ont perdu tout intérêt juridique aujourd’hui, de même que la proximité.</w:t>
      </w:r>
    </w:p>
    <w:p w14:paraId="38BEAF11" w14:textId="77777777" w:rsidR="00EC0180" w:rsidRPr="00F25463" w:rsidRDefault="00EC0180">
      <w:pPr>
        <w:pStyle w:val="BodyText"/>
        <w:tabs>
          <w:tab w:val="clear" w:pos="360"/>
          <w:tab w:val="left"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64EE16B"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rPr>
          <w:rFonts w:hAnsi="Times New Roman" w:cs="Times New Roman"/>
          <w:b/>
          <w:bCs/>
          <w:sz w:val="22"/>
          <w:szCs w:val="22"/>
        </w:rPr>
      </w:pPr>
      <w:r w:rsidRPr="00F25463">
        <w:rPr>
          <w:rFonts w:hAnsi="Times New Roman" w:cs="Times New Roman"/>
          <w:b/>
          <w:bCs/>
          <w:sz w:val="22"/>
          <w:szCs w:val="22"/>
        </w:rPr>
        <w:t>La notion d’occupation effective d’un territoire</w:t>
      </w:r>
    </w:p>
    <w:p w14:paraId="1B2A68DD" w14:textId="77777777" w:rsidR="00EC0180" w:rsidRPr="00F25463" w:rsidRDefault="00EC0180">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4505B975"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L’occupation effective implique des activités étatiques</w:t>
      </w:r>
    </w:p>
    <w:p w14:paraId="07A888D0"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Ex : Traités conclu pour un territoire</w:t>
      </w:r>
    </w:p>
    <w:p w14:paraId="679535BA"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 xml:space="preserve">    Fixation de la mer territoriale</w:t>
      </w:r>
    </w:p>
    <w:p w14:paraId="623B1A2D"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r>
      <w:r w:rsidRPr="00F25463">
        <w:rPr>
          <w:rFonts w:hAnsi="Times New Roman" w:cs="Times New Roman"/>
          <w:sz w:val="22"/>
          <w:szCs w:val="22"/>
        </w:rPr>
        <w:tab/>
        <w:t xml:space="preserve">    Législation réglementant la chasse et la pêche sur les côtes.</w:t>
      </w:r>
    </w:p>
    <w:p w14:paraId="106828FC" w14:textId="77777777" w:rsidR="00EC0180" w:rsidRPr="00F25463" w:rsidRDefault="00EC0180">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p>
    <w:p w14:paraId="06F90FF6"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Le degré d’effectivité requis pour établir un titre de souveraineté sur un territoire est fonction du nombre d’habitant de ce territoire et de sa situation géographique.  </w:t>
      </w:r>
    </w:p>
    <w:p w14:paraId="1BE5FDA0" w14:textId="77777777" w:rsidR="00EC0180" w:rsidRPr="00F25463" w:rsidRDefault="004270F6">
      <w:pPr>
        <w:pStyle w:val="BodyText"/>
        <w:tabs>
          <w:tab w:val="clear" w:pos="360"/>
          <w:tab w:val="left" w:pos="120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ab/>
      </w:r>
      <w:r w:rsidRPr="00F25463">
        <w:rPr>
          <w:rFonts w:hAnsi="Times New Roman" w:cs="Times New Roman"/>
          <w:sz w:val="22"/>
          <w:szCs w:val="22"/>
        </w:rPr>
        <w:tab/>
        <w:t>Ex : affaire du statut juridique du Groenland oriental</w:t>
      </w:r>
    </w:p>
    <w:p w14:paraId="613FB1DF"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397B48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Deux États A et B réclament un territoire.  L’occupation de A doit durer assez longtemps pour que le pays tiers soit au courant de la présence de A sur le territoire. Cette occupation doit être ouverte et publique. – </w:t>
      </w:r>
      <w:proofErr w:type="spellStart"/>
      <w:r w:rsidRPr="00F25463">
        <w:rPr>
          <w:rFonts w:hAnsi="Times New Roman" w:cs="Times New Roman"/>
          <w:sz w:val="22"/>
          <w:szCs w:val="22"/>
        </w:rPr>
        <w:t>paralèle</w:t>
      </w:r>
      <w:proofErr w:type="spellEnd"/>
      <w:r w:rsidRPr="00F25463">
        <w:rPr>
          <w:rFonts w:hAnsi="Times New Roman" w:cs="Times New Roman"/>
          <w:sz w:val="22"/>
          <w:szCs w:val="22"/>
        </w:rPr>
        <w:t xml:space="preserve"> avec les principes de la possession en droit civil.</w:t>
      </w:r>
    </w:p>
    <w:p w14:paraId="4DF60DFD"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3838669"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Principe de la contiguïté :</w:t>
      </w:r>
    </w:p>
    <w:p w14:paraId="17C872BE"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FE69B97"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 principe est invoqué non seulement en relation avec les îles sans maîtres proches des côtes d’un État mais aussi en relation avec d’autres territoires non appropriés situés à proximité ou qui sont le prolongement naturel d’un territoire étatique.</w:t>
      </w:r>
    </w:p>
    <w:p w14:paraId="4CEBF561"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r w:rsidRPr="00F25463">
        <w:rPr>
          <w:rFonts w:hAnsi="Times New Roman" w:cs="Times New Roman"/>
          <w:sz w:val="22"/>
          <w:szCs w:val="22"/>
        </w:rPr>
        <w:tab/>
      </w:r>
    </w:p>
    <w:p w14:paraId="13315818"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r w:rsidRPr="00F25463">
        <w:rPr>
          <w:rFonts w:hAnsi="Times New Roman" w:cs="Times New Roman"/>
          <w:sz w:val="22"/>
          <w:szCs w:val="22"/>
        </w:rPr>
        <w:tab/>
        <w:t xml:space="preserve">Ex : Dans l’Avis sur le Sahara Occidental, le Maroc avait envoyé l’unité </w:t>
      </w:r>
    </w:p>
    <w:p w14:paraId="670D39A1"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proofErr w:type="gramStart"/>
      <w:r w:rsidRPr="00F25463">
        <w:rPr>
          <w:rFonts w:hAnsi="Times New Roman" w:cs="Times New Roman"/>
          <w:sz w:val="22"/>
          <w:szCs w:val="22"/>
        </w:rPr>
        <w:t>géographique</w:t>
      </w:r>
      <w:proofErr w:type="gramEnd"/>
      <w:r w:rsidRPr="00F25463">
        <w:rPr>
          <w:rFonts w:hAnsi="Times New Roman" w:cs="Times New Roman"/>
          <w:sz w:val="22"/>
          <w:szCs w:val="22"/>
        </w:rPr>
        <w:t xml:space="preserve"> du Sahara occidental avec son territoire pour appuyer ses prétentions de souveraineté sur le Sahara occidental (La CIJ n’a pas donné effet à cet argument)</w:t>
      </w:r>
    </w:p>
    <w:p w14:paraId="0168B613"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91DAF8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L’expansion territoriale par un processus naturel :</w:t>
      </w:r>
    </w:p>
    <w:p w14:paraId="72E473FC"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14285FE"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L’expansion territoriale par un processus naturel est aussi un mode d’acquisition valide d’un titre originaire.</w:t>
      </w:r>
    </w:p>
    <w:p w14:paraId="301B31AC"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Ex :  - Le Rio Grande qui change de lit</w:t>
      </w:r>
    </w:p>
    <w:p w14:paraId="1E4D6981" w14:textId="77777777" w:rsidR="00EC0180" w:rsidRPr="00F25463" w:rsidRDefault="004270F6" w:rsidP="004270F6">
      <w:pPr>
        <w:pStyle w:val="BodyText"/>
        <w:numPr>
          <w:ilvl w:val="0"/>
          <w:numId w:val="109"/>
        </w:numPr>
        <w:tabs>
          <w:tab w:val="clear" w:pos="36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320" w:hanging="360"/>
        <w:rPr>
          <w:rFonts w:hAnsi="Times New Roman" w:cs="Times New Roman"/>
        </w:rPr>
      </w:pPr>
      <w:r w:rsidRPr="00F25463">
        <w:rPr>
          <w:rFonts w:hAnsi="Times New Roman" w:cs="Times New Roman"/>
          <w:sz w:val="22"/>
          <w:szCs w:val="22"/>
        </w:rPr>
        <w:t xml:space="preserve"> L’île </w:t>
      </w:r>
      <w:proofErr w:type="spellStart"/>
      <w:r w:rsidRPr="00F25463">
        <w:rPr>
          <w:rFonts w:hAnsi="Times New Roman" w:cs="Times New Roman"/>
          <w:sz w:val="22"/>
          <w:szCs w:val="22"/>
        </w:rPr>
        <w:t>Shurtsee</w:t>
      </w:r>
      <w:proofErr w:type="spellEnd"/>
      <w:r w:rsidRPr="00F25463">
        <w:rPr>
          <w:rFonts w:hAnsi="Times New Roman" w:cs="Times New Roman"/>
          <w:sz w:val="22"/>
          <w:szCs w:val="22"/>
        </w:rPr>
        <w:t xml:space="preserve"> qui est apparue au large des côtes islandaise à la suite d’une éruption volcanique sous- marine, appartient en Islande en vertu de ce principe</w:t>
      </w:r>
    </w:p>
    <w:p w14:paraId="1AD5416C"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23B919F" w14:textId="77777777" w:rsidR="00EC0180" w:rsidRPr="00F25463" w:rsidRDefault="004270F6" w:rsidP="004270F6">
      <w:pPr>
        <w:pStyle w:val="BodyText"/>
        <w:numPr>
          <w:ilvl w:val="0"/>
          <w:numId w:val="110"/>
        </w:numPr>
        <w:tabs>
          <w:tab w:val="clear" w:pos="360"/>
          <w:tab w:val="clear" w:pos="810"/>
          <w:tab w:val="num" w:pos="8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sz w:val="22"/>
          <w:szCs w:val="22"/>
        </w:rPr>
      </w:pPr>
      <w:r w:rsidRPr="00F25463">
        <w:rPr>
          <w:rFonts w:hAnsi="Times New Roman" w:cs="Times New Roman"/>
          <w:sz w:val="22"/>
          <w:szCs w:val="22"/>
        </w:rPr>
        <w:lastRenderedPageBreak/>
        <w:t>Modes d’acquisition d’un titre dérivé :</w:t>
      </w:r>
    </w:p>
    <w:p w14:paraId="424E3BE1"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5C0CA4"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Il y a 3 modes d’acquisition d’un titre dérivé :</w:t>
      </w:r>
    </w:p>
    <w:p w14:paraId="3C5DE19F"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Par conquête</w:t>
      </w:r>
    </w:p>
    <w:p w14:paraId="78A555C4"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par cession</w:t>
      </w:r>
    </w:p>
    <w:p w14:paraId="79D84B91"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par prescription acquisitive</w:t>
      </w:r>
    </w:p>
    <w:p w14:paraId="79D7F42E"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CBF8850" w14:textId="77777777" w:rsidR="00EC0180" w:rsidRPr="00F25463" w:rsidRDefault="004270F6">
      <w:pPr>
        <w:pStyle w:val="BodyText"/>
        <w:tabs>
          <w:tab w:val="clear" w:pos="3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conquête</w:t>
      </w:r>
    </w:p>
    <w:p w14:paraId="0ADD4BCB"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Avant le Pacte Briand- </w:t>
      </w:r>
      <w:proofErr w:type="spellStart"/>
      <w:r w:rsidRPr="00F25463">
        <w:rPr>
          <w:rFonts w:hAnsi="Times New Roman" w:cs="Times New Roman"/>
          <w:sz w:val="22"/>
          <w:szCs w:val="22"/>
        </w:rPr>
        <w:t>Kellog</w:t>
      </w:r>
      <w:proofErr w:type="spellEnd"/>
      <w:r w:rsidRPr="00F25463">
        <w:rPr>
          <w:rFonts w:hAnsi="Times New Roman" w:cs="Times New Roman"/>
          <w:sz w:val="22"/>
          <w:szCs w:val="22"/>
        </w:rPr>
        <w:t xml:space="preserve"> de 1928, la conquête était une façon importante d’acquérir un titre de souveraineté sur un territoire.  Elle se réalisait à la suite d’une guerre par la réunion de 2 éléments :</w:t>
      </w:r>
    </w:p>
    <w:p w14:paraId="66B15F6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 territoire vaincu devait entièrement être occupé par le vainqueur</w:t>
      </w:r>
    </w:p>
    <w:p w14:paraId="3DA6804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L’État vainqueur devait avoir la volonté d’annexer le territoire vaincu. (¨ca se fait en exerçant des fonctions étatiques à la place de l’État vaincu)</w:t>
      </w:r>
    </w:p>
    <w:p w14:paraId="37953AE1"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3009DF4"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Note : La conquête comme mode d’acquisition d’un titre de souveraineté est maintenant hors la loi selon l’art 2 (4) CNU.  Qui </w:t>
      </w:r>
      <w:proofErr w:type="spellStart"/>
      <w:r w:rsidRPr="00F25463">
        <w:rPr>
          <w:rFonts w:hAnsi="Times New Roman" w:cs="Times New Roman"/>
          <w:sz w:val="22"/>
          <w:szCs w:val="22"/>
        </w:rPr>
        <w:t>constitu</w:t>
      </w:r>
      <w:proofErr w:type="spellEnd"/>
      <w:r w:rsidRPr="00F25463">
        <w:rPr>
          <w:rFonts w:hAnsi="Times New Roman" w:cs="Times New Roman"/>
          <w:sz w:val="22"/>
          <w:szCs w:val="22"/>
        </w:rPr>
        <w:t xml:space="preserve"> aussi une règle coutumière interdisant le recours à la guerre.</w:t>
      </w:r>
    </w:p>
    <w:p w14:paraId="79B8A022"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E43A5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Conséquence du Pacte : (Jus Cogens)</w:t>
      </w:r>
    </w:p>
    <w:p w14:paraId="609F6E3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5F54979C"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Un État qui a conquis un territoire à une époque où la conquête était légale a été obligée d’obtenir un nouveau titre se souveraineté afin de s’ajuster à l’évolution du droit international positif qui défend maintenant la conquête. (</w:t>
      </w:r>
      <w:proofErr w:type="gramStart"/>
      <w:r w:rsidRPr="00F25463">
        <w:rPr>
          <w:rFonts w:hAnsi="Times New Roman" w:cs="Times New Roman"/>
          <w:sz w:val="22"/>
          <w:szCs w:val="22"/>
        </w:rPr>
        <w:t>ex</w:t>
      </w:r>
      <w:proofErr w:type="gramEnd"/>
      <w:r w:rsidRPr="00F25463">
        <w:rPr>
          <w:rFonts w:hAnsi="Times New Roman" w:cs="Times New Roman"/>
          <w:sz w:val="22"/>
          <w:szCs w:val="22"/>
        </w:rPr>
        <w:t> : Il aura dû obtenir un nouveau titre fondé sur l’occupation effective)</w:t>
      </w:r>
    </w:p>
    <w:p w14:paraId="4B493521"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2881DAF"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Il faut réaliser que l’interdiction du recours à la force est une règle qui tout au plus constitue selon la doctrine, une autorisation donnée aux États tiers, de refuser, de reconnaître la situation résultant d’une annexion obtenu par la force car l’occupation effective finit toujours, avec le temps, par l’emporter.</w:t>
      </w:r>
    </w:p>
    <w:p w14:paraId="4AE7B597"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62E34BA"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cession</w:t>
      </w:r>
    </w:p>
    <w:p w14:paraId="25A9995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Il s’agit d’une renonciation par voie conventionnelle des droits souverains d’un État sur un territoire en faveur d’un autre État.</w:t>
      </w:r>
    </w:p>
    <w:p w14:paraId="766D5DCC"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CB45338"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Ces traités ont souvent eu lieu à l’issue d’une guerre mais aujourd’hui, de tels traités seraient invalides parce que conclu sous la contrainte ou en raison de l’usage de la force.  (Voir art 52 CVDT sur la règle de jus cogens sur la nullité absolu)</w:t>
      </w:r>
    </w:p>
    <w:p w14:paraId="0CE96BC8"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1D8825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Un tel traité pourrait être valide de l’État vainqueur a recours à des droits de légitime défense.</w:t>
      </w:r>
    </w:p>
    <w:p w14:paraId="1A0E1828"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9C17F70"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Des cessions sont aussi conclues en temps de paix, notamment sous forme de vente de territoire.</w:t>
      </w:r>
    </w:p>
    <w:p w14:paraId="7F42BB68"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E1C8F2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Aujourd’hui, ce type de cession serait limité par le principe du droit des peules à disposer d’eux même qui implique la nécessité de se référer aux désirs de la population.  (Ce principe est considéré comme règle de jus cogens)</w:t>
      </w:r>
    </w:p>
    <w:p w14:paraId="68AD77B4"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1D623BB"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prescription acquisitive</w:t>
      </w:r>
    </w:p>
    <w:p w14:paraId="6F25B9FD"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Elle permet l’acquisition d’un territoire par l’État qui y exerce son autorité de manière continu et pacifique pendant une longue période sans protestation de la part de l’État à qui appartient déjà le territoire.</w:t>
      </w:r>
    </w:p>
    <w:p w14:paraId="155CFED2"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BA884F3"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Une protestation diplomatique est suffisante pour interrompre la prescription acquisitive</w:t>
      </w:r>
    </w:p>
    <w:p w14:paraId="7B011CC4"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4B977C5" w14:textId="77777777" w:rsidR="00EC0180" w:rsidRPr="00F25463" w:rsidRDefault="004270F6">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i/>
          <w:iCs/>
          <w:sz w:val="22"/>
          <w:szCs w:val="22"/>
        </w:rPr>
        <w:t>Doc 14 – Affaire de l’île de Palmas (1982) 2 UNRIAA</w:t>
      </w:r>
      <w:r w:rsidRPr="00F25463">
        <w:rPr>
          <w:rFonts w:hAnsi="Times New Roman" w:cs="Times New Roman"/>
          <w:sz w:val="22"/>
          <w:szCs w:val="22"/>
        </w:rPr>
        <w:t>.</w:t>
      </w:r>
    </w:p>
    <w:p w14:paraId="0A34C86A" w14:textId="77777777" w:rsidR="00EC0180" w:rsidRPr="00F25463" w:rsidRDefault="00EC0180">
      <w:pPr>
        <w:pStyle w:val="BodyText"/>
        <w:tabs>
          <w:tab w:val="clear" w:pos="360"/>
          <w:tab w:val="left" w:pos="48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5F94A20"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Palmas est une île unique qui ne fait pas partie d’un groupe de plusieurs îles.  Les USA soutiennent que l’île leur a été cédée par le traité de paix du 10 décembre 1898 conclu à la fin de la guerre hispano- américaine.  De leur côté, les Pays- Bas prétendent posséder et exercer des droits de souveraineté depuis très longtemps sur l’île.  La question est soumise à l’arbitrage.</w:t>
      </w:r>
    </w:p>
    <w:p w14:paraId="679D6944"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CDC4606"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États- Unis allèguent :</w:t>
      </w:r>
    </w:p>
    <w:p w14:paraId="4977125F" w14:textId="77777777" w:rsidR="00EC0180" w:rsidRPr="00F25463" w:rsidRDefault="004270F6" w:rsidP="004270F6">
      <w:pPr>
        <w:pStyle w:val="BodyText"/>
        <w:numPr>
          <w:ilvl w:val="0"/>
          <w:numId w:val="11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En tant que successeur aux droit de l’Espagne sur les Philippines, ils basent leur titre sur la découverte.</w:t>
      </w:r>
    </w:p>
    <w:p w14:paraId="78089735" w14:textId="77777777" w:rsidR="00EC0180" w:rsidRPr="00F25463" w:rsidRDefault="004270F6" w:rsidP="004270F6">
      <w:pPr>
        <w:pStyle w:val="BodyText"/>
        <w:numPr>
          <w:ilvl w:val="0"/>
          <w:numId w:val="11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Palmas fait géographiquement partie du groupe des Philippines et appartient, en vertu du principe de la contiguïté, la puissance ayant la souveraineté sur les Philippines</w:t>
      </w:r>
    </w:p>
    <w:p w14:paraId="7C9DBE24"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946EE0"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Pays- Bas allèguent :</w:t>
      </w:r>
    </w:p>
    <w:p w14:paraId="3B6E74B2" w14:textId="77777777" w:rsidR="00EC0180" w:rsidRPr="00F25463" w:rsidRDefault="004270F6" w:rsidP="004270F6">
      <w:pPr>
        <w:pStyle w:val="BodyText"/>
        <w:numPr>
          <w:ilvl w:val="0"/>
          <w:numId w:val="11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 fait de la découverte par l’Espagne n’est pas prouvé</w:t>
      </w:r>
    </w:p>
    <w:p w14:paraId="177FAB08" w14:textId="77777777" w:rsidR="00EC0180" w:rsidRPr="00F25463" w:rsidRDefault="004270F6" w:rsidP="004270F6">
      <w:pPr>
        <w:pStyle w:val="BodyText"/>
        <w:numPr>
          <w:ilvl w:val="0"/>
          <w:numId w:val="11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Même si l’Espagne avait eu un titre, ce titre aurait disparu</w:t>
      </w:r>
    </w:p>
    <w:p w14:paraId="17D107A2" w14:textId="77777777" w:rsidR="00EC0180" w:rsidRPr="00F25463" w:rsidRDefault="004270F6" w:rsidP="004270F6">
      <w:pPr>
        <w:pStyle w:val="BodyText"/>
        <w:numPr>
          <w:ilvl w:val="0"/>
          <w:numId w:val="11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 principe de la contiguïté est contesté</w:t>
      </w:r>
    </w:p>
    <w:p w14:paraId="491E8E65" w14:textId="77777777" w:rsidR="00EC0180" w:rsidRPr="00F25463" w:rsidRDefault="004270F6" w:rsidP="004270F6">
      <w:pPr>
        <w:pStyle w:val="BodyText"/>
        <w:numPr>
          <w:ilvl w:val="0"/>
          <w:numId w:val="11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Pays- Bas ont possédé et exercé des droits de souveraineté à partir d’une date antérieur à 1648 jusqu’à aujourd’hui.</w:t>
      </w:r>
    </w:p>
    <w:p w14:paraId="3449898A"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42E4C9A"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L’arbitre a décidé que l’île de Palmas appartient aux Pays- Bas.</w:t>
      </w:r>
    </w:p>
    <w:p w14:paraId="7F3D5EC6"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Il a développé la </w:t>
      </w:r>
      <w:r w:rsidRPr="00F25463">
        <w:rPr>
          <w:rFonts w:hAnsi="Times New Roman" w:cs="Times New Roman"/>
          <w:i/>
          <w:iCs/>
          <w:sz w:val="22"/>
          <w:szCs w:val="22"/>
        </w:rPr>
        <w:t>Théorie du droit inter temporel</w:t>
      </w:r>
      <w:r w:rsidRPr="00F25463">
        <w:rPr>
          <w:rFonts w:hAnsi="Times New Roman" w:cs="Times New Roman"/>
          <w:sz w:val="22"/>
          <w:szCs w:val="22"/>
        </w:rPr>
        <w:t xml:space="preserve"> selon laquelle la création d’une droit est appliquée à la lumière du droit existant lors de la création du titre et non à la lumière du droit existant lors de la naissance du litige.</w:t>
      </w:r>
    </w:p>
    <w:p w14:paraId="7069BFEC"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3F4B374"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même si un droit a été validement créé, il faut que ce droit soit maintenu valide par la suite, en suivant les conditions requises par l’évolution du droit.</w:t>
      </w:r>
    </w:p>
    <w:p w14:paraId="7D952036"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D01A4DC"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Au 16</w:t>
      </w:r>
      <w:r w:rsidRPr="00F25463">
        <w:rPr>
          <w:rFonts w:hAnsi="Times New Roman" w:cs="Times New Roman"/>
          <w:sz w:val="22"/>
          <w:szCs w:val="22"/>
          <w:vertAlign w:val="superscript"/>
        </w:rPr>
        <w:t>e</w:t>
      </w:r>
      <w:r w:rsidRPr="00F25463">
        <w:rPr>
          <w:rFonts w:hAnsi="Times New Roman" w:cs="Times New Roman"/>
          <w:sz w:val="22"/>
          <w:szCs w:val="22"/>
        </w:rPr>
        <w:t xml:space="preserve"> siècle, on pouvait acquérir un titre de souveraineté par découverte (comme l’a fait l’Espagne). Cependant, le droit a évolué et au 19</w:t>
      </w:r>
      <w:r w:rsidRPr="00F25463">
        <w:rPr>
          <w:rFonts w:hAnsi="Times New Roman" w:cs="Times New Roman"/>
          <w:sz w:val="22"/>
          <w:szCs w:val="22"/>
          <w:vertAlign w:val="superscript"/>
        </w:rPr>
        <w:t>e</w:t>
      </w:r>
      <w:r w:rsidRPr="00F25463">
        <w:rPr>
          <w:rFonts w:hAnsi="Times New Roman" w:cs="Times New Roman"/>
          <w:sz w:val="22"/>
          <w:szCs w:val="22"/>
        </w:rPr>
        <w:t xml:space="preserve"> siècle, la découverte devait être complétée dans un délai raisonnable par l’occupation effective de la région concernée.  Donc, même si l’Espagne a découvert Palmas, l’Espagne aurait dû occuper l’île puisque l’évolution du droit l’exigeait.  Or, L’Espagne n’a pas agi de la sorte.</w:t>
      </w:r>
    </w:p>
    <w:p w14:paraId="231E85D5"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5010429"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Conclusion : Puisqu’en 1898, l’Espagne n’avait pas un titre parfait sur l’île, il n’a pu que transmettre un titre imparfait aux USA.  Donc puisqu’on ne peut transférer plus de droits que ceux qu’on a et puisque le principe de la contiguïté n’est pas clairement établi en droit international, les USA n’ont pas réussi à montrer un titre supérieur à celui des Pays- Bas.</w:t>
      </w:r>
    </w:p>
    <w:p w14:paraId="7309732E"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C94A731"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Concernant l’occupation effective, l’arbitre indique que c’est une question de Faits.  Ça dépend de l’éloignement de la nature du territoire, de la population etc. Il considère donc que puisque Palmas est éloignés des Pays –Bas, les actes qu’ils posent depuis très longtemps sont suffisant pour le titre.</w:t>
      </w:r>
    </w:p>
    <w:p w14:paraId="7DDEE9D3"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BBD3A7C" w14:textId="77777777" w:rsidR="00EC0180" w:rsidRPr="00F25463" w:rsidRDefault="004270F6">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B). Délimitation et trace des Frontières. (p.66)</w:t>
      </w:r>
    </w:p>
    <w:p w14:paraId="5579AA8C" w14:textId="77777777" w:rsidR="00EC0180" w:rsidRPr="00F25463" w:rsidRDefault="00EC0180">
      <w:pPr>
        <w:pStyle w:val="BodyText"/>
        <w:tabs>
          <w:tab w:val="clear" w:pos="360"/>
          <w:tab w:val="left" w:pos="60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7908E4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40"/>
        <w:rPr>
          <w:rFonts w:hAnsi="Times New Roman" w:cs="Times New Roman"/>
          <w:sz w:val="22"/>
          <w:szCs w:val="22"/>
        </w:rPr>
      </w:pPr>
      <w:r w:rsidRPr="00F25463">
        <w:rPr>
          <w:rFonts w:hAnsi="Times New Roman" w:cs="Times New Roman"/>
          <w:sz w:val="22"/>
          <w:szCs w:val="22"/>
        </w:rPr>
        <w:t>Les frontières sont habituellement tracées par conventions.  On y établit des principes et on les applique sur le terrain.  Les frontières ne relèvent pas du droit coutumier mais plutôt de plusieurs pratiques.</w:t>
      </w:r>
    </w:p>
    <w:p w14:paraId="3FB0312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40"/>
        <w:rPr>
          <w:rFonts w:hAnsi="Times New Roman" w:cs="Times New Roman"/>
          <w:sz w:val="22"/>
          <w:szCs w:val="22"/>
        </w:rPr>
      </w:pPr>
    </w:p>
    <w:p w14:paraId="655BB2A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Frontières naturelles</w:t>
      </w:r>
    </w:p>
    <w:p w14:paraId="09E1EE6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B83228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r w:rsidRPr="00F25463">
        <w:rPr>
          <w:rFonts w:hAnsi="Times New Roman" w:cs="Times New Roman"/>
          <w:sz w:val="22"/>
          <w:szCs w:val="22"/>
        </w:rPr>
        <w:t>Ces Frontières sont quand même délimitées par des lignes :</w:t>
      </w:r>
    </w:p>
    <w:p w14:paraId="30CFA73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ligne du pied des monts</w:t>
      </w:r>
    </w:p>
    <w:p w14:paraId="294E1E6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proofErr w:type="gramStart"/>
      <w:r w:rsidRPr="00F25463">
        <w:rPr>
          <w:rFonts w:hAnsi="Times New Roman" w:cs="Times New Roman"/>
          <w:sz w:val="22"/>
          <w:szCs w:val="22"/>
        </w:rPr>
        <w:t>ligne</w:t>
      </w:r>
      <w:proofErr w:type="gramEnd"/>
      <w:r w:rsidRPr="00F25463">
        <w:rPr>
          <w:rFonts w:hAnsi="Times New Roman" w:cs="Times New Roman"/>
          <w:sz w:val="22"/>
          <w:szCs w:val="22"/>
        </w:rPr>
        <w:t xml:space="preserve"> des plus haut sommets</w:t>
      </w:r>
    </w:p>
    <w:p w14:paraId="34F21FB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ligne du partage des eaux.</w:t>
      </w:r>
    </w:p>
    <w:p w14:paraId="47B709A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p>
    <w:p w14:paraId="53F9BCD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r w:rsidRPr="00F25463">
        <w:rPr>
          <w:rFonts w:hAnsi="Times New Roman" w:cs="Times New Roman"/>
          <w:sz w:val="22"/>
          <w:szCs w:val="22"/>
        </w:rPr>
        <w:t>Ex : La frontière Québec / Labrador</w:t>
      </w:r>
    </w:p>
    <w:p w14:paraId="2ECE129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rPr>
          <w:rFonts w:hAnsi="Times New Roman" w:cs="Times New Roman"/>
          <w:sz w:val="22"/>
          <w:szCs w:val="22"/>
        </w:rPr>
      </w:pPr>
    </w:p>
    <w:p w14:paraId="32AB20B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L’acte constitutionnel de 1791 conférait au Québec les territoires du Nord. Terre-neuve s’y opposait parce qu’elle réclamait les côtes.  On a accordé à Terre- Neuve le territoire côtier du 52</w:t>
      </w:r>
      <w:r w:rsidRPr="00F25463">
        <w:rPr>
          <w:rFonts w:hAnsi="Times New Roman" w:cs="Times New Roman"/>
          <w:sz w:val="22"/>
          <w:szCs w:val="22"/>
          <w:vertAlign w:val="superscript"/>
        </w:rPr>
        <w:t>e</w:t>
      </w:r>
      <w:r w:rsidRPr="00F25463">
        <w:rPr>
          <w:rFonts w:hAnsi="Times New Roman" w:cs="Times New Roman"/>
          <w:sz w:val="22"/>
          <w:szCs w:val="22"/>
        </w:rPr>
        <w:t xml:space="preserve">  parallèle jusqu’au détroit d’Hudson, mais sans définir la profondeur à l’intérieur des terres.  Le Québec alléguait 1 mile à partir de la rive et Terre-Neuve alléguaient la ligne de partage des eaux.  Comme on le sait, on a donné raison à Terre-Neuve.</w:t>
      </w:r>
    </w:p>
    <w:p w14:paraId="6A11DB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2CF55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Frontières artificielles</w:t>
      </w:r>
    </w:p>
    <w:p w14:paraId="39CD0A0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u w:val="single"/>
        </w:rPr>
      </w:pPr>
    </w:p>
    <w:p w14:paraId="0A07BA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Ces Frontières sont créées par conventions</w:t>
      </w:r>
    </w:p>
    <w:p w14:paraId="657DB97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342079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frontière entre le Canada et les États- Unis</w:t>
      </w:r>
    </w:p>
    <w:p w14:paraId="372B010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1905 : Entente sur les eaux navigables</w:t>
      </w:r>
    </w:p>
    <w:p w14:paraId="07D25D9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1908 : traité sur la Frontière Canada / USA</w:t>
      </w:r>
    </w:p>
    <w:p w14:paraId="2C5CC4E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1909 : La commission mixte internationale a départagé la région des Grands- Lacs.  (Ses membres autorisent tous les travaux qui modifient le niveau de ces lacs.  Elle a le pouvoir de décider des problèmes de Front)</w:t>
      </w:r>
    </w:p>
    <w:p w14:paraId="7DFB302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733EA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Frontières basées sur le droit coutumier</w:t>
      </w:r>
    </w:p>
    <w:p w14:paraId="68368712" w14:textId="77777777" w:rsidR="00EC0180" w:rsidRPr="00F25463" w:rsidRDefault="004270F6">
      <w:pPr>
        <w:pStyle w:val="BodyText"/>
        <w:tabs>
          <w:tab w:val="clear" w:pos="360"/>
          <w:tab w:val="left" w:pos="3300"/>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0EE89C8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Ces frontières sont basées sur l’occupation prolongée, pacifique, effective et sans opposition. Le Tribunal ou le juge peut tracer les frontières s’il y a différent</w:t>
      </w:r>
    </w:p>
    <w:p w14:paraId="0CCA8CF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18F8F7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 xml:space="preserve">Doc 15 : Affaire du temple de </w:t>
      </w:r>
      <w:proofErr w:type="spellStart"/>
      <w:r w:rsidRPr="00F25463">
        <w:rPr>
          <w:rFonts w:hAnsi="Times New Roman" w:cs="Times New Roman"/>
          <w:i/>
          <w:iCs/>
          <w:sz w:val="22"/>
          <w:szCs w:val="22"/>
        </w:rPr>
        <w:t>Préah</w:t>
      </w:r>
      <w:proofErr w:type="spellEnd"/>
      <w:r w:rsidRPr="00F25463">
        <w:rPr>
          <w:rFonts w:hAnsi="Times New Roman" w:cs="Times New Roman"/>
          <w:i/>
          <w:iCs/>
          <w:sz w:val="22"/>
          <w:szCs w:val="22"/>
        </w:rPr>
        <w:t xml:space="preserve">- </w:t>
      </w:r>
      <w:proofErr w:type="spellStart"/>
      <w:r w:rsidRPr="00F25463">
        <w:rPr>
          <w:rFonts w:hAnsi="Times New Roman" w:cs="Times New Roman"/>
          <w:i/>
          <w:iCs/>
          <w:sz w:val="22"/>
          <w:szCs w:val="22"/>
        </w:rPr>
        <w:t>Vihéar</w:t>
      </w:r>
      <w:proofErr w:type="spellEnd"/>
      <w:r w:rsidRPr="00F25463">
        <w:rPr>
          <w:rFonts w:hAnsi="Times New Roman" w:cs="Times New Roman"/>
          <w:i/>
          <w:iCs/>
          <w:sz w:val="22"/>
          <w:szCs w:val="22"/>
        </w:rPr>
        <w:t xml:space="preserve"> (Cambodge c. Thaïlande) (1962)</w:t>
      </w:r>
    </w:p>
    <w:p w14:paraId="0B80967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F19F85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 temple s’élève sur un pic dans la chaîne de montagnes séparant le Cambodge de la Thaïlande.  En 1904, par un traité entre la France et le Siam (ancien nom de la Thaïlande), on établi le tracé de la Frontière selon la ligne du partage des eaux. La Commission mixte international a alors pour mission de tracer cette Frontière sur le terrain cependant, elle arrête son travail en 1907.  La Thaïlande demande donc à une équipe française de continuer le travail, de continuer et de publier les cartes.  Sur l’une des cartes, le temple se trouve en territoire cambodgien.  La Thaïlande réclame ce temple sur son territoire, et ce, 50 ans après l’émission des cartes.</w:t>
      </w:r>
    </w:p>
    <w:p w14:paraId="02595E5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9856B6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Décision : Le Temple est situé en territoire cambodgien.</w:t>
      </w:r>
    </w:p>
    <w:p w14:paraId="4E75230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ECED77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Thaïlande alléguait :</w:t>
      </w:r>
    </w:p>
    <w:p w14:paraId="602D6C2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cartes françaises ne sont pas valides parce qu’elle ne suivent pas la ligne du partage des eaux.</w:t>
      </w:r>
    </w:p>
    <w:p w14:paraId="499A6EA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carte erronée a été accepté par erreur parce qu’elle croyait qu’elle respectait la ligne du partage des eaux.</w:t>
      </w:r>
    </w:p>
    <w:p w14:paraId="4492F04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417B85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Selon la CIJ, même si la carte ne respecte pas la ligne du partage des eaux, la Thaïlande ne peut refuser la carte parce qu’en n’émettant aucune opposition pendant 50 ans, le Cambodge a cru en toute bonne foi que la Thaïlande avait accepté la carte.  De plus, l’erreur ne peut être invoquée par une partie si elle a contribué à l’erreur par sa conduite.</w:t>
      </w:r>
    </w:p>
    <w:p w14:paraId="2D06D8F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ABD3D0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 Le cas des régions polaires</w:t>
      </w:r>
    </w:p>
    <w:p w14:paraId="48DB77E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693E00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L’Antarctique est un continent.  Plusieurs États en réclament des secteurs.  (</w:t>
      </w:r>
      <w:proofErr w:type="gramStart"/>
      <w:r w:rsidRPr="00F25463">
        <w:rPr>
          <w:rFonts w:hAnsi="Times New Roman" w:cs="Times New Roman"/>
          <w:sz w:val="22"/>
          <w:szCs w:val="22"/>
        </w:rPr>
        <w:t>ex</w:t>
      </w:r>
      <w:proofErr w:type="gramEnd"/>
      <w:r w:rsidRPr="00F25463">
        <w:rPr>
          <w:rFonts w:hAnsi="Times New Roman" w:cs="Times New Roman"/>
          <w:sz w:val="22"/>
          <w:szCs w:val="22"/>
        </w:rPr>
        <w:t xml:space="preserve"> : Argentine, France, Norvège, Royaume- Uni, Chili, etc.). Le Royaume- Uni allègue la découverte complétée par l’occupation effective tandis que l’Argentine allègue la </w:t>
      </w:r>
      <w:proofErr w:type="spellStart"/>
      <w:r w:rsidRPr="00F25463">
        <w:rPr>
          <w:rFonts w:hAnsi="Times New Roman" w:cs="Times New Roman"/>
          <w:sz w:val="22"/>
          <w:szCs w:val="22"/>
        </w:rPr>
        <w:t>contiguité</w:t>
      </w:r>
      <w:proofErr w:type="spellEnd"/>
      <w:r w:rsidRPr="00F25463">
        <w:rPr>
          <w:rFonts w:hAnsi="Times New Roman" w:cs="Times New Roman"/>
          <w:sz w:val="22"/>
          <w:szCs w:val="22"/>
        </w:rPr>
        <w:t xml:space="preserve"> par analogie géologique.</w:t>
      </w:r>
    </w:p>
    <w:p w14:paraId="1205C00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1A4F72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En 1959, le traité sur l’Antarctique est conclu entre 12 États.  Il entre en vigueur en 1961 et se termine en 1991. (</w:t>
      </w:r>
      <w:proofErr w:type="gramStart"/>
      <w:r w:rsidRPr="00F25463">
        <w:rPr>
          <w:rFonts w:hAnsi="Times New Roman" w:cs="Times New Roman"/>
          <w:sz w:val="22"/>
          <w:szCs w:val="22"/>
        </w:rPr>
        <w:t>quoiqu’il</w:t>
      </w:r>
      <w:proofErr w:type="gramEnd"/>
      <w:r w:rsidRPr="00F25463">
        <w:rPr>
          <w:rFonts w:hAnsi="Times New Roman" w:cs="Times New Roman"/>
          <w:sz w:val="22"/>
          <w:szCs w:val="22"/>
        </w:rPr>
        <w:t xml:space="preserve"> soit toujours en vigueur pour d’autres motifs). Aujourd’hui, sont partis à ce traité 19 </w:t>
      </w:r>
      <w:r w:rsidRPr="00F25463">
        <w:rPr>
          <w:rFonts w:hAnsi="Times New Roman" w:cs="Times New Roman"/>
          <w:sz w:val="22"/>
          <w:szCs w:val="22"/>
        </w:rPr>
        <w:lastRenderedPageBreak/>
        <w:t>États comme parties consultatives et 33 parties contractantes dont le Canada en 1998.  Seules les parties consultatives peuvent voter en dernier ressort sur les questions relatives à l’Antarctique)</w:t>
      </w:r>
    </w:p>
    <w:p w14:paraId="30AA83D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8916FF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but est d’internationaliser l’Antarctique pour 30 ans. (On voulait le contentieux territorial et non le réaliser).</w:t>
      </w:r>
    </w:p>
    <w:p w14:paraId="1E80D19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F5B6A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4 CA – Les parties demeurent dans l’État où elles se trouvaient lors de la conclusion du traité.</w:t>
      </w:r>
    </w:p>
    <w:p w14:paraId="436C311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A4256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les activités sur l’Antarctique pendant les 30 années ne pourront servir de base à de nouvelles revendications.  La souveraineté sur l’Antarctique est donc suspendue…</w:t>
      </w:r>
    </w:p>
    <w:p w14:paraId="3C3BEFC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269AB4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1 à 5 CA – L’Antarctique ne peut être utilisé qu’à des fins pacifiques.  Les activités militaires y sont donc interdites (ex : manœuvre, essai d’armes, construction de base, etc.</w:t>
      </w:r>
    </w:p>
    <w:p w14:paraId="0ADDDAA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C191FA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Chaque partie consultative peut désigner des observateurs ayant pour mission de s’assurer que les activités sont pacifiques.</w:t>
      </w:r>
    </w:p>
    <w:p w14:paraId="6AE09A0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82776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 traité a bien fonctionné mais il ne prévoyait qui irait les ressources minérales.  En 1981, les parties consultatives et contractantes ont commencé à négocier un régime pour l’exploitation minière de l’Antarctique. Résultat :</w:t>
      </w:r>
    </w:p>
    <w:p w14:paraId="392AA6E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45267A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 convention sur la réglementation des activités relative aux ressources minérales de l’Antarctique (appelée convention de Wellington), conclue en 1988.</w:t>
      </w:r>
    </w:p>
    <w:p w14:paraId="58603DA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F2AE9E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b/>
          <w:bCs/>
          <w:sz w:val="22"/>
          <w:szCs w:val="22"/>
        </w:rPr>
        <w:t>Ses grand principes</w:t>
      </w:r>
      <w:proofErr w:type="gramEnd"/>
      <w:r w:rsidRPr="00F25463">
        <w:rPr>
          <w:rFonts w:hAnsi="Times New Roman" w:cs="Times New Roman"/>
          <w:sz w:val="22"/>
          <w:szCs w:val="22"/>
        </w:rPr>
        <w:t> :</w:t>
      </w:r>
    </w:p>
    <w:p w14:paraId="2C5CAE9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AA1D48D"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 régime de l’exploitation des ressources minières de l’</w:t>
      </w:r>
      <w:r w:rsidR="002B618F" w:rsidRPr="00F25463">
        <w:rPr>
          <w:rFonts w:hAnsi="Times New Roman" w:cs="Times New Roman"/>
          <w:sz w:val="22"/>
          <w:szCs w:val="22"/>
        </w:rPr>
        <w:t>Antarctique</w:t>
      </w:r>
      <w:r w:rsidRPr="00F25463">
        <w:rPr>
          <w:rFonts w:hAnsi="Times New Roman" w:cs="Times New Roman"/>
          <w:sz w:val="22"/>
          <w:szCs w:val="22"/>
        </w:rPr>
        <w:t xml:space="preserve"> est ouvert à tou</w:t>
      </w:r>
      <w:r w:rsidR="002B618F" w:rsidRPr="00F25463">
        <w:rPr>
          <w:rFonts w:hAnsi="Times New Roman" w:cs="Times New Roman"/>
          <w:sz w:val="22"/>
          <w:szCs w:val="22"/>
        </w:rPr>
        <w:t>t</w:t>
      </w:r>
      <w:r w:rsidRPr="00F25463">
        <w:rPr>
          <w:rFonts w:hAnsi="Times New Roman" w:cs="Times New Roman"/>
          <w:sz w:val="22"/>
          <w:szCs w:val="22"/>
        </w:rPr>
        <w:t>es les parties</w:t>
      </w:r>
    </w:p>
    <w:p w14:paraId="2D642A4C"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 ressources miniè</w:t>
      </w:r>
      <w:r w:rsidR="002B618F" w:rsidRPr="00F25463">
        <w:rPr>
          <w:rFonts w:hAnsi="Times New Roman" w:cs="Times New Roman"/>
          <w:sz w:val="22"/>
          <w:szCs w:val="22"/>
        </w:rPr>
        <w:t>res doi</w:t>
      </w:r>
      <w:r w:rsidRPr="00F25463">
        <w:rPr>
          <w:rFonts w:hAnsi="Times New Roman" w:cs="Times New Roman"/>
          <w:sz w:val="22"/>
          <w:szCs w:val="22"/>
        </w:rPr>
        <w:t>vent  être exploitées en tenant compte de l’intérêt de l’humanité.</w:t>
      </w:r>
    </w:p>
    <w:p w14:paraId="76B76FD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64B4B5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1983, l’Assemblée Générale commence à discuter de l’Antarctique.  Les pays non-alignés critiquent le traité de l’</w:t>
      </w:r>
      <w:r w:rsidR="002B618F" w:rsidRPr="00F25463">
        <w:rPr>
          <w:rFonts w:hAnsi="Times New Roman" w:cs="Times New Roman"/>
          <w:sz w:val="22"/>
          <w:szCs w:val="22"/>
        </w:rPr>
        <w:t>Antarctique</w:t>
      </w:r>
      <w:r w:rsidRPr="00F25463">
        <w:rPr>
          <w:rFonts w:hAnsi="Times New Roman" w:cs="Times New Roman"/>
          <w:sz w:val="22"/>
          <w:szCs w:val="22"/>
        </w:rPr>
        <w:t xml:space="preserve"> pour plusieurs raisons :</w:t>
      </w:r>
    </w:p>
    <w:p w14:paraId="41967C0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 traité de 1959 ne correspond plus à la réalité</w:t>
      </w:r>
    </w:p>
    <w:p w14:paraId="4522267D"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Ces États réclament un nouveau régime parce que les décisions sur l’Antarctique ne devraient pas être prises par une minorité mais plutôt par l’ONU ou un organisme relevant de l’ONU.</w:t>
      </w:r>
    </w:p>
    <w:p w14:paraId="4A2B577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Ils sont contre le régime minier car il a été conclu en secret</w:t>
      </w:r>
    </w:p>
    <w:p w14:paraId="7BC8143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L’Antarctique devrait constituer le patrimoine commun de l’humanité.  Ses ressources devraient donc être exploitées pour le bien de l’humanité.</w:t>
      </w:r>
    </w:p>
    <w:p w14:paraId="45BCC94A"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 traité sur l’Antarctique n’est pas vraiment ouvert parce que l’État doit prouver la capacité de conduire des recherches en Antarctique.  (Les pays non-alignés ne sont pas toujours très riches.</w:t>
      </w:r>
    </w:p>
    <w:p w14:paraId="7682FC0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On veut évincer l’Afrique du Sud (à cause de sa politique d’apartheid)</w:t>
      </w:r>
    </w:p>
    <w:p w14:paraId="1A0B010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332CF1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Quant aux partie</w:t>
      </w:r>
      <w:r w:rsidR="002B618F" w:rsidRPr="00F25463">
        <w:rPr>
          <w:rFonts w:hAnsi="Times New Roman" w:cs="Times New Roman"/>
          <w:sz w:val="22"/>
          <w:szCs w:val="22"/>
        </w:rPr>
        <w:t>s</w:t>
      </w:r>
      <w:r w:rsidRPr="00F25463">
        <w:rPr>
          <w:rFonts w:hAnsi="Times New Roman" w:cs="Times New Roman"/>
          <w:sz w:val="22"/>
          <w:szCs w:val="22"/>
        </w:rPr>
        <w:t xml:space="preserve"> consultatives, </w:t>
      </w:r>
      <w:proofErr w:type="gramStart"/>
      <w:r w:rsidRPr="00F25463">
        <w:rPr>
          <w:rFonts w:hAnsi="Times New Roman" w:cs="Times New Roman"/>
          <w:sz w:val="22"/>
          <w:szCs w:val="22"/>
        </w:rPr>
        <w:t>elle ne veulent</w:t>
      </w:r>
      <w:proofErr w:type="gramEnd"/>
      <w:r w:rsidRPr="00F25463">
        <w:rPr>
          <w:rFonts w:hAnsi="Times New Roman" w:cs="Times New Roman"/>
          <w:sz w:val="22"/>
          <w:szCs w:val="22"/>
        </w:rPr>
        <w:t xml:space="preserve"> pas d’un nouveau régime :</w:t>
      </w:r>
    </w:p>
    <w:p w14:paraId="3F3FA0FD"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 traité sur l’Antarctique s’est adapté ; il y a maintenant 33 parties contractantes.</w:t>
      </w:r>
    </w:p>
    <w:p w14:paraId="070FD88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autres États peuvent y adhérer.</w:t>
      </w:r>
    </w:p>
    <w:p w14:paraId="05F1E1D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 traité a été contracté pour protéger autant les États qui avaient des réclamations que ceux qui étaient contre.</w:t>
      </w:r>
    </w:p>
    <w:p w14:paraId="2B71130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BF3AFF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1989, la France et l’Australie s’opposent à</w:t>
      </w:r>
      <w:r w:rsidR="002B618F" w:rsidRPr="00F25463">
        <w:rPr>
          <w:rFonts w:hAnsi="Times New Roman" w:cs="Times New Roman"/>
          <w:sz w:val="22"/>
          <w:szCs w:val="22"/>
        </w:rPr>
        <w:t xml:space="preserve"> la Convention de Wel</w:t>
      </w:r>
      <w:r w:rsidRPr="00F25463">
        <w:rPr>
          <w:rFonts w:hAnsi="Times New Roman" w:cs="Times New Roman"/>
          <w:sz w:val="22"/>
          <w:szCs w:val="22"/>
        </w:rPr>
        <w:t>lington en soumettant qu’ils veulent un parc international sans activité minière</w:t>
      </w:r>
    </w:p>
    <w:p w14:paraId="3EB14D1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2E799C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1991, le Protocole de Madrid sur la protection de l’Antarctique est adopté à l’unanimité. Ce protocole :</w:t>
      </w:r>
    </w:p>
    <w:p w14:paraId="7A03AED3" w14:textId="77777777" w:rsidR="00EC0180" w:rsidRPr="00F25463" w:rsidRDefault="004270F6" w:rsidP="004270F6">
      <w:pPr>
        <w:pStyle w:val="BodyText"/>
        <w:numPr>
          <w:ilvl w:val="0"/>
          <w:numId w:val="113"/>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Prolonge l’application du système de l’Antarctique.</w:t>
      </w:r>
    </w:p>
    <w:p w14:paraId="7A56C9B0" w14:textId="77777777" w:rsidR="00EC0180" w:rsidRPr="00F25463" w:rsidRDefault="004270F6" w:rsidP="004270F6">
      <w:pPr>
        <w:pStyle w:val="BodyText"/>
        <w:numPr>
          <w:ilvl w:val="0"/>
          <w:numId w:val="113"/>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lastRenderedPageBreak/>
        <w:t>Vise spécifiquement la protection de l’environnement contre toute activité pacifique ou non susceptible d’endommager l’environnement (même si les dommages sont mineurs)</w:t>
      </w:r>
    </w:p>
    <w:p w14:paraId="6E845AA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69679E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Un comité formée</w:t>
      </w:r>
      <w:proofErr w:type="gramEnd"/>
      <w:r w:rsidRPr="00F25463">
        <w:rPr>
          <w:rFonts w:hAnsi="Times New Roman" w:cs="Times New Roman"/>
          <w:sz w:val="22"/>
          <w:szCs w:val="22"/>
        </w:rPr>
        <w:t xml:space="preserve"> par les parties consultatives et contractantes est cré</w:t>
      </w:r>
      <w:r w:rsidR="002B618F" w:rsidRPr="00F25463">
        <w:rPr>
          <w:rFonts w:hAnsi="Times New Roman" w:cs="Times New Roman"/>
          <w:sz w:val="22"/>
          <w:szCs w:val="22"/>
        </w:rPr>
        <w:t>é</w:t>
      </w:r>
      <w:r w:rsidRPr="00F25463">
        <w:rPr>
          <w:rFonts w:hAnsi="Times New Roman" w:cs="Times New Roman"/>
          <w:sz w:val="22"/>
          <w:szCs w:val="22"/>
        </w:rPr>
        <w:t xml:space="preserve"> pour protéger l’environnement et il a pour mission de faire des recommandations dans ce sens surveillant l’application du protocole.</w:t>
      </w:r>
    </w:p>
    <w:p w14:paraId="35D0816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B00C2A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Pour modifier le protocole, il faut l’unanimité des parties consultatives. Il y a 5 annexes au traité, un d’elle parles des déchets l’autre du tourisme.</w:t>
      </w:r>
    </w:p>
    <w:p w14:paraId="07394F8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Dans 50 ans (</w:t>
      </w:r>
      <w:proofErr w:type="spellStart"/>
      <w:proofErr w:type="gramStart"/>
      <w:r w:rsidRPr="00F25463">
        <w:rPr>
          <w:rFonts w:hAnsi="Times New Roman" w:cs="Times New Roman"/>
          <w:sz w:val="22"/>
          <w:szCs w:val="22"/>
        </w:rPr>
        <w:t>i,e</w:t>
      </w:r>
      <w:proofErr w:type="spellEnd"/>
      <w:r w:rsidRPr="00F25463">
        <w:rPr>
          <w:rFonts w:hAnsi="Times New Roman" w:cs="Times New Roman"/>
          <w:sz w:val="22"/>
          <w:szCs w:val="22"/>
        </w:rPr>
        <w:t>.</w:t>
      </w:r>
      <w:proofErr w:type="gramEnd"/>
      <w:r w:rsidRPr="00F25463">
        <w:rPr>
          <w:rFonts w:hAnsi="Times New Roman" w:cs="Times New Roman"/>
          <w:sz w:val="22"/>
          <w:szCs w:val="22"/>
        </w:rPr>
        <w:t xml:space="preserve"> après la fin du protocole), les amendements se feront par majorité des parties contractantes plus le ¾ des parties consultatives membres en 1991. </w:t>
      </w:r>
    </w:p>
    <w:p w14:paraId="3CAC980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4502D6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L’Arctique</w:t>
      </w:r>
    </w:p>
    <w:p w14:paraId="52EB072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7F817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Contrairement à l’Antarctique qui est un continent, l’Arctique est constitué :</w:t>
      </w:r>
    </w:p>
    <w:p w14:paraId="3F95D76B" w14:textId="77777777" w:rsidR="00EC0180" w:rsidRPr="00F25463" w:rsidRDefault="004270F6" w:rsidP="004270F6">
      <w:pPr>
        <w:pStyle w:val="BodyText"/>
        <w:numPr>
          <w:ilvl w:val="0"/>
          <w:numId w:val="11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d’un bassin maritime gelé</w:t>
      </w:r>
    </w:p>
    <w:p w14:paraId="7275F803" w14:textId="77777777" w:rsidR="00EC0180" w:rsidRPr="00F25463" w:rsidRDefault="004270F6" w:rsidP="004270F6">
      <w:pPr>
        <w:pStyle w:val="BodyText"/>
        <w:numPr>
          <w:ilvl w:val="0"/>
          <w:numId w:val="11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d’un archipel d’îles</w:t>
      </w:r>
    </w:p>
    <w:p w14:paraId="32B88A9E" w14:textId="77777777" w:rsidR="00EC0180" w:rsidRPr="00F25463" w:rsidRDefault="004270F6" w:rsidP="004270F6">
      <w:pPr>
        <w:pStyle w:val="BodyText"/>
        <w:numPr>
          <w:ilvl w:val="0"/>
          <w:numId w:val="11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d’une portion de continent</w:t>
      </w:r>
    </w:p>
    <w:p w14:paraId="6CAAAF3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B11507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 Canada réclame sa souveraineté sur </w:t>
      </w:r>
      <w:proofErr w:type="gramStart"/>
      <w:r w:rsidRPr="00F25463">
        <w:rPr>
          <w:rFonts w:hAnsi="Times New Roman" w:cs="Times New Roman"/>
          <w:sz w:val="22"/>
          <w:szCs w:val="22"/>
        </w:rPr>
        <w:t>la parties</w:t>
      </w:r>
      <w:proofErr w:type="gramEnd"/>
      <w:r w:rsidRPr="00F25463">
        <w:rPr>
          <w:rFonts w:hAnsi="Times New Roman" w:cs="Times New Roman"/>
          <w:sz w:val="22"/>
          <w:szCs w:val="22"/>
        </w:rPr>
        <w:t xml:space="preserve"> de l’arctique alléguant 2 thèses :</w:t>
      </w:r>
    </w:p>
    <w:p w14:paraId="12498E2D" w14:textId="77777777" w:rsidR="00EC0180" w:rsidRPr="00F25463" w:rsidRDefault="004270F6" w:rsidP="004270F6">
      <w:pPr>
        <w:pStyle w:val="BodyText"/>
        <w:numPr>
          <w:ilvl w:val="0"/>
          <w:numId w:val="11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La </w:t>
      </w:r>
      <w:proofErr w:type="spellStart"/>
      <w:r w:rsidRPr="00F25463">
        <w:rPr>
          <w:rFonts w:hAnsi="Times New Roman" w:cs="Times New Roman"/>
          <w:sz w:val="22"/>
          <w:szCs w:val="22"/>
        </w:rPr>
        <w:t>contiguité</w:t>
      </w:r>
      <w:proofErr w:type="spellEnd"/>
      <w:r w:rsidRPr="00F25463">
        <w:rPr>
          <w:rFonts w:hAnsi="Times New Roman" w:cs="Times New Roman"/>
          <w:sz w:val="22"/>
          <w:szCs w:val="22"/>
        </w:rPr>
        <w:t xml:space="preserve"> par la théorie des secteurs</w:t>
      </w:r>
    </w:p>
    <w:p w14:paraId="2AE001D5" w14:textId="77777777" w:rsidR="00EC0180" w:rsidRPr="00F25463" w:rsidRDefault="004270F6" w:rsidP="004270F6">
      <w:pPr>
        <w:pStyle w:val="BodyText"/>
        <w:numPr>
          <w:ilvl w:val="0"/>
          <w:numId w:val="11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La souveraineté sur la base d’un titre historique</w:t>
      </w:r>
    </w:p>
    <w:p w14:paraId="6EB305A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4ED614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1BA2A9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thèse de la contiguïté par la théorie des secteurs</w:t>
      </w:r>
    </w:p>
    <w:p w14:paraId="5E00294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73DA8B9" w14:textId="77777777" w:rsidR="00EC0180" w:rsidRPr="00F25463" w:rsidRDefault="002B618F">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noProof/>
          <w:lang w:val="en-US" w:eastAsia="en-US"/>
        </w:rPr>
        <mc:AlternateContent>
          <mc:Choice Requires="wps">
            <w:drawing>
              <wp:anchor distT="57150" distB="57150" distL="57150" distR="57150" simplePos="0" relativeHeight="251665408" behindDoc="0" locked="0" layoutInCell="1" allowOverlap="1" wp14:anchorId="7415FA5C" wp14:editId="0A32873F">
                <wp:simplePos x="0" y="0"/>
                <wp:positionH relativeFrom="page">
                  <wp:posOffset>4043680</wp:posOffset>
                </wp:positionH>
                <wp:positionV relativeFrom="page">
                  <wp:posOffset>5735320</wp:posOffset>
                </wp:positionV>
                <wp:extent cx="914400" cy="571500"/>
                <wp:effectExtent l="19050" t="0" r="19050" b="19050"/>
                <wp:wrapNone/>
                <wp:docPr id="1" name="officeArt object"/>
                <wp:cNvGraphicFramePr/>
                <a:graphic xmlns:a="http://schemas.openxmlformats.org/drawingml/2006/main">
                  <a:graphicData uri="http://schemas.microsoft.com/office/word/2010/wordprocessingShape">
                    <wps:wsp>
                      <wps:cNvSpPr/>
                      <wps:spPr>
                        <a:xfrm>
                          <a:off x="0" y="0"/>
                          <a:ext cx="914400" cy="571500"/>
                        </a:xfrm>
                        <a:custGeom>
                          <a:avLst/>
                          <a:gdLst/>
                          <a:ahLst/>
                          <a:cxnLst>
                            <a:cxn ang="0">
                              <a:pos x="wd2" y="hd2"/>
                            </a:cxn>
                            <a:cxn ang="5400000">
                              <a:pos x="wd2" y="hd2"/>
                            </a:cxn>
                            <a:cxn ang="10800000">
                              <a:pos x="wd2" y="hd2"/>
                            </a:cxn>
                            <a:cxn ang="16200000">
                              <a:pos x="wd2" y="hd2"/>
                            </a:cxn>
                          </a:cxnLst>
                          <a:rect l="0" t="0" r="r" b="b"/>
                          <a:pathLst>
                            <a:path w="19679" h="19679" extrusionOk="0">
                              <a:moveTo>
                                <a:pt x="16796" y="2881"/>
                              </a:moveTo>
                              <a:cubicBezTo>
                                <a:pt x="20638" y="6724"/>
                                <a:pt x="20638" y="12953"/>
                                <a:pt x="16796" y="16796"/>
                              </a:cubicBezTo>
                              <a:cubicBezTo>
                                <a:pt x="12953" y="20638"/>
                                <a:pt x="6724" y="20638"/>
                                <a:pt x="2881" y="16796"/>
                              </a:cubicBezTo>
                              <a:cubicBezTo>
                                <a:pt x="-961" y="12953"/>
                                <a:pt x="-961" y="6724"/>
                                <a:pt x="2881" y="2881"/>
                              </a:cubicBezTo>
                              <a:cubicBezTo>
                                <a:pt x="6724" y="-961"/>
                                <a:pt x="12953" y="-961"/>
                                <a:pt x="16796" y="2881"/>
                              </a:cubicBezTo>
                            </a:path>
                          </a:pathLst>
                        </a:custGeom>
                        <a:solidFill>
                          <a:srgbClr val="FFFFFF"/>
                        </a:solid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txbx>
                        <w:txbxContent>
                          <w:p w14:paraId="7545F7CB" w14:textId="77777777" w:rsidR="00854C0C" w:rsidRDefault="00854C0C">
                            <w:pPr>
                              <w:tabs>
                                <w:tab w:val="left" w:pos="708"/>
                                <w:tab w:val="left" w:pos="1416"/>
                              </w:tabs>
                            </w:pP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officeArt object" o:spid="_x0000_s1026" style="position:absolute;left:0;text-align:left;margin-left:318.4pt;margin-top:451.6pt;width:1in;height:45pt;z-index:251665408;visibility:visible;mso-wrap-style:square;mso-wrap-distance-left:4.5pt;mso-wrap-distance-top:4.5pt;mso-wrap-distance-right:4.5pt;mso-wrap-distance-bottom:4.5pt;mso-position-horizontal:absolute;mso-position-horizontal-relative:page;mso-position-vertical:absolute;mso-position-vertical-relative:page;v-text-anchor:top" coordsize="19679,196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" adj="-11796480,,5400" path="m16796,2881v3842,3843,3842,10072,,13915c12953,20638,6724,20638,2881,16796,-961,12953,-961,6724,2881,2881v3843,-3842,10072,-3842,13915,e" strokeweight=".26mm">
                <v:stroke joinstyle="miter"/>
                <v:formulas/>
                <v:path arrowok="t" o:extrusionok="f" o:connecttype="custom" o:connectlocs="457200,285750;457200,285750;457200,285750;457200,285750" o:connectangles="0,90,180,270" textboxrect="0,0,19679,19679"/>
                <v:textbox inset="0,0,0,0">
                  <w:txbxContent>
                    <w:p w:rsidR="002B618F" w:rsidRDefault="002B618F">
                      <w:pPr>
                        <w:tabs>
                          <w:tab w:val="left" w:pos="708"/>
                          <w:tab w:val="left" w:pos="1416"/>
                        </w:tabs>
                      </w:pPr>
                    </w:p>
                  </w:txbxContent>
                </v:textbox>
                <w10:wrap anchorx="page" anchory="page"/>
              </v:shape>
            </w:pict>
          </mc:Fallback>
        </mc:AlternateContent>
      </w:r>
      <w:r w:rsidR="004270F6" w:rsidRPr="00F25463">
        <w:rPr>
          <w:rFonts w:hAnsi="Times New Roman" w:cs="Times New Roman"/>
          <w:sz w:val="22"/>
          <w:szCs w:val="22"/>
        </w:rPr>
        <w:tab/>
        <w:t xml:space="preserve">La théorie des secteurs a été développée en 1907 par le sénateur Poirier.  Elle sert à déterminer la partie de l’Arctique qui appartient au Canada.  Selon cette théorie, tout État qui a un littoral sur l’Arctique devrait automatiquement recevoir au titre de la contiguïté, toutes les terres couvertes et découvertes situées dans un secteur représenté par un triangle dont la base serait le littoral, le sommet, le pôle nord et dont les côtés seraient les méridiens.  Les USA qui voulaient y naviguer et la Norvège s’y sont opposés.  Le Canada </w:t>
      </w:r>
      <w:proofErr w:type="gramStart"/>
      <w:r w:rsidR="004270F6" w:rsidRPr="00F25463">
        <w:rPr>
          <w:rFonts w:hAnsi="Times New Roman" w:cs="Times New Roman"/>
          <w:sz w:val="22"/>
          <w:szCs w:val="22"/>
        </w:rPr>
        <w:t>a</w:t>
      </w:r>
      <w:proofErr w:type="gramEnd"/>
      <w:r w:rsidR="004270F6" w:rsidRPr="00F25463">
        <w:rPr>
          <w:rFonts w:hAnsi="Times New Roman" w:cs="Times New Roman"/>
          <w:sz w:val="22"/>
          <w:szCs w:val="22"/>
        </w:rPr>
        <w:t xml:space="preserve"> développer une seconde théorie.</w:t>
      </w:r>
    </w:p>
    <w:p w14:paraId="237E96B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68348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souveraineté sur la base d’un titre historique</w:t>
      </w:r>
    </w:p>
    <w:p w14:paraId="1AB427A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u w:val="single"/>
        </w:rPr>
      </w:pPr>
    </w:p>
    <w:p w14:paraId="0C61771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firstLine="708"/>
        <w:rPr>
          <w:rFonts w:hAnsi="Times New Roman" w:cs="Times New Roman"/>
          <w:sz w:val="22"/>
          <w:szCs w:val="22"/>
        </w:rPr>
      </w:pPr>
      <w:r w:rsidRPr="00F25463">
        <w:rPr>
          <w:rFonts w:hAnsi="Times New Roman" w:cs="Times New Roman"/>
          <w:sz w:val="22"/>
          <w:szCs w:val="22"/>
        </w:rPr>
        <w:t>En vertu du titre historique selon lequel les Inuits canadiens ont utilisé ce territoire depuis des temps immémoriaux et ce, sans opposition des autres États, le Canada est souverain sur tout l’archipel canadien, incluant toutes les terres, le continent, les îles, la mer et la glace.</w:t>
      </w:r>
    </w:p>
    <w:p w14:paraId="1221EC1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6B268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En 1985, un brise-glace américain, le Polar </w:t>
      </w:r>
      <w:proofErr w:type="spellStart"/>
      <w:r w:rsidRPr="00F25463">
        <w:rPr>
          <w:rFonts w:hAnsi="Times New Roman" w:cs="Times New Roman"/>
          <w:sz w:val="22"/>
          <w:szCs w:val="22"/>
        </w:rPr>
        <w:t>Sea</w:t>
      </w:r>
      <w:proofErr w:type="spellEnd"/>
      <w:r w:rsidRPr="00F25463">
        <w:rPr>
          <w:rFonts w:hAnsi="Times New Roman" w:cs="Times New Roman"/>
          <w:sz w:val="22"/>
          <w:szCs w:val="22"/>
        </w:rPr>
        <w:t>, avait traversé le détroit de l’arctique sans demander la permission du Canada.  En réponse, le gouvernement Mulroney a tracé des lignes délimitant la souveraineté du Canada.</w:t>
      </w:r>
    </w:p>
    <w:p w14:paraId="3BB2637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9E6BD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Depuis 1986, les USA se sont toujours opposés à la réclamation du</w:t>
      </w:r>
      <w:r w:rsidRPr="00F25463">
        <w:rPr>
          <w:rFonts w:hAnsi="Times New Roman" w:cs="Times New Roman"/>
          <w:noProof/>
          <w:lang w:val="en-US" w:eastAsia="en-US"/>
        </w:rPr>
        <mc:AlternateContent>
          <mc:Choice Requires="wps">
            <w:drawing>
              <wp:anchor distT="57150" distB="57150" distL="57150" distR="57150" simplePos="0" relativeHeight="251659264" behindDoc="0" locked="0" layoutInCell="1" allowOverlap="1" wp14:anchorId="4F7B3E0C" wp14:editId="46083B1C">
                <wp:simplePos x="0" y="0"/>
                <wp:positionH relativeFrom="page">
                  <wp:posOffset>796289</wp:posOffset>
                </wp:positionH>
                <wp:positionV relativeFrom="page">
                  <wp:posOffset>6035675</wp:posOffset>
                </wp:positionV>
                <wp:extent cx="838200" cy="0"/>
                <wp:effectExtent l="0" t="0" r="0" b="0"/>
                <wp:wrapNone/>
                <wp:docPr id="1073741827" name="officeArt object"/>
                <wp:cNvGraphicFramePr/>
                <a:graphic xmlns:a="http://schemas.openxmlformats.org/drawingml/2006/main">
                  <a:graphicData uri="http://schemas.microsoft.com/office/word/2010/wordprocessingShape">
                    <wps:wsp>
                      <wps:cNvCnPr/>
                      <wps:spPr>
                        <a:xfrm>
                          <a:off x="0" y="0"/>
                          <a:ext cx="8382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26" style="visibility:visible;position:absolute;margin-left:62.7pt;margin-top:475.2pt;width:66.0pt;height:0.0pt;z-index:251659264;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0288" behindDoc="0" locked="0" layoutInCell="1" allowOverlap="1" wp14:anchorId="44D07877" wp14:editId="0CAA382A">
                <wp:simplePos x="0" y="0"/>
                <wp:positionH relativeFrom="page">
                  <wp:posOffset>2548890</wp:posOffset>
                </wp:positionH>
                <wp:positionV relativeFrom="page">
                  <wp:posOffset>6035675</wp:posOffset>
                </wp:positionV>
                <wp:extent cx="914400" cy="0"/>
                <wp:effectExtent l="0" t="0" r="0" b="0"/>
                <wp:wrapNone/>
                <wp:docPr id="1073741828" name="officeArt object"/>
                <wp:cNvGraphicFramePr/>
                <a:graphic xmlns:a="http://schemas.openxmlformats.org/drawingml/2006/main">
                  <a:graphicData uri="http://schemas.microsoft.com/office/word/2010/wordprocessingShape">
                    <wps:wsp>
                      <wps:cNvCnPr/>
                      <wps:spPr>
                        <a:xfrm>
                          <a:off x="0" y="0"/>
                          <a:ext cx="9144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27" style="visibility:visible;position:absolute;margin-left:200.7pt;margin-top:475.2pt;width:72.0pt;height:0.0pt;z-index:251660288;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1312" behindDoc="0" locked="0" layoutInCell="1" allowOverlap="1" wp14:anchorId="793948F2" wp14:editId="25B053C4">
                <wp:simplePos x="0" y="0"/>
                <wp:positionH relativeFrom="page">
                  <wp:posOffset>1642110</wp:posOffset>
                </wp:positionH>
                <wp:positionV relativeFrom="page">
                  <wp:posOffset>6005195</wp:posOffset>
                </wp:positionV>
                <wp:extent cx="944035" cy="457322"/>
                <wp:effectExtent l="0" t="0" r="0" b="0"/>
                <wp:wrapNone/>
                <wp:docPr id="2" name="officeArt object"/>
                <wp:cNvGraphicFramePr/>
                <a:graphic xmlns:a="http://schemas.openxmlformats.org/drawingml/2006/main">
                  <a:graphicData uri="http://schemas.microsoft.com/office/word/2010/wordprocessingShape">
                    <wps:wsp>
                      <wps:cNvSpPr/>
                      <wps:spPr>
                        <a:xfrm>
                          <a:off x="0" y="0"/>
                          <a:ext cx="944035" cy="457322"/>
                        </a:xfrm>
                        <a:custGeom>
                          <a:avLst/>
                          <a:gdLst/>
                          <a:ahLst/>
                          <a:cxnLst>
                            <a:cxn ang="0">
                              <a:pos x="wd2" y="hd2"/>
                            </a:cxn>
                            <a:cxn ang="5400000">
                              <a:pos x="wd2" y="hd2"/>
                            </a:cxn>
                            <a:cxn ang="10800000">
                              <a:pos x="wd2" y="hd2"/>
                            </a:cxn>
                            <a:cxn ang="16200000">
                              <a:pos x="wd2" y="hd2"/>
                            </a:cxn>
                          </a:cxnLst>
                          <a:rect l="0" t="0" r="r" b="b"/>
                          <a:pathLst>
                            <a:path w="21545" h="20997" extrusionOk="0">
                              <a:moveTo>
                                <a:pt x="0" y="1322"/>
                              </a:moveTo>
                              <a:cubicBezTo>
                                <a:pt x="1787" y="7053"/>
                                <a:pt x="3122" y="13182"/>
                                <a:pt x="4996" y="18808"/>
                              </a:cubicBezTo>
                              <a:cubicBezTo>
                                <a:pt x="5125" y="19186"/>
                                <a:pt x="5448" y="19102"/>
                                <a:pt x="5663" y="19248"/>
                              </a:cubicBezTo>
                              <a:cubicBezTo>
                                <a:pt x="7515" y="20382"/>
                                <a:pt x="9131" y="20676"/>
                                <a:pt x="11090" y="20991"/>
                              </a:cubicBezTo>
                              <a:cubicBezTo>
                                <a:pt x="12318" y="20844"/>
                                <a:pt x="15031" y="21599"/>
                                <a:pt x="16323" y="19248"/>
                              </a:cubicBezTo>
                              <a:cubicBezTo>
                                <a:pt x="17874" y="16415"/>
                                <a:pt x="16883" y="14483"/>
                                <a:pt x="18714" y="13560"/>
                              </a:cubicBezTo>
                              <a:cubicBezTo>
                                <a:pt x="18843" y="12972"/>
                                <a:pt x="19037" y="12426"/>
                                <a:pt x="19144" y="11818"/>
                              </a:cubicBezTo>
                              <a:cubicBezTo>
                                <a:pt x="19338" y="10663"/>
                                <a:pt x="19209" y="9278"/>
                                <a:pt x="19575" y="8312"/>
                              </a:cubicBezTo>
                              <a:cubicBezTo>
                                <a:pt x="20394" y="6150"/>
                                <a:pt x="20027" y="7179"/>
                                <a:pt x="20673" y="5247"/>
                              </a:cubicBezTo>
                              <a:cubicBezTo>
                                <a:pt x="20738" y="4660"/>
                                <a:pt x="20760" y="4030"/>
                                <a:pt x="20889" y="3505"/>
                              </a:cubicBezTo>
                              <a:cubicBezTo>
                                <a:pt x="21040" y="2854"/>
                                <a:pt x="21449" y="2455"/>
                                <a:pt x="21535" y="1742"/>
                              </a:cubicBezTo>
                              <a:cubicBezTo>
                                <a:pt x="21600" y="1175"/>
                                <a:pt x="21320" y="0"/>
                                <a:pt x="21320" y="0"/>
                              </a:cubicBezTo>
                            </a:path>
                          </a:pathLst>
                        </a:cu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txbx>
                        <w:txbxContent>
                          <w:p w14:paraId="707C2616" w14:textId="77777777" w:rsidR="00854C0C" w:rsidRDefault="00854C0C">
                            <w:pPr>
                              <w:tabs>
                                <w:tab w:val="left" w:pos="708"/>
                                <w:tab w:val="left" w:pos="1416"/>
                              </w:tabs>
                            </w:pP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27" style="position:absolute;left:0;text-align:left;margin-left:129.3pt;margin-top:472.85pt;width:74.35pt;height:36pt;z-index:251661312;visibility:visible;mso-wrap-style:square;mso-wrap-distance-left:4.5pt;mso-wrap-distance-top:4.5pt;mso-wrap-distance-right:4.5pt;mso-wrap-distance-bottom:4.5pt;mso-position-horizontal:absolute;mso-position-horizontal-relative:page;mso-position-vertical:absolute;mso-position-vertical-relative:page;v-text-anchor:top" coordsize="21545,2099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" adj="-11796480,,5400" path="m,1322c1787,7053,3122,13182,4996,18808v129,378,452,294,667,440c7515,20382,9131,20676,11090,20991v1228,-147,3941,608,5233,-1743c17874,16415,16883,14483,18714,13560v129,-588,323,-1134,430,-1742c19338,10663,19209,9278,19575,8312v819,-2162,452,-1133,1098,-3065c20738,4660,20760,4030,20889,3505v151,-651,560,-1050,646,-1763c21600,1175,21320,,21320,e" filled="f" strokeweight=".26mm">
                <v:stroke joinstyle="miter"/>
                <v:formulas/>
                <v:path arrowok="t" o:extrusionok="f" o:connecttype="custom" o:connectlocs="472018,228661;472018,228661;472018,228661;472018,228661" o:connectangles="0,90,180,270" textboxrect="0,0,21545,20997"/>
                <v:textbox inset="0,0,0,0">
                  <w:txbxContent>
                    <w:p w:rsidR="002B618F" w:rsidRDefault="002B618F">
                      <w:pPr>
                        <w:tabs>
                          <w:tab w:val="left" w:pos="708"/>
                          <w:tab w:val="left" w:pos="1416"/>
                        </w:tabs>
                      </w:pPr>
                    </w:p>
                  </w:txbxContent>
                </v:textbox>
                <w10:wrap anchorx="page" anchory="page"/>
              </v:shap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2336" behindDoc="0" locked="0" layoutInCell="1" allowOverlap="1" wp14:anchorId="788A56BF" wp14:editId="6E2EE7B4">
                <wp:simplePos x="0" y="0"/>
                <wp:positionH relativeFrom="page">
                  <wp:posOffset>796289</wp:posOffset>
                </wp:positionH>
                <wp:positionV relativeFrom="page">
                  <wp:posOffset>6789419</wp:posOffset>
                </wp:positionV>
                <wp:extent cx="609600" cy="0"/>
                <wp:effectExtent l="0" t="0" r="0" b="0"/>
                <wp:wrapNone/>
                <wp:docPr id="1073741830" name="officeArt object"/>
                <wp:cNvGraphicFramePr/>
                <a:graphic xmlns:a="http://schemas.openxmlformats.org/drawingml/2006/main">
                  <a:graphicData uri="http://schemas.microsoft.com/office/word/2010/wordprocessingShape">
                    <wps:wsp>
                      <wps:cNvCnPr/>
                      <wps:spPr>
                        <a:xfrm>
                          <a:off x="0" y="0"/>
                          <a:ext cx="6096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29" style="visibility:visible;position:absolute;margin-left:62.7pt;margin-top:534.6pt;width:48.0pt;height:0.0pt;z-index:251662336;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3360" behindDoc="0" locked="0" layoutInCell="1" allowOverlap="1" wp14:anchorId="187BCA39" wp14:editId="60099A7D">
                <wp:simplePos x="0" y="0"/>
                <wp:positionH relativeFrom="page">
                  <wp:posOffset>2015489</wp:posOffset>
                </wp:positionH>
                <wp:positionV relativeFrom="page">
                  <wp:posOffset>6789419</wp:posOffset>
                </wp:positionV>
                <wp:extent cx="685800" cy="0"/>
                <wp:effectExtent l="0" t="0" r="0" b="0"/>
                <wp:wrapNone/>
                <wp:docPr id="1073741831" name="officeArt object"/>
                <wp:cNvGraphicFramePr/>
                <a:graphic xmlns:a="http://schemas.openxmlformats.org/drawingml/2006/main">
                  <a:graphicData uri="http://schemas.microsoft.com/office/word/2010/wordprocessingShape">
                    <wps:wsp>
                      <wps:cNvCnPr/>
                      <wps:spPr>
                        <a:xfrm>
                          <a:off x="0" y="0"/>
                          <a:ext cx="6858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0" style="visibility:visible;position:absolute;margin-left:158.7pt;margin-top:534.6pt;width:54.0pt;height:0.0pt;z-index:251663360;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4384" behindDoc="0" locked="0" layoutInCell="1" allowOverlap="1" wp14:anchorId="6B788693" wp14:editId="09CF9517">
                <wp:simplePos x="0" y="0"/>
                <wp:positionH relativeFrom="page">
                  <wp:posOffset>1432560</wp:posOffset>
                </wp:positionH>
                <wp:positionV relativeFrom="page">
                  <wp:posOffset>6787515</wp:posOffset>
                </wp:positionV>
                <wp:extent cx="542925" cy="114300"/>
                <wp:effectExtent l="0" t="0" r="0" b="0"/>
                <wp:wrapNone/>
                <wp:docPr id="3" name="officeArt object"/>
                <wp:cNvGraphicFramePr/>
                <a:graphic xmlns:a="http://schemas.openxmlformats.org/drawingml/2006/main">
                  <a:graphicData uri="http://schemas.microsoft.com/office/word/2010/wordprocessingShape">
                    <wps:wsp>
                      <wps:cNvSpPr/>
                      <wps:spPr>
                        <a:xfrm>
                          <a:off x="0" y="0"/>
                          <a:ext cx="542925" cy="1143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2484" y="3952"/>
                                <a:pt x="3736" y="9957"/>
                                <a:pt x="5313" y="19807"/>
                              </a:cubicBezTo>
                              <a:cubicBezTo>
                                <a:pt x="6199" y="19202"/>
                                <a:pt x="7106" y="19202"/>
                                <a:pt x="7948" y="17992"/>
                              </a:cubicBezTo>
                              <a:cubicBezTo>
                                <a:pt x="8380" y="17409"/>
                                <a:pt x="8640" y="14644"/>
                                <a:pt x="9093" y="14407"/>
                              </a:cubicBezTo>
                              <a:cubicBezTo>
                                <a:pt x="9720" y="14039"/>
                                <a:pt x="10368" y="15724"/>
                                <a:pt x="10994" y="16199"/>
                              </a:cubicBezTo>
                              <a:cubicBezTo>
                                <a:pt x="13046" y="17884"/>
                                <a:pt x="15076" y="18489"/>
                                <a:pt x="17042" y="21600"/>
                              </a:cubicBezTo>
                              <a:cubicBezTo>
                                <a:pt x="18057" y="19202"/>
                                <a:pt x="19159" y="17409"/>
                                <a:pt x="20087" y="14407"/>
                              </a:cubicBezTo>
                              <a:cubicBezTo>
                                <a:pt x="21319" y="10432"/>
                                <a:pt x="20757" y="10800"/>
                                <a:pt x="21599" y="10800"/>
                              </a:cubicBezTo>
                            </a:path>
                          </a:pathLst>
                        </a:cu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txbx>
                        <w:txbxContent>
                          <w:p w14:paraId="2EEF6091" w14:textId="77777777" w:rsidR="00854C0C" w:rsidRDefault="00854C0C">
                            <w:pPr>
                              <w:tabs>
                                <w:tab w:val="left" w:pos="708"/>
                              </w:tabs>
                            </w:pP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28" style="position:absolute;left:0;text-align:left;margin-left:112.8pt;margin-top:534.45pt;width:42.75pt;height:9pt;z-index:251664384;visibility:visible;mso-wrap-style:square;mso-wrap-distance-left:4.5pt;mso-wrap-distance-top:4.5pt;mso-wrap-distance-right:4.5pt;mso-wrap-distance-bottom:4.5pt;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" adj="-11796480,,5400" path="m,c2484,3952,3736,9957,5313,19807v886,-605,1793,-605,2635,-1815c8380,17409,8640,14644,9093,14407v627,-368,1275,1317,1901,1792c13046,17884,15076,18489,17042,21600v1015,-2398,2117,-4191,3045,-7193c21319,10432,20757,10800,21599,10800e" filled="f" strokeweight=".26mm">
                <v:stroke joinstyle="miter"/>
                <v:formulas/>
                <v:path arrowok="t" o:extrusionok="f" o:connecttype="custom" o:connectlocs="271463,57150;271463,57150;271463,57150;271463,57150" o:connectangles="0,90,180,270" textboxrect="0,0,21600,21600"/>
                <v:textbox inset="0,0,0,0">
                  <w:txbxContent>
                    <w:p w:rsidR="002B618F" w:rsidRDefault="002B618F">
                      <w:pPr>
                        <w:tabs>
                          <w:tab w:val="left" w:pos="708"/>
                        </w:tabs>
                      </w:pPr>
                    </w:p>
                  </w:txbxContent>
                </v:textbox>
                <w10:wrap anchorx="page" anchory="page"/>
              </v:shap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6432" behindDoc="0" locked="0" layoutInCell="1" allowOverlap="1" wp14:anchorId="7B97452E" wp14:editId="7545EDE5">
                <wp:simplePos x="0" y="0"/>
                <wp:positionH relativeFrom="page">
                  <wp:posOffset>1634489</wp:posOffset>
                </wp:positionH>
                <wp:positionV relativeFrom="page">
                  <wp:posOffset>9159875</wp:posOffset>
                </wp:positionV>
                <wp:extent cx="533400" cy="0"/>
                <wp:effectExtent l="0" t="0" r="0" b="0"/>
                <wp:wrapNone/>
                <wp:docPr id="1073741834" name="officeArt object"/>
                <wp:cNvGraphicFramePr/>
                <a:graphic xmlns:a="http://schemas.openxmlformats.org/drawingml/2006/main">
                  <a:graphicData uri="http://schemas.microsoft.com/office/word/2010/wordprocessingShape">
                    <wps:wsp>
                      <wps:cNvCnPr/>
                      <wps:spPr>
                        <a:xfrm>
                          <a:off x="0" y="0"/>
                          <a:ext cx="5334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3" style="visibility:visible;position:absolute;margin-left:128.7pt;margin-top:721.2pt;width:42.0pt;height:0.0pt;z-index:251666432;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7456" behindDoc="0" locked="0" layoutInCell="1" allowOverlap="1" wp14:anchorId="16C45185" wp14:editId="04782161">
                <wp:simplePos x="0" y="0"/>
                <wp:positionH relativeFrom="page">
                  <wp:posOffset>2548889</wp:posOffset>
                </wp:positionH>
                <wp:positionV relativeFrom="page">
                  <wp:posOffset>9159875</wp:posOffset>
                </wp:positionV>
                <wp:extent cx="533400" cy="0"/>
                <wp:effectExtent l="0" t="0" r="0" b="0"/>
                <wp:wrapNone/>
                <wp:docPr id="1073741835" name="officeArt object"/>
                <wp:cNvGraphicFramePr/>
                <a:graphic xmlns:a="http://schemas.openxmlformats.org/drawingml/2006/main">
                  <a:graphicData uri="http://schemas.microsoft.com/office/word/2010/wordprocessingShape">
                    <wps:wsp>
                      <wps:cNvCnPr/>
                      <wps:spPr>
                        <a:xfrm>
                          <a:off x="0" y="0"/>
                          <a:ext cx="5334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4" style="visibility:visible;position:absolute;margin-left:200.7pt;margin-top:721.2pt;width:42.0pt;height:0.0pt;z-index:251667456;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68480" behindDoc="0" locked="0" layoutInCell="1" allowOverlap="1" wp14:anchorId="0FA53359" wp14:editId="4FAF9E25">
                <wp:simplePos x="0" y="0"/>
                <wp:positionH relativeFrom="page">
                  <wp:posOffset>2185035</wp:posOffset>
                </wp:positionH>
                <wp:positionV relativeFrom="page">
                  <wp:posOffset>9148444</wp:posOffset>
                </wp:positionV>
                <wp:extent cx="400050" cy="314325"/>
                <wp:effectExtent l="0" t="0" r="0" b="0"/>
                <wp:wrapNone/>
                <wp:docPr id="4" name="officeArt object"/>
                <wp:cNvGraphicFramePr/>
                <a:graphic xmlns:a="http://schemas.openxmlformats.org/drawingml/2006/main">
                  <a:graphicData uri="http://schemas.microsoft.com/office/word/2010/wordprocessingShape">
                    <wps:wsp>
                      <wps:cNvSpPr/>
                      <wps:spPr>
                        <a:xfrm>
                          <a:off x="0" y="0"/>
                          <a:ext cx="400050" cy="31432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cubicBezTo>
                                <a:pt x="1058" y="8121"/>
                                <a:pt x="1857" y="17539"/>
                                <a:pt x="8229" y="21600"/>
                              </a:cubicBezTo>
                              <a:cubicBezTo>
                                <a:pt x="9590" y="21384"/>
                                <a:pt x="11016" y="21384"/>
                                <a:pt x="12333" y="20951"/>
                              </a:cubicBezTo>
                              <a:cubicBezTo>
                                <a:pt x="13759" y="20498"/>
                                <a:pt x="15055" y="19418"/>
                                <a:pt x="16459" y="18986"/>
                              </a:cubicBezTo>
                              <a:cubicBezTo>
                                <a:pt x="16977" y="18316"/>
                                <a:pt x="17582" y="17798"/>
                                <a:pt x="17992" y="17020"/>
                              </a:cubicBezTo>
                              <a:cubicBezTo>
                                <a:pt x="18316" y="16459"/>
                                <a:pt x="18165" y="15573"/>
                                <a:pt x="18511" y="15055"/>
                              </a:cubicBezTo>
                              <a:cubicBezTo>
                                <a:pt x="19072" y="14234"/>
                                <a:pt x="19893" y="13737"/>
                                <a:pt x="20563" y="13089"/>
                              </a:cubicBezTo>
                              <a:cubicBezTo>
                                <a:pt x="21254" y="10519"/>
                                <a:pt x="21600" y="7992"/>
                                <a:pt x="21600" y="5227"/>
                              </a:cubicBezTo>
                            </a:path>
                          </a:pathLst>
                        </a:cu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txbx>
                        <w:txbxContent>
                          <w:p w14:paraId="47B51497" w14:textId="77777777" w:rsidR="00854C0C" w:rsidRDefault="00854C0C"/>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29" style="position:absolute;left:0;text-align:left;margin-left:172.05pt;margin-top:720.35pt;width:31.5pt;height:24.75pt;z-index:251668480;visibility:visible;mso-wrap-style:square;mso-wrap-distance-left:4.5pt;mso-wrap-distance-top:4.5pt;mso-wrap-distance-right:4.5pt;mso-wrap-distance-bottom:4.5pt;mso-position-horizontal:absolute;mso-position-horizontal-relative:page;mso-position-vertical:absolute;mso-position-vertical-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" adj="-11796480,,5400" path="m,c1058,8121,1857,17539,8229,21600v1361,-216,2787,-216,4104,-649c13759,20498,15055,19418,16459,18986v518,-670,1123,-1188,1533,-1966c18316,16459,18165,15573,18511,15055v561,-821,1382,-1318,2052,-1966c21254,10519,21600,7992,21600,5227e" filled="f" strokeweight=".26mm">
                <v:stroke joinstyle="miter"/>
                <v:formulas/>
                <v:path arrowok="t" o:extrusionok="f" o:connecttype="custom" o:connectlocs="200025,157163;200025,157163;200025,157163;200025,157163" o:connectangles="0,90,180,270" textboxrect="0,0,21600,21600"/>
                <v:textbox inset="0,0,0,0">
                  <w:txbxContent>
                    <w:p w:rsidR="002B618F" w:rsidRDefault="002B618F"/>
                  </w:txbxContent>
                </v:textbox>
                <w10:wrap anchorx="page" anchory="page"/>
              </v:shape>
            </w:pict>
          </mc:Fallback>
        </mc:AlternateContent>
      </w:r>
      <w:r w:rsidRPr="00F25463">
        <w:rPr>
          <w:rFonts w:hAnsi="Times New Roman" w:cs="Times New Roman"/>
          <w:sz w:val="22"/>
          <w:szCs w:val="22"/>
        </w:rPr>
        <w:t xml:space="preserve"> Canada sur ces eaux.  Ils allèguent que ce territoire obéit aux règles ordinaire</w:t>
      </w:r>
      <w:r w:rsidR="002B618F" w:rsidRPr="00F25463">
        <w:rPr>
          <w:rFonts w:hAnsi="Times New Roman" w:cs="Times New Roman"/>
          <w:sz w:val="22"/>
          <w:szCs w:val="22"/>
        </w:rPr>
        <w:t>s</w:t>
      </w:r>
      <w:r w:rsidRPr="00F25463">
        <w:rPr>
          <w:rFonts w:hAnsi="Times New Roman" w:cs="Times New Roman"/>
          <w:sz w:val="22"/>
          <w:szCs w:val="22"/>
        </w:rPr>
        <w:t xml:space="preserve"> du droit de la mer.</w:t>
      </w:r>
    </w:p>
    <w:p w14:paraId="699C56B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p>
    <w:p w14:paraId="2DB6D5F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Selon ces règles, chaque île est </w:t>
      </w:r>
      <w:proofErr w:type="spellStart"/>
      <w:r w:rsidRPr="00F25463">
        <w:rPr>
          <w:rFonts w:hAnsi="Times New Roman" w:cs="Times New Roman"/>
          <w:sz w:val="22"/>
          <w:szCs w:val="22"/>
        </w:rPr>
        <w:t>retrounée</w:t>
      </w:r>
      <w:proofErr w:type="spellEnd"/>
      <w:r w:rsidRPr="00F25463">
        <w:rPr>
          <w:rFonts w:hAnsi="Times New Roman" w:cs="Times New Roman"/>
          <w:sz w:val="22"/>
          <w:szCs w:val="22"/>
        </w:rPr>
        <w:t xml:space="preserve"> par une mer territoriale de 12 miles mais le reste des eaux constitue de la haute mer reliée par des détroits internationaux souvent couverts de mer territoriale.  Ces règles permettent le droit de passage en transit où les tiers peuvent passer (p. 126)</w:t>
      </w:r>
    </w:p>
    <w:p w14:paraId="5A3B1C6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BD73A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En janvier 1987, un traité a été conclu entre le Canada et les USA selon lequel les USA s’engagent à demander l’autorisation pour traverser l’arctique mais qui n’équivaut pas à une reconnaissance de la souveraineté du Canada.</w:t>
      </w:r>
    </w:p>
    <w:p w14:paraId="070BD95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C9EA7F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9F81A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p>
    <w:p w14:paraId="0B3CECE9" w14:textId="77777777" w:rsidR="00EC0180" w:rsidRPr="00F25463" w:rsidRDefault="00EC0180">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p>
    <w:p w14:paraId="3B595DF1" w14:textId="77777777" w:rsidR="00EC0180" w:rsidRPr="00F25463" w:rsidRDefault="004270F6">
      <w:pPr>
        <w:pStyle w:val="BodyT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r w:rsidRPr="00F25463">
        <w:rPr>
          <w:rFonts w:hAnsi="Times New Roman" w:cs="Times New Roman"/>
          <w:b/>
          <w:bCs/>
          <w:sz w:val="22"/>
          <w:szCs w:val="22"/>
        </w:rPr>
        <w:t>2. Le territoire (espace maritime)</w:t>
      </w:r>
    </w:p>
    <w:p w14:paraId="6E75C256" w14:textId="77777777" w:rsidR="00EC0180" w:rsidRPr="00F25463" w:rsidRDefault="00EC0180">
      <w:pPr>
        <w:pStyle w:val="BodyText"/>
        <w:tabs>
          <w:tab w:val="clear" w:pos="360"/>
          <w:tab w:val="left" w:pos="60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6AD4AA3" w14:textId="77777777" w:rsidR="00EC0180" w:rsidRPr="00F25463" w:rsidRDefault="004270F6">
      <w:pPr>
        <w:pStyle w:val="BodyText"/>
        <w:tabs>
          <w:tab w:val="clear" w:pos="360"/>
          <w:tab w:val="left" w:pos="60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Le droit maritime tire sa source de la coutume qui remonte au 17</w:t>
      </w:r>
      <w:r w:rsidRPr="00F25463">
        <w:rPr>
          <w:rFonts w:hAnsi="Times New Roman" w:cs="Times New Roman"/>
          <w:sz w:val="22"/>
          <w:szCs w:val="22"/>
          <w:vertAlign w:val="superscript"/>
        </w:rPr>
        <w:t>e</w:t>
      </w:r>
      <w:r w:rsidRPr="00F25463">
        <w:rPr>
          <w:rFonts w:hAnsi="Times New Roman" w:cs="Times New Roman"/>
          <w:sz w:val="22"/>
          <w:szCs w:val="22"/>
        </w:rPr>
        <w:t xml:space="preserve"> siècle. C’est ce droit qui est codifié en 1958 dans 2 conventions, l’une sur la mer territoriale et la zone </w:t>
      </w:r>
      <w:proofErr w:type="spellStart"/>
      <w:r w:rsidRPr="00F25463">
        <w:rPr>
          <w:rFonts w:hAnsi="Times New Roman" w:cs="Times New Roman"/>
          <w:sz w:val="22"/>
          <w:szCs w:val="22"/>
        </w:rPr>
        <w:t>contigue</w:t>
      </w:r>
      <w:proofErr w:type="spellEnd"/>
      <w:r w:rsidRPr="00F25463">
        <w:rPr>
          <w:rFonts w:hAnsi="Times New Roman" w:cs="Times New Roman"/>
          <w:sz w:val="22"/>
          <w:szCs w:val="22"/>
        </w:rPr>
        <w:t>, l’autre sur la haute mer.  Le Canada n’a ratifié que celle sur la haute mer.</w:t>
      </w:r>
    </w:p>
    <w:p w14:paraId="3115308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4F442D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En 1945, le président </w:t>
      </w:r>
      <w:proofErr w:type="spellStart"/>
      <w:r w:rsidRPr="00F25463">
        <w:rPr>
          <w:rFonts w:hAnsi="Times New Roman" w:cs="Times New Roman"/>
          <w:sz w:val="22"/>
          <w:szCs w:val="22"/>
        </w:rPr>
        <w:t>Thruman</w:t>
      </w:r>
      <w:proofErr w:type="spellEnd"/>
      <w:r w:rsidRPr="00F25463">
        <w:rPr>
          <w:rFonts w:hAnsi="Times New Roman" w:cs="Times New Roman"/>
          <w:sz w:val="22"/>
          <w:szCs w:val="22"/>
        </w:rPr>
        <w:t xml:space="preserve"> annonçait officiellement la décision américaine d’assumer la juridiction et le contrôle de son pays sur le plateau continental.  Lors de la conférence de 1958, on a ajouté 2 autres conventions, l’une sur le plateau continental et l’autre sur la pêche et la conservation des ressources biologiques de la haute mer.</w:t>
      </w:r>
    </w:p>
    <w:p w14:paraId="79B47BE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C034D2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Ces conventions comportaient des carences face aux développement technologiques survenus dans le domaine des pêcheries, des transports et de la stratégie militaire.  En 1982, la conférence des Nations sur le droit de la mer adopte une nouvelle convention sur le droit de la mer.  Cette convention entrera en </w:t>
      </w:r>
      <w:proofErr w:type="spellStart"/>
      <w:r w:rsidRPr="00F25463">
        <w:rPr>
          <w:rFonts w:hAnsi="Times New Roman" w:cs="Times New Roman"/>
          <w:sz w:val="22"/>
          <w:szCs w:val="22"/>
        </w:rPr>
        <w:t>vigeur</w:t>
      </w:r>
      <w:proofErr w:type="spellEnd"/>
      <w:r w:rsidRPr="00F25463">
        <w:rPr>
          <w:rFonts w:hAnsi="Times New Roman" w:cs="Times New Roman"/>
          <w:sz w:val="22"/>
          <w:szCs w:val="22"/>
        </w:rPr>
        <w:t xml:space="preserve"> 12 mois après la 60</w:t>
      </w:r>
      <w:r w:rsidRPr="00F25463">
        <w:rPr>
          <w:rFonts w:hAnsi="Times New Roman" w:cs="Times New Roman"/>
          <w:sz w:val="22"/>
          <w:szCs w:val="22"/>
          <w:vertAlign w:val="superscript"/>
        </w:rPr>
        <w:t>e</w:t>
      </w:r>
      <w:r w:rsidRPr="00F25463">
        <w:rPr>
          <w:rFonts w:hAnsi="Times New Roman" w:cs="Times New Roman"/>
          <w:sz w:val="22"/>
          <w:szCs w:val="22"/>
        </w:rPr>
        <w:t xml:space="preserve"> ratification. (</w:t>
      </w:r>
      <w:proofErr w:type="gramStart"/>
      <w:r w:rsidRPr="00F25463">
        <w:rPr>
          <w:rFonts w:hAnsi="Times New Roman" w:cs="Times New Roman"/>
          <w:sz w:val="22"/>
          <w:szCs w:val="22"/>
        </w:rPr>
        <w:t>i.e.</w:t>
      </w:r>
      <w:proofErr w:type="gramEnd"/>
      <w:r w:rsidRPr="00F25463">
        <w:rPr>
          <w:rFonts w:hAnsi="Times New Roman" w:cs="Times New Roman"/>
          <w:sz w:val="22"/>
          <w:szCs w:val="22"/>
        </w:rPr>
        <w:t xml:space="preserve"> en novembre 1994 selon Morissette).  Tout le droit de la mer, ou presque, y est codifié.</w:t>
      </w:r>
    </w:p>
    <w:p w14:paraId="45B3960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58F619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Ces 4 principales sources constituent le droit de la mer :</w:t>
      </w:r>
    </w:p>
    <w:p w14:paraId="38A07A0F" w14:textId="77777777" w:rsidR="00EC0180" w:rsidRPr="00F25463" w:rsidRDefault="004270F6" w:rsidP="004270F6">
      <w:pPr>
        <w:pStyle w:val="BodyText"/>
        <w:numPr>
          <w:ilvl w:val="0"/>
          <w:numId w:val="116"/>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sz w:val="22"/>
          <w:szCs w:val="22"/>
        </w:rPr>
      </w:pPr>
      <w:r w:rsidRPr="00F25463">
        <w:rPr>
          <w:rFonts w:hAnsi="Times New Roman" w:cs="Times New Roman"/>
          <w:sz w:val="22"/>
          <w:szCs w:val="22"/>
        </w:rPr>
        <w:t>Le droit coutumier codifié dans  la convention de 1958</w:t>
      </w:r>
    </w:p>
    <w:p w14:paraId="7F7769DC" w14:textId="77777777" w:rsidR="00EC0180" w:rsidRPr="00F25463" w:rsidRDefault="004270F6" w:rsidP="004270F6">
      <w:pPr>
        <w:pStyle w:val="BodyText"/>
        <w:numPr>
          <w:ilvl w:val="0"/>
          <w:numId w:val="116"/>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sz w:val="22"/>
          <w:szCs w:val="22"/>
        </w:rPr>
      </w:pPr>
      <w:r w:rsidRPr="00F25463">
        <w:rPr>
          <w:rFonts w:hAnsi="Times New Roman" w:cs="Times New Roman"/>
          <w:sz w:val="22"/>
          <w:szCs w:val="22"/>
        </w:rPr>
        <w:t>Les règles développées à partir de 1958</w:t>
      </w:r>
    </w:p>
    <w:p w14:paraId="23252A04" w14:textId="77777777" w:rsidR="00EC0180" w:rsidRPr="00F25463" w:rsidRDefault="004270F6" w:rsidP="004270F6">
      <w:pPr>
        <w:pStyle w:val="BodyText"/>
        <w:numPr>
          <w:ilvl w:val="0"/>
          <w:numId w:val="116"/>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sz w:val="22"/>
          <w:szCs w:val="22"/>
        </w:rPr>
      </w:pPr>
      <w:r w:rsidRPr="00F25463">
        <w:rPr>
          <w:rFonts w:hAnsi="Times New Roman" w:cs="Times New Roman"/>
          <w:sz w:val="22"/>
          <w:szCs w:val="22"/>
        </w:rPr>
        <w:t>Les travaux de la conférence des Nations sur le droit de la mer.</w:t>
      </w:r>
    </w:p>
    <w:p w14:paraId="63C99020" w14:textId="77777777" w:rsidR="00EC0180" w:rsidRPr="00F25463" w:rsidRDefault="004270F6" w:rsidP="004270F6">
      <w:pPr>
        <w:pStyle w:val="BodyText"/>
        <w:numPr>
          <w:ilvl w:val="0"/>
          <w:numId w:val="116"/>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sz w:val="22"/>
          <w:szCs w:val="22"/>
        </w:rPr>
      </w:pPr>
      <w:r w:rsidRPr="00F25463">
        <w:rPr>
          <w:rFonts w:hAnsi="Times New Roman" w:cs="Times New Roman"/>
          <w:sz w:val="22"/>
          <w:szCs w:val="22"/>
        </w:rPr>
        <w:t>La convention de 1982</w:t>
      </w:r>
    </w:p>
    <w:p w14:paraId="46AB101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B9419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Cependant, le droit coutumier est très important étant donné le peu de participation à la ratification.</w:t>
      </w:r>
    </w:p>
    <w:p w14:paraId="6BB5F97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F3136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 xml:space="preserve">Art 5 convention de 1982 : </w:t>
      </w:r>
      <w:r w:rsidRPr="00F25463">
        <w:rPr>
          <w:rFonts w:hAnsi="Times New Roman" w:cs="Times New Roman"/>
          <w:sz w:val="22"/>
          <w:szCs w:val="22"/>
        </w:rPr>
        <w:t>Les eaux Intérieures sont situées sur tout le littoral de l’État et la ligne de base utilisée pour délimiter la mer territoriale</w:t>
      </w:r>
    </w:p>
    <w:p w14:paraId="5E143DE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9983FD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sz w:val="22"/>
          <w:szCs w:val="22"/>
        </w:rPr>
        <w:tab/>
        <w:t xml:space="preserve">Les tribunaux canadiens ont estimé que certaines eaux intérieures relèvent de la compétence provinciale : C’est le cas des eaux intérieur qui appartiennent à la colonie quand elle est devenue province. </w:t>
      </w:r>
      <w:r w:rsidRPr="00F25463">
        <w:rPr>
          <w:rFonts w:hAnsi="Times New Roman" w:cs="Times New Roman"/>
          <w:i/>
          <w:iCs/>
          <w:sz w:val="22"/>
          <w:szCs w:val="22"/>
        </w:rPr>
        <w:t>(</w:t>
      </w:r>
      <w:proofErr w:type="gramStart"/>
      <w:r w:rsidRPr="00F25463">
        <w:rPr>
          <w:rFonts w:hAnsi="Times New Roman" w:cs="Times New Roman"/>
          <w:i/>
          <w:iCs/>
          <w:sz w:val="22"/>
          <w:szCs w:val="22"/>
        </w:rPr>
        <w:t>ex</w:t>
      </w:r>
      <w:proofErr w:type="gramEnd"/>
      <w:r w:rsidRPr="00F25463">
        <w:rPr>
          <w:rFonts w:hAnsi="Times New Roman" w:cs="Times New Roman"/>
          <w:i/>
          <w:iCs/>
          <w:sz w:val="22"/>
          <w:szCs w:val="22"/>
        </w:rPr>
        <w:t> : le lit du détroit de Géorgie appartient à la C-B).</w:t>
      </w:r>
    </w:p>
    <w:p w14:paraId="70D5919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C3F251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On a établit l’existence de lois, de règlements de la Grande-Bretagne et de la colonie indiquant clairement le désir de la C-B d’incorporer ces eaux</w:t>
      </w:r>
    </w:p>
    <w:p w14:paraId="2D7E0DD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en exerçant le pouvoir douanier et/ou fiscal sur ces eaux.</w:t>
      </w:r>
    </w:p>
    <w:p w14:paraId="57E6A77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6B31AF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Les ports font partis des eaux intérieurs.  Quant aux ba</w:t>
      </w:r>
      <w:r w:rsidRPr="00F25463">
        <w:rPr>
          <w:rFonts w:hAnsi="Times New Roman" w:cs="Times New Roman"/>
          <w:noProof/>
          <w:lang w:val="en-US" w:eastAsia="en-US"/>
        </w:rPr>
        <mc:AlternateContent>
          <mc:Choice Requires="wps">
            <w:drawing>
              <wp:anchor distT="57150" distB="57150" distL="57150" distR="57150" simplePos="0" relativeHeight="251669504" behindDoc="0" locked="0" layoutInCell="1" allowOverlap="1" wp14:anchorId="1F52CFDA" wp14:editId="46FCB2F0">
                <wp:simplePos x="0" y="0"/>
                <wp:positionH relativeFrom="page">
                  <wp:posOffset>3234690</wp:posOffset>
                </wp:positionH>
                <wp:positionV relativeFrom="page">
                  <wp:posOffset>4632959</wp:posOffset>
                </wp:positionV>
                <wp:extent cx="762000" cy="0"/>
                <wp:effectExtent l="0" t="0" r="0" b="0"/>
                <wp:wrapNone/>
                <wp:docPr id="1073741837" name="officeArt object"/>
                <wp:cNvGraphicFramePr/>
                <a:graphic xmlns:a="http://schemas.openxmlformats.org/drawingml/2006/main">
                  <a:graphicData uri="http://schemas.microsoft.com/office/word/2010/wordprocessingShape">
                    <wps:wsp>
                      <wps:cNvCnPr/>
                      <wps:spPr>
                        <a:xfrm>
                          <a:off x="0" y="0"/>
                          <a:ext cx="7620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6" style="visibility:visible;position:absolute;margin-left:254.7pt;margin-top:364.8pt;width:60.0pt;height:0.0pt;z-index:251669504;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70528" behindDoc="0" locked="0" layoutInCell="1" allowOverlap="1" wp14:anchorId="67698BBC" wp14:editId="57229060">
                <wp:simplePos x="0" y="0"/>
                <wp:positionH relativeFrom="page">
                  <wp:posOffset>3996690</wp:posOffset>
                </wp:positionH>
                <wp:positionV relativeFrom="page">
                  <wp:posOffset>4427220</wp:posOffset>
                </wp:positionV>
                <wp:extent cx="457200" cy="228600"/>
                <wp:effectExtent l="0" t="0" r="0" b="0"/>
                <wp:wrapNone/>
                <wp:docPr id="1073741838" name="officeArt object"/>
                <wp:cNvGraphicFramePr/>
                <a:graphic xmlns:a="http://schemas.openxmlformats.org/drawingml/2006/main">
                  <a:graphicData uri="http://schemas.microsoft.com/office/word/2010/wordprocessingShape">
                    <wps:wsp>
                      <wps:cNvCnPr/>
                      <wps:spPr>
                        <a:xfrm flipV="1">
                          <a:off x="0" y="0"/>
                          <a:ext cx="457200" cy="22860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7" style="visibility:visible;position:absolute;margin-left:314.7pt;margin-top:348.6pt;width:36.0pt;height:18.0pt;z-index:251670528;mso-position-horizontal:absolute;mso-position-horizontal-relative:page;mso-position-vertical:absolute;mso-position-vertical-relative:page;mso-wrap-distance-left:4.5pt;mso-wrap-distance-top:4.5pt;mso-wrap-distance-right:4.5pt;mso-wrap-distance-bottom:4.5pt;flip:y;">
                <v:fill on="f"/>
                <v:stroke filltype="solid" color="#000000" opacity="100.0%" weight="0.7pt" dashstyle="solid" endcap="flat" joinstyle="round" linestyle="single"/>
                <v:textbox>
                  <w:txbxContent>
                    <w:p>
                      <w:pPr>
                        <w:pStyle w:val="Normal"/>
                        <w:tabs>
                          <w:tab w:val="left" w:pos="708"/>
                        </w:tabs>
                      </w:pPr>
                      <w:r>
                        <w:rPr>
                          <w:color w:val="000000"/>
                          <w:sz w:val="20"/>
                          <w:szCs w:val="20"/>
                        </w:rPr>
                      </w:r>
                    </w:p>
                  </w:txbxContent>
                </v:textbox>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71552" behindDoc="0" locked="0" layoutInCell="1" allowOverlap="1" wp14:anchorId="64098DFC" wp14:editId="5D98F7F4">
                <wp:simplePos x="0" y="0"/>
                <wp:positionH relativeFrom="page">
                  <wp:posOffset>3234690</wp:posOffset>
                </wp:positionH>
                <wp:positionV relativeFrom="page">
                  <wp:posOffset>4724400</wp:posOffset>
                </wp:positionV>
                <wp:extent cx="762000" cy="0"/>
                <wp:effectExtent l="0" t="0" r="0" b="0"/>
                <wp:wrapNone/>
                <wp:docPr id="1073741839" name="officeArt object"/>
                <wp:cNvGraphicFramePr/>
                <a:graphic xmlns:a="http://schemas.openxmlformats.org/drawingml/2006/main">
                  <a:graphicData uri="http://schemas.microsoft.com/office/word/2010/wordprocessingShape">
                    <wps:wsp>
                      <wps:cNvCnPr/>
                      <wps:spPr>
                        <a:xfrm>
                          <a:off x="0" y="0"/>
                          <a:ext cx="7620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8" style="visibility:visible;position:absolute;margin-left:254.7pt;margin-top:372.0pt;width:60.0pt;height:0.0pt;z-index:251671552;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72576" behindDoc="0" locked="0" layoutInCell="1" allowOverlap="1" wp14:anchorId="506D2BB3" wp14:editId="073246A0">
                <wp:simplePos x="0" y="0"/>
                <wp:positionH relativeFrom="page">
                  <wp:posOffset>4072890</wp:posOffset>
                </wp:positionH>
                <wp:positionV relativeFrom="page">
                  <wp:posOffset>4724400</wp:posOffset>
                </wp:positionV>
                <wp:extent cx="304800" cy="114300"/>
                <wp:effectExtent l="0" t="0" r="0" b="0"/>
                <wp:wrapNone/>
                <wp:docPr id="1073741840" name="officeArt object"/>
                <wp:cNvGraphicFramePr/>
                <a:graphic xmlns:a="http://schemas.openxmlformats.org/drawingml/2006/main">
                  <a:graphicData uri="http://schemas.microsoft.com/office/word/2010/wordprocessingShape">
                    <wps:wsp>
                      <wps:cNvCnPr/>
                      <wps:spPr>
                        <a:xfrm>
                          <a:off x="0" y="0"/>
                          <a:ext cx="304800" cy="11430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39" style="visibility:visible;position:absolute;margin-left:320.7pt;margin-top:372.0pt;width:24.0pt;height:9.0pt;z-index:251672576;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v:textbox>
                  <w:txbxContent>
                    <w:p>
                      <w:pPr>
                        <w:pStyle w:val="Normal"/>
                      </w:pPr>
                      <w:r>
                        <w:rPr>
                          <w:color w:val="000000"/>
                          <w:sz w:val="20"/>
                          <w:szCs w:val="20"/>
                        </w:rPr>
                      </w:r>
                    </w:p>
                  </w:txbxContent>
                </v:textbox>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73600" behindDoc="0" locked="0" layoutInCell="1" allowOverlap="1" wp14:anchorId="2ECC1E60" wp14:editId="67B60FD4">
                <wp:simplePos x="0" y="0"/>
                <wp:positionH relativeFrom="page">
                  <wp:posOffset>2472689</wp:posOffset>
                </wp:positionH>
                <wp:positionV relativeFrom="page">
                  <wp:posOffset>4930140</wp:posOffset>
                </wp:positionV>
                <wp:extent cx="685800" cy="0"/>
                <wp:effectExtent l="0" t="0" r="0" b="0"/>
                <wp:wrapNone/>
                <wp:docPr id="1073741841" name="officeArt object"/>
                <wp:cNvGraphicFramePr/>
                <a:graphic xmlns:a="http://schemas.openxmlformats.org/drawingml/2006/main">
                  <a:graphicData uri="http://schemas.microsoft.com/office/word/2010/wordprocessingShape">
                    <wps:wsp>
                      <wps:cNvCnPr/>
                      <wps:spPr>
                        <a:xfrm>
                          <a:off x="0" y="0"/>
                          <a:ext cx="6858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40" style="visibility:visible;position:absolute;margin-left:194.7pt;margin-top:388.2pt;width:54.0pt;height:0.0pt;z-index:251673600;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noProof/>
          <w:lang w:val="en-US" w:eastAsia="en-US"/>
        </w:rPr>
        <mc:AlternateContent>
          <mc:Choice Requires="wps">
            <w:drawing>
              <wp:anchor distT="57150" distB="57150" distL="57150" distR="57150" simplePos="0" relativeHeight="251674624" behindDoc="0" locked="0" layoutInCell="1" allowOverlap="1" wp14:anchorId="4E8A38BE" wp14:editId="27AFAD1D">
                <wp:simplePos x="0" y="0"/>
                <wp:positionH relativeFrom="page">
                  <wp:posOffset>2472689</wp:posOffset>
                </wp:positionH>
                <wp:positionV relativeFrom="page">
                  <wp:posOffset>5022215</wp:posOffset>
                </wp:positionV>
                <wp:extent cx="685800" cy="0"/>
                <wp:effectExtent l="0" t="0" r="0" b="0"/>
                <wp:wrapNone/>
                <wp:docPr id="1073741842" name="officeArt object"/>
                <wp:cNvGraphicFramePr/>
                <a:graphic xmlns:a="http://schemas.openxmlformats.org/drawingml/2006/main">
                  <a:graphicData uri="http://schemas.microsoft.com/office/word/2010/wordprocessingShape">
                    <wps:wsp>
                      <wps:cNvCnPr/>
                      <wps:spPr>
                        <a:xfrm>
                          <a:off x="0" y="0"/>
                          <a:ext cx="685800" cy="0"/>
                        </a:xfrm>
                        <a:prstGeom prst="line">
                          <a:avLst/>
                        </a:prstGeom>
                        <a:noFill/>
                        <a:ln w="9360" cap="flat" cmpd="sng" algn="ctr">
                          <a:solidFill>
                            <a:srgbClr val="000000"/>
                          </a:solidFill>
                          <a:prstDash val="soli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_x0000_s1041" style="visibility:visible;position:absolute;margin-left:194.7pt;margin-top:395.5pt;width:54.0pt;height:0.0pt;z-index:251674624;mso-position-horizontal:absolute;mso-position-horizontal-relative:page;mso-position-vertical:absolute;mso-position-vertical-relative:page;mso-wrap-distance-left:4.5pt;mso-wrap-distance-top:4.5pt;mso-wrap-distance-right:4.5pt;mso-wrap-distance-bottom:4.5pt;">
                <v:fill on="f"/>
                <v:stroke filltype="solid" color="#000000" opacity="100.0%" weight="0.7pt" dashstyle="solid" endcap="flat" joinstyle="round" linestyle="single"/>
                <w10:wrap type="none" side="bothSides" anchorx="page" anchory="page"/>
              </v:line>
            </w:pict>
          </mc:Fallback>
        </mc:AlternateContent>
      </w:r>
      <w:r w:rsidRPr="00F25463">
        <w:rPr>
          <w:rFonts w:hAnsi="Times New Roman" w:cs="Times New Roman"/>
          <w:sz w:val="22"/>
          <w:szCs w:val="22"/>
        </w:rPr>
        <w:t>ies et aux embouchures de fleuves, elle suivent des règles particulières.</w:t>
      </w:r>
    </w:p>
    <w:p w14:paraId="601EE31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Baies</w:t>
      </w:r>
    </w:p>
    <w:p w14:paraId="1BFB471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1E2433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Une baie, en droit international se définit par une pénétration de l’eau dans la terre qui est égale à au moins un demi-cercle ayant pour diamètre la ligne droite tracée à travers son ouverture.</w:t>
      </w:r>
    </w:p>
    <w:p w14:paraId="3039B8B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16F807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de baie en droit international</w:t>
      </w:r>
    </w:p>
    <w:p w14:paraId="1D9F71F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8E35DA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58BC7F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E83772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47F930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D3918D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moins d’un demi cercle NON :</w:t>
      </w:r>
    </w:p>
    <w:p w14:paraId="0279BB2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30DADF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ED7E50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Deux sortes de baies font parties des eaux intérieurs d’un État :</w:t>
      </w:r>
    </w:p>
    <w:p w14:paraId="0B7A1789" w14:textId="77777777" w:rsidR="00EC0180" w:rsidRPr="00F25463" w:rsidRDefault="004270F6" w:rsidP="004270F6">
      <w:pPr>
        <w:pStyle w:val="BodyText"/>
        <w:numPr>
          <w:ilvl w:val="0"/>
          <w:numId w:val="11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baies de faible ouverture</w:t>
      </w:r>
    </w:p>
    <w:p w14:paraId="65E59C03" w14:textId="77777777" w:rsidR="00EC0180" w:rsidRPr="00F25463" w:rsidRDefault="004270F6" w:rsidP="004270F6">
      <w:pPr>
        <w:pStyle w:val="BodyText"/>
        <w:numPr>
          <w:ilvl w:val="0"/>
          <w:numId w:val="11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baies historiques</w:t>
      </w:r>
    </w:p>
    <w:p w14:paraId="349F169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632E0EB" w14:textId="77777777" w:rsidR="00EC0180" w:rsidRPr="00F25463" w:rsidRDefault="004270F6" w:rsidP="004270F6">
      <w:pPr>
        <w:pStyle w:val="BodyText"/>
        <w:numPr>
          <w:ilvl w:val="1"/>
          <w:numId w:val="118"/>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t>Les baies de faible ouverture (art 10 de la convention 1982)</w:t>
      </w:r>
    </w:p>
    <w:p w14:paraId="78EB827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DF8188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i/>
          <w:iCs/>
          <w:sz w:val="22"/>
          <w:szCs w:val="22"/>
        </w:rPr>
      </w:pPr>
      <w:r w:rsidRPr="00F25463">
        <w:rPr>
          <w:rFonts w:hAnsi="Times New Roman" w:cs="Times New Roman"/>
          <w:sz w:val="22"/>
          <w:szCs w:val="22"/>
        </w:rPr>
        <w:t xml:space="preserve">Sous la SDN, en 1930, on a tenté de codifier le droit de la mer.  On y avait proposé que les baies plus grande à 10 miles étaient comprises dans les eaux intérieurs des États.  Certains États y avaient adhéré.  La CIJ a constaté que ce n’était pas dans la coutume.  </w:t>
      </w:r>
      <w:r w:rsidRPr="00F25463">
        <w:rPr>
          <w:rFonts w:hAnsi="Times New Roman" w:cs="Times New Roman"/>
          <w:i/>
          <w:iCs/>
          <w:sz w:val="22"/>
          <w:szCs w:val="22"/>
        </w:rPr>
        <w:t xml:space="preserve">Dans les conventions de 1958 et de 1982, on a ramené la mesure à 24 miles.  Si la baie est plus grande que 24 miles, on trace une ligne délimitant </w:t>
      </w:r>
      <w:proofErr w:type="gramStart"/>
      <w:r w:rsidRPr="00F25463">
        <w:rPr>
          <w:rFonts w:hAnsi="Times New Roman" w:cs="Times New Roman"/>
          <w:i/>
          <w:iCs/>
          <w:sz w:val="22"/>
          <w:szCs w:val="22"/>
        </w:rPr>
        <w:t>les eaux intérieurs</w:t>
      </w:r>
      <w:proofErr w:type="gramEnd"/>
      <w:r w:rsidRPr="00F25463">
        <w:rPr>
          <w:rFonts w:hAnsi="Times New Roman" w:cs="Times New Roman"/>
          <w:i/>
          <w:iCs/>
          <w:sz w:val="22"/>
          <w:szCs w:val="22"/>
        </w:rPr>
        <w:t>.</w:t>
      </w:r>
    </w:p>
    <w:p w14:paraId="31D2712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714AB05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Ex : d’eaux intérieures de 24 miles :</w:t>
      </w:r>
    </w:p>
    <w:p w14:paraId="595CD48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5951F28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37D1A9F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173284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9DDE03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plus de 50 miles on calcule en dedans jusqu’à ce qu’on calcul 24 miles.</w:t>
      </w:r>
    </w:p>
    <w:p w14:paraId="0FEED04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moins de 24 miles : dans le territoire</w:t>
      </w:r>
    </w:p>
    <w:p w14:paraId="57B9319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plus de 24 miles : c’est dans la mer territoriale</w:t>
      </w:r>
    </w:p>
    <w:p w14:paraId="76B0937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F156696" w14:textId="77777777" w:rsidR="00EC0180" w:rsidRPr="00F25463" w:rsidRDefault="004270F6" w:rsidP="004270F6">
      <w:pPr>
        <w:pStyle w:val="BodyText"/>
        <w:numPr>
          <w:ilvl w:val="1"/>
          <w:numId w:val="119"/>
        </w:numPr>
        <w:tabs>
          <w:tab w:val="clear" w:pos="360"/>
          <w:tab w:val="clear" w:pos="1320"/>
          <w:tab w:val="num"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1440"/>
        <w:rPr>
          <w:rFonts w:hAnsi="Times New Roman" w:cs="Times New Roman"/>
          <w:b/>
          <w:bCs/>
          <w:sz w:val="22"/>
          <w:szCs w:val="22"/>
        </w:rPr>
      </w:pPr>
      <w:r w:rsidRPr="00F25463">
        <w:rPr>
          <w:rFonts w:hAnsi="Times New Roman" w:cs="Times New Roman"/>
          <w:b/>
          <w:bCs/>
          <w:sz w:val="22"/>
          <w:szCs w:val="22"/>
        </w:rPr>
        <w:t>Les baies historiques</w:t>
      </w:r>
    </w:p>
    <w:p w14:paraId="230D712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5BB4F0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r>
      <w:r w:rsidRPr="00F25463">
        <w:rPr>
          <w:rFonts w:hAnsi="Times New Roman" w:cs="Times New Roman"/>
          <w:i/>
          <w:iCs/>
          <w:sz w:val="22"/>
          <w:szCs w:val="22"/>
        </w:rPr>
        <w:t>Ce sont des baies entourées par un seul État qui y a exercé sa prérogative étatiques d’une manière paisible, prolongés, publique régulière et ce, sans rencontrer d’opposition de la part des autres États.</w:t>
      </w:r>
      <w:r w:rsidRPr="00F25463">
        <w:rPr>
          <w:rFonts w:hAnsi="Times New Roman" w:cs="Times New Roman"/>
          <w:sz w:val="22"/>
          <w:szCs w:val="22"/>
        </w:rPr>
        <w:t xml:space="preserve"> Cet exercice se fait par l’adoption de lois et de règlements par l’expulsion de bateaux étrangers, par l’exercice de l’autorité fiscale etc… Cet exercice s’apprécie selon l’éloignement, le type de région et sa nature.  Il est cependant certain que de simples déclarations gouvernementales ne sont pas suffisante si elles ne sont pas suivies de mesures concrètes (administrative)</w:t>
      </w:r>
    </w:p>
    <w:p w14:paraId="0DD348D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7D9E014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Ex : de baies historique</w:t>
      </w:r>
    </w:p>
    <w:p w14:paraId="31A4AC5C" w14:textId="77777777" w:rsidR="00EC0180" w:rsidRPr="00F25463" w:rsidRDefault="004270F6" w:rsidP="004270F6">
      <w:pPr>
        <w:pStyle w:val="BodyText"/>
        <w:numPr>
          <w:ilvl w:val="1"/>
          <w:numId w:val="12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La Baie d’Hudson au Canada</w:t>
      </w:r>
    </w:p>
    <w:p w14:paraId="157500B1" w14:textId="77777777" w:rsidR="00EC0180" w:rsidRPr="00F25463" w:rsidRDefault="004270F6" w:rsidP="004270F6">
      <w:pPr>
        <w:pStyle w:val="BodyText"/>
        <w:numPr>
          <w:ilvl w:val="1"/>
          <w:numId w:val="12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La Baie des Chaleur au Canada</w:t>
      </w:r>
    </w:p>
    <w:p w14:paraId="44A853C7" w14:textId="77777777" w:rsidR="00EC0180" w:rsidRPr="00F25463" w:rsidRDefault="004270F6" w:rsidP="004270F6">
      <w:pPr>
        <w:pStyle w:val="BodyText"/>
        <w:numPr>
          <w:ilvl w:val="1"/>
          <w:numId w:val="12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 xml:space="preserve">La Baie Pierre </w:t>
      </w:r>
      <w:proofErr w:type="gramStart"/>
      <w:r w:rsidRPr="00F25463">
        <w:rPr>
          <w:rFonts w:hAnsi="Times New Roman" w:cs="Times New Roman"/>
          <w:sz w:val="22"/>
          <w:szCs w:val="22"/>
        </w:rPr>
        <w:t>de le</w:t>
      </w:r>
      <w:proofErr w:type="gramEnd"/>
      <w:r w:rsidRPr="00F25463">
        <w:rPr>
          <w:rFonts w:hAnsi="Times New Roman" w:cs="Times New Roman"/>
          <w:sz w:val="22"/>
          <w:szCs w:val="22"/>
        </w:rPr>
        <w:t xml:space="preserve"> Grand en URSS qui fait plus de 102 miles d’ouverture</w:t>
      </w:r>
    </w:p>
    <w:p w14:paraId="08A2CC18" w14:textId="77777777" w:rsidR="00EC0180" w:rsidRPr="00F25463" w:rsidRDefault="004270F6" w:rsidP="004270F6">
      <w:pPr>
        <w:pStyle w:val="BodyText"/>
        <w:numPr>
          <w:ilvl w:val="1"/>
          <w:numId w:val="12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La Baie St-Monica aux USA</w:t>
      </w:r>
    </w:p>
    <w:p w14:paraId="687C5D2E" w14:textId="77777777" w:rsidR="00EC0180" w:rsidRPr="00F25463" w:rsidRDefault="004270F6" w:rsidP="004270F6">
      <w:pPr>
        <w:pStyle w:val="BodyText"/>
        <w:numPr>
          <w:ilvl w:val="1"/>
          <w:numId w:val="12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 xml:space="preserve">La Bais de </w:t>
      </w:r>
      <w:proofErr w:type="spellStart"/>
      <w:r w:rsidRPr="00F25463">
        <w:rPr>
          <w:rFonts w:hAnsi="Times New Roman" w:cs="Times New Roman"/>
          <w:sz w:val="22"/>
          <w:szCs w:val="22"/>
        </w:rPr>
        <w:t>Fundi</w:t>
      </w:r>
      <w:proofErr w:type="spellEnd"/>
      <w:r w:rsidRPr="00F25463">
        <w:rPr>
          <w:rFonts w:hAnsi="Times New Roman" w:cs="Times New Roman"/>
          <w:sz w:val="22"/>
          <w:szCs w:val="22"/>
        </w:rPr>
        <w:t xml:space="preserve"> au Canada</w:t>
      </w:r>
    </w:p>
    <w:p w14:paraId="060F8AD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4E783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sz w:val="22"/>
          <w:szCs w:val="22"/>
        </w:rPr>
        <w:t xml:space="preserve">- </w:t>
      </w:r>
      <w:r w:rsidRPr="00F25463">
        <w:rPr>
          <w:rFonts w:hAnsi="Times New Roman" w:cs="Times New Roman"/>
          <w:b/>
          <w:bCs/>
          <w:sz w:val="22"/>
          <w:szCs w:val="22"/>
        </w:rPr>
        <w:t>Les embouchure de fleuves</w:t>
      </w:r>
    </w:p>
    <w:p w14:paraId="666646C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CB5D24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On distingue 2 sortes de fleuves :</w:t>
      </w:r>
    </w:p>
    <w:p w14:paraId="6650B80B" w14:textId="77777777" w:rsidR="00EC0180" w:rsidRPr="00F25463" w:rsidRDefault="004270F6">
      <w:pPr>
        <w:pStyle w:val="BodyText"/>
        <w:tabs>
          <w:tab w:val="clear" w:pos="360"/>
          <w:tab w:val="left" w:pos="1200"/>
          <w:tab w:val="left" w:pos="1920"/>
          <w:tab w:val="left" w:pos="6165"/>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1. Les fleuves qui forment un estuaire                              24 miles vers le fleuve</w:t>
      </w:r>
    </w:p>
    <w:p w14:paraId="41B17E8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jc w:val="center"/>
        <w:rPr>
          <w:rFonts w:hAnsi="Times New Roman" w:cs="Times New Roman"/>
          <w:sz w:val="22"/>
          <w:szCs w:val="22"/>
        </w:rPr>
      </w:pPr>
    </w:p>
    <w:p w14:paraId="514EBBA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2. les fleuves sans estuaires </w:t>
      </w:r>
    </w:p>
    <w:p w14:paraId="5482F17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E76CB6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 Les fleuves qui forment un estuaire</w:t>
      </w:r>
    </w:p>
    <w:p w14:paraId="6E6638C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29E49D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Selon les auteurs, on doit se référer aux règles relatives aux baies pour connaître les limites des eaux intérieures (</w:t>
      </w:r>
      <w:proofErr w:type="spellStart"/>
      <w:proofErr w:type="gramStart"/>
      <w:r w:rsidRPr="00F25463">
        <w:rPr>
          <w:rFonts w:hAnsi="Times New Roman" w:cs="Times New Roman"/>
          <w:i/>
          <w:iCs/>
          <w:sz w:val="22"/>
          <w:szCs w:val="22"/>
        </w:rPr>
        <w:t>i,e</w:t>
      </w:r>
      <w:proofErr w:type="spellEnd"/>
      <w:r w:rsidRPr="00F25463">
        <w:rPr>
          <w:rFonts w:hAnsi="Times New Roman" w:cs="Times New Roman"/>
          <w:i/>
          <w:iCs/>
          <w:sz w:val="22"/>
          <w:szCs w:val="22"/>
        </w:rPr>
        <w:t>.</w:t>
      </w:r>
      <w:proofErr w:type="gramEnd"/>
      <w:r w:rsidRPr="00F25463">
        <w:rPr>
          <w:rFonts w:hAnsi="Times New Roman" w:cs="Times New Roman"/>
          <w:i/>
          <w:iCs/>
          <w:sz w:val="22"/>
          <w:szCs w:val="22"/>
        </w:rPr>
        <w:t xml:space="preserve"> aux règles du 24 miles et des baies historiques</w:t>
      </w:r>
      <w:r w:rsidRPr="00F25463">
        <w:rPr>
          <w:rFonts w:hAnsi="Times New Roman" w:cs="Times New Roman"/>
          <w:sz w:val="22"/>
          <w:szCs w:val="22"/>
        </w:rPr>
        <w:t xml:space="preserve">) </w:t>
      </w:r>
    </w:p>
    <w:p w14:paraId="6D83CBF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435B80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Le Canada réclame comme eaux intérieures historiques le Golfe du St-Laurent et son fleuve.</w:t>
      </w:r>
    </w:p>
    <w:p w14:paraId="4BE1959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835CDB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sz w:val="22"/>
          <w:szCs w:val="22"/>
        </w:rPr>
        <w:lastRenderedPageBreak/>
        <w:t xml:space="preserve">- </w:t>
      </w:r>
      <w:r w:rsidRPr="00F25463">
        <w:rPr>
          <w:rFonts w:hAnsi="Times New Roman" w:cs="Times New Roman"/>
          <w:b/>
          <w:bCs/>
          <w:sz w:val="22"/>
          <w:szCs w:val="22"/>
        </w:rPr>
        <w:t>Les fleuves sans estuaires</w:t>
      </w:r>
    </w:p>
    <w:p w14:paraId="33213D2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D347F1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 qui sépare les eaux intérieures de la mer, c’est la ligne droite passant à travers son embouchure à marée basse.</w:t>
      </w:r>
    </w:p>
    <w:p w14:paraId="01FCD22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5B17D7F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 régime juridique des eaux intérieures</w:t>
      </w:r>
    </w:p>
    <w:p w14:paraId="3CC62EB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9FA6A7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eaux intérieures sont soumises à la compétence de l’État riverain. Elles sont considérées comme des territoires terrestres de l’État.  Cependant, certaines règles coutumières établissent des exceptions selon la classe de navire qui y navigue.</w:t>
      </w:r>
    </w:p>
    <w:p w14:paraId="36D2034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1D3DA2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On classe les bateaux en 2 catégories :</w:t>
      </w:r>
    </w:p>
    <w:p w14:paraId="27643E6B" w14:textId="77777777" w:rsidR="00EC0180" w:rsidRPr="00F25463" w:rsidRDefault="004270F6" w:rsidP="004270F6">
      <w:pPr>
        <w:pStyle w:val="BodyText"/>
        <w:numPr>
          <w:ilvl w:val="0"/>
          <w:numId w:val="12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navires privés (commerciaux ou non)</w:t>
      </w:r>
    </w:p>
    <w:p w14:paraId="4BBB5035" w14:textId="77777777" w:rsidR="00EC0180" w:rsidRPr="00F25463" w:rsidRDefault="004270F6" w:rsidP="004270F6">
      <w:pPr>
        <w:pStyle w:val="BodyText"/>
        <w:numPr>
          <w:ilvl w:val="0"/>
          <w:numId w:val="12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Les navires de guerres </w:t>
      </w:r>
    </w:p>
    <w:p w14:paraId="6C00EA14" w14:textId="77777777" w:rsidR="00EC0180" w:rsidRPr="00F25463" w:rsidRDefault="004270F6" w:rsidP="004270F6">
      <w:pPr>
        <w:pStyle w:val="BodyText"/>
        <w:numPr>
          <w:ilvl w:val="0"/>
          <w:numId w:val="12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 xml:space="preserve">Les navires privés </w:t>
      </w:r>
    </w:p>
    <w:p w14:paraId="7A20DF8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p>
    <w:p w14:paraId="5A2C050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Les navires privés ont un droit de libre accès aux eaux intérieures</w:t>
      </w:r>
      <w:r w:rsidRPr="00F25463">
        <w:rPr>
          <w:rFonts w:hAnsi="Times New Roman" w:cs="Times New Roman"/>
          <w:b/>
          <w:bCs/>
          <w:sz w:val="22"/>
          <w:szCs w:val="22"/>
        </w:rPr>
        <w:t xml:space="preserve">. </w:t>
      </w:r>
      <w:r w:rsidRPr="00F25463">
        <w:rPr>
          <w:rFonts w:hAnsi="Times New Roman" w:cs="Times New Roman"/>
          <w:sz w:val="22"/>
          <w:szCs w:val="22"/>
        </w:rPr>
        <w:t>L’État ne peut lui fermer ses ports qu’à titre exceptionnel et par décision rendu publique pour des motifs de protection sanitaire ou de maintien de l’ordre public</w:t>
      </w:r>
    </w:p>
    <w:p w14:paraId="65C8AB7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5E65CAB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Les navires privés naviguant dans des eaux intérieurs sont entièrement soumis à la compétence civile et pénale de l’État riverain qui prime la compétence de l’État du pavillon.</w:t>
      </w:r>
    </w:p>
    <w:p w14:paraId="021FB9D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16280B6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L’État riverain peut donc arrêter un navire privé et y faire des perquisitions s’il y a eu violation des lois ou des règlements de l’État riverain</w:t>
      </w:r>
    </w:p>
    <w:p w14:paraId="194B042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6DEC304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Note : En pratique la juridiction pénale de l’État riverain ne sera exercée que si l’ordre public du port est menacé ou si l’autorité du navire le demande. (</w:t>
      </w:r>
      <w:proofErr w:type="gramStart"/>
      <w:r w:rsidRPr="00F25463">
        <w:rPr>
          <w:rFonts w:hAnsi="Times New Roman" w:cs="Times New Roman"/>
          <w:sz w:val="22"/>
          <w:szCs w:val="22"/>
        </w:rPr>
        <w:t>cette</w:t>
      </w:r>
      <w:proofErr w:type="gramEnd"/>
      <w:r w:rsidRPr="00F25463">
        <w:rPr>
          <w:rFonts w:hAnsi="Times New Roman" w:cs="Times New Roman"/>
          <w:sz w:val="22"/>
          <w:szCs w:val="22"/>
        </w:rPr>
        <w:t xml:space="preserve"> pratique est appliquée par courtoisie par les pays de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(dont le Canada) mais les pays de droit civil considère cette pratique comme étant une coutume (obligatoire)</w:t>
      </w:r>
    </w:p>
    <w:p w14:paraId="1905E0C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118CEDDD" w14:textId="77777777" w:rsidR="00EC0180" w:rsidRPr="00F25463" w:rsidRDefault="004270F6" w:rsidP="004270F6">
      <w:pPr>
        <w:pStyle w:val="BodyText"/>
        <w:numPr>
          <w:ilvl w:val="0"/>
          <w:numId w:val="12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Les navires de guerres étrangers (immunité comme un État)</w:t>
      </w:r>
    </w:p>
    <w:p w14:paraId="668DFA4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FC711B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Ces navires ont un droit de libre accès aux eaux intérieurs sous réserve d’une notification faite à l’État riverain.  Ils ont l’accès tant que l’État ne décide de leur retirer.</w:t>
      </w:r>
    </w:p>
    <w:p w14:paraId="4300765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03C9036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Note : En vertu de la coutume, le refus d’accès est impossible si le navire de guerre est en péril</w:t>
      </w:r>
    </w:p>
    <w:p w14:paraId="5193924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255F99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Ces navires étant exclusivement soumis à la compétence civil et pénal de l’État du pavillon, l’État riverain ne peut ni arrêter, ni faire de perquisition sur ces navires.  Les navires de guerres peuvent même donnée asile à des réfugiés politiques.</w:t>
      </w:r>
    </w:p>
    <w:p w14:paraId="5F83C54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5D336F7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 xml:space="preserve">Si des navires commettent des délits à terre, l’État riverain peut arrêter les marins s’ils ne sont pas en mission et s’ils sont à terre. Si les marins retournent sur le navire, on devra demander l’extradition ou recourir à des procédures diplomatiques.  En cas de refus, l’État riverain pourra retirer la permission de naviguer dans </w:t>
      </w:r>
      <w:proofErr w:type="gramStart"/>
      <w:r w:rsidRPr="00F25463">
        <w:rPr>
          <w:rFonts w:hAnsi="Times New Roman" w:cs="Times New Roman"/>
          <w:sz w:val="22"/>
          <w:szCs w:val="22"/>
        </w:rPr>
        <w:t>ses eaux intérieurs</w:t>
      </w:r>
      <w:proofErr w:type="gramEnd"/>
      <w:r w:rsidRPr="00F25463">
        <w:rPr>
          <w:rFonts w:hAnsi="Times New Roman" w:cs="Times New Roman"/>
          <w:sz w:val="22"/>
          <w:szCs w:val="22"/>
        </w:rPr>
        <w:t>.</w:t>
      </w:r>
    </w:p>
    <w:p w14:paraId="1948C13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1729144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Ces règles s’appliquent également si un criminel canadien se réfugiait sur un navire étranger.  Cependant, l’État du pavillon aurait un devoir moral de l’extrader…</w:t>
      </w:r>
    </w:p>
    <w:p w14:paraId="1DFCA61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007C8B3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Finalement le navire de guerre doit respecter les lois de l’État riverain relative à la navigation et aux affaires sanitaires, sous peine d’être expulsé ou d’être poursuivis par l’État riverain</w:t>
      </w:r>
    </w:p>
    <w:p w14:paraId="44F55BB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3CBCE0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Résumé :</w:t>
      </w:r>
    </w:p>
    <w:p w14:paraId="0CAAB17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 xml:space="preserve">Eau intérieur : port, baies historique. Les États ont </w:t>
      </w:r>
      <w:proofErr w:type="gramStart"/>
      <w:r w:rsidRPr="00F25463">
        <w:rPr>
          <w:rFonts w:hAnsi="Times New Roman" w:cs="Times New Roman"/>
          <w:sz w:val="22"/>
          <w:szCs w:val="22"/>
        </w:rPr>
        <w:t>le pouvoirs</w:t>
      </w:r>
      <w:proofErr w:type="gramEnd"/>
      <w:r w:rsidRPr="00F25463">
        <w:rPr>
          <w:rFonts w:hAnsi="Times New Roman" w:cs="Times New Roman"/>
          <w:sz w:val="22"/>
          <w:szCs w:val="22"/>
        </w:rPr>
        <w:t xml:space="preserve"> sur ses territoire.  Les bateaux ont droit d’y passer. Sur les bateau de guerre, il y une immunité.</w:t>
      </w:r>
    </w:p>
    <w:p w14:paraId="0B67D9F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A20714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Mer territoriale</w:t>
      </w:r>
      <w:r w:rsidRPr="00F25463">
        <w:rPr>
          <w:rFonts w:hAnsi="Times New Roman" w:cs="Times New Roman"/>
          <w:sz w:val="22"/>
          <w:szCs w:val="22"/>
        </w:rPr>
        <w:t xml:space="preserve"> : au delà des eaux intérieur, sur une distance, vers le large, qu’on va déterminer, </w:t>
      </w:r>
      <w:proofErr w:type="spellStart"/>
      <w:r w:rsidRPr="00F25463">
        <w:rPr>
          <w:rFonts w:hAnsi="Times New Roman" w:cs="Times New Roman"/>
          <w:sz w:val="22"/>
          <w:szCs w:val="22"/>
        </w:rPr>
        <w:t>c-à-d</w:t>
      </w:r>
      <w:proofErr w:type="spellEnd"/>
      <w:r w:rsidRPr="00F25463">
        <w:rPr>
          <w:rFonts w:hAnsi="Times New Roman" w:cs="Times New Roman"/>
          <w:sz w:val="22"/>
          <w:szCs w:val="22"/>
        </w:rPr>
        <w:t>. jusqu’à la 1</w:t>
      </w:r>
      <w:r w:rsidRPr="00F25463">
        <w:rPr>
          <w:rFonts w:hAnsi="Times New Roman" w:cs="Times New Roman"/>
          <w:sz w:val="22"/>
          <w:szCs w:val="22"/>
          <w:vertAlign w:val="superscript"/>
        </w:rPr>
        <w:t>er</w:t>
      </w:r>
      <w:r w:rsidRPr="00F25463">
        <w:rPr>
          <w:rFonts w:hAnsi="Times New Roman" w:cs="Times New Roman"/>
          <w:sz w:val="22"/>
          <w:szCs w:val="22"/>
        </w:rPr>
        <w:t xml:space="preserve"> </w:t>
      </w:r>
      <w:proofErr w:type="spellStart"/>
      <w:r w:rsidRPr="00F25463">
        <w:rPr>
          <w:rFonts w:hAnsi="Times New Roman" w:cs="Times New Roman"/>
          <w:sz w:val="22"/>
          <w:szCs w:val="22"/>
        </w:rPr>
        <w:t>moitier</w:t>
      </w:r>
      <w:proofErr w:type="spellEnd"/>
      <w:r w:rsidRPr="00F25463">
        <w:rPr>
          <w:rFonts w:hAnsi="Times New Roman" w:cs="Times New Roman"/>
          <w:sz w:val="22"/>
          <w:szCs w:val="22"/>
        </w:rPr>
        <w:t xml:space="preserve"> 20</w:t>
      </w:r>
      <w:r w:rsidRPr="00F25463">
        <w:rPr>
          <w:rFonts w:hAnsi="Times New Roman" w:cs="Times New Roman"/>
          <w:sz w:val="22"/>
          <w:szCs w:val="22"/>
          <w:vertAlign w:val="superscript"/>
        </w:rPr>
        <w:t>e</w:t>
      </w:r>
      <w:r w:rsidRPr="00F25463">
        <w:rPr>
          <w:rFonts w:hAnsi="Times New Roman" w:cs="Times New Roman"/>
          <w:sz w:val="22"/>
          <w:szCs w:val="22"/>
        </w:rPr>
        <w:t xml:space="preserve"> siècle, 3 miles.</w:t>
      </w:r>
    </w:p>
    <w:p w14:paraId="39A6874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Les bateau</w:t>
      </w:r>
      <w:proofErr w:type="gramEnd"/>
      <w:r w:rsidRPr="00F25463">
        <w:rPr>
          <w:rFonts w:hAnsi="Times New Roman" w:cs="Times New Roman"/>
          <w:sz w:val="22"/>
          <w:szCs w:val="22"/>
        </w:rPr>
        <w:t xml:space="preserve"> pouvaient venir pêcher proche des côte.</w:t>
      </w:r>
    </w:p>
    <w:p w14:paraId="449FE05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46E62F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En 1958</w:t>
      </w:r>
      <w:r w:rsidRPr="00F25463">
        <w:rPr>
          <w:rFonts w:hAnsi="Times New Roman" w:cs="Times New Roman"/>
          <w:sz w:val="22"/>
          <w:szCs w:val="22"/>
        </w:rPr>
        <w:t> : l’URSS et les pays en voie de développement on voulut l’étendre à 12 miles vue les méthodes de pêches industrielle</w:t>
      </w:r>
    </w:p>
    <w:p w14:paraId="59D867A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5E0CCF5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Dès les années 60,</w:t>
      </w:r>
      <w:r w:rsidRPr="00F25463">
        <w:rPr>
          <w:rFonts w:hAnsi="Times New Roman" w:cs="Times New Roman"/>
          <w:sz w:val="22"/>
          <w:szCs w:val="22"/>
        </w:rPr>
        <w:t xml:space="preserve"> la mer territoriale de 12 miles fut </w:t>
      </w:r>
      <w:proofErr w:type="gramStart"/>
      <w:r w:rsidRPr="00F25463">
        <w:rPr>
          <w:rFonts w:hAnsi="Times New Roman" w:cs="Times New Roman"/>
          <w:sz w:val="22"/>
          <w:szCs w:val="22"/>
        </w:rPr>
        <w:t>accepté</w:t>
      </w:r>
      <w:proofErr w:type="gramEnd"/>
      <w:r w:rsidRPr="00F25463">
        <w:rPr>
          <w:rFonts w:hAnsi="Times New Roman" w:cs="Times New Roman"/>
          <w:sz w:val="22"/>
          <w:szCs w:val="22"/>
        </w:rPr>
        <w:t xml:space="preserve"> par la convention de 1982. (</w:t>
      </w:r>
      <w:proofErr w:type="gramStart"/>
      <w:r w:rsidRPr="00F25463">
        <w:rPr>
          <w:rFonts w:hAnsi="Times New Roman" w:cs="Times New Roman"/>
          <w:sz w:val="22"/>
          <w:szCs w:val="22"/>
        </w:rPr>
        <w:t>par</w:t>
      </w:r>
      <w:proofErr w:type="gramEnd"/>
      <w:r w:rsidRPr="00F25463">
        <w:rPr>
          <w:rFonts w:hAnsi="Times New Roman" w:cs="Times New Roman"/>
          <w:sz w:val="22"/>
          <w:szCs w:val="22"/>
        </w:rPr>
        <w:t xml:space="preserve"> plus de 100 États dont le Canada)</w:t>
      </w:r>
    </w:p>
    <w:p w14:paraId="2C7B823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93E6B1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b/>
          <w:bCs/>
          <w:sz w:val="22"/>
          <w:szCs w:val="22"/>
        </w:rPr>
        <w:t>La limite intérieur</w:t>
      </w:r>
      <w:proofErr w:type="gramEnd"/>
      <w:r w:rsidRPr="00F25463">
        <w:rPr>
          <w:rFonts w:hAnsi="Times New Roman" w:cs="Times New Roman"/>
          <w:b/>
          <w:bCs/>
          <w:sz w:val="22"/>
          <w:szCs w:val="22"/>
        </w:rPr>
        <w:t xml:space="preserve"> de la mer territoriale</w:t>
      </w:r>
      <w:r w:rsidRPr="00F25463">
        <w:rPr>
          <w:rFonts w:hAnsi="Times New Roman" w:cs="Times New Roman"/>
          <w:sz w:val="22"/>
          <w:szCs w:val="22"/>
        </w:rPr>
        <w:t xml:space="preserve"> : </w:t>
      </w:r>
    </w:p>
    <w:p w14:paraId="0AA0252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la laisse de basse mer ; la ligne imaginaire que laisse la mer à marée basse. </w:t>
      </w:r>
    </w:p>
    <w:p w14:paraId="3CBE3F68"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La lignes de base droites ; ligne droites reliant les points </w:t>
      </w:r>
      <w:proofErr w:type="spellStart"/>
      <w:r w:rsidRPr="00F25463">
        <w:rPr>
          <w:rFonts w:hAnsi="Times New Roman" w:cs="Times New Roman"/>
          <w:sz w:val="22"/>
          <w:szCs w:val="22"/>
        </w:rPr>
        <w:t>extrèmes</w:t>
      </w:r>
      <w:proofErr w:type="spellEnd"/>
      <w:r w:rsidRPr="00F25463">
        <w:rPr>
          <w:rFonts w:hAnsi="Times New Roman" w:cs="Times New Roman"/>
          <w:sz w:val="22"/>
          <w:szCs w:val="22"/>
        </w:rPr>
        <w:t xml:space="preserve"> du territoire.</w:t>
      </w:r>
    </w:p>
    <w:p w14:paraId="6993446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p>
    <w:p w14:paraId="51B3480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sz w:val="22"/>
          <w:szCs w:val="22"/>
        </w:rPr>
        <w:t xml:space="preserve">Doc 16- </w:t>
      </w:r>
      <w:r w:rsidRPr="00F25463">
        <w:rPr>
          <w:rFonts w:hAnsi="Times New Roman" w:cs="Times New Roman"/>
          <w:i/>
          <w:iCs/>
          <w:sz w:val="22"/>
          <w:szCs w:val="22"/>
        </w:rPr>
        <w:t>Affaire des pêcheries anglo-norvégiennes (Royaume-Uni vs. Norvège)</w:t>
      </w:r>
    </w:p>
    <w:p w14:paraId="65DE377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p>
    <w:p w14:paraId="19038A2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Pour la </w:t>
      </w:r>
      <w:proofErr w:type="spellStart"/>
      <w:r w:rsidRPr="00F25463">
        <w:rPr>
          <w:rFonts w:hAnsi="Times New Roman" w:cs="Times New Roman"/>
          <w:sz w:val="22"/>
          <w:szCs w:val="22"/>
        </w:rPr>
        <w:t>norvège</w:t>
      </w:r>
      <w:proofErr w:type="spellEnd"/>
      <w:r w:rsidRPr="00F25463">
        <w:rPr>
          <w:rFonts w:hAnsi="Times New Roman" w:cs="Times New Roman"/>
          <w:sz w:val="22"/>
          <w:szCs w:val="22"/>
        </w:rPr>
        <w:t xml:space="preserve"> ; les marques sont compliqués, donc ont décidé par décret de tracer sa mer à partir de ligne de basse droite qu’elle a choisi sur sa laisse de basse mer. C’est à partir de cela que la mer territoriale va être tracé. </w:t>
      </w:r>
    </w:p>
    <w:p w14:paraId="37D8E36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Royaume-Uni : contestait la validité des lignes de délimitation des zones de pêche </w:t>
      </w:r>
      <w:proofErr w:type="spellStart"/>
      <w:r w:rsidRPr="00F25463">
        <w:rPr>
          <w:rFonts w:hAnsi="Times New Roman" w:cs="Times New Roman"/>
          <w:sz w:val="22"/>
          <w:szCs w:val="22"/>
        </w:rPr>
        <w:t>novégienne</w:t>
      </w:r>
      <w:proofErr w:type="spellEnd"/>
      <w:r w:rsidRPr="00F25463">
        <w:rPr>
          <w:rFonts w:hAnsi="Times New Roman" w:cs="Times New Roman"/>
          <w:sz w:val="22"/>
          <w:szCs w:val="22"/>
        </w:rPr>
        <w:t xml:space="preserve">, pour le motif que les lignes droites tirées à travers les baies ne pouvaient excéder 10 miles marins.  </w:t>
      </w:r>
    </w:p>
    <w:p w14:paraId="16988DF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58BAC6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La Cour jugea que la règle des 10 miles marins n’avait pas acquis l’autorité d’une règle générale de droit international et que de toute manière , la règle des 10 miles marins apparaissait inopposable à la Norvège, celle-ci s’étant toujours élevée contre toute tentative de l’appliquer à la côte norvégienne.</w:t>
      </w:r>
    </w:p>
    <w:p w14:paraId="0A62AE1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6BC54F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CIJ à établi des critères pour être conforme :</w:t>
      </w:r>
    </w:p>
    <w:p w14:paraId="021511BB" w14:textId="77777777" w:rsidR="00EC0180" w:rsidRPr="00F25463" w:rsidRDefault="004270F6" w:rsidP="004270F6">
      <w:pPr>
        <w:pStyle w:val="BodyText"/>
        <w:numPr>
          <w:ilvl w:val="0"/>
          <w:numId w:val="123"/>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proofErr w:type="gramStart"/>
      <w:r w:rsidRPr="00F25463">
        <w:rPr>
          <w:rFonts w:hAnsi="Times New Roman" w:cs="Times New Roman"/>
          <w:sz w:val="22"/>
          <w:szCs w:val="22"/>
        </w:rPr>
        <w:t>si</w:t>
      </w:r>
      <w:proofErr w:type="gramEnd"/>
      <w:r w:rsidRPr="00F25463">
        <w:rPr>
          <w:rFonts w:hAnsi="Times New Roman" w:cs="Times New Roman"/>
          <w:sz w:val="22"/>
          <w:szCs w:val="22"/>
        </w:rPr>
        <w:t xml:space="preserve"> la côte est échancré (comme Norvège)</w:t>
      </w:r>
    </w:p>
    <w:p w14:paraId="7D55DFAA" w14:textId="77777777" w:rsidR="00EC0180" w:rsidRPr="00F25463" w:rsidRDefault="004270F6" w:rsidP="004270F6">
      <w:pPr>
        <w:pStyle w:val="BodyText"/>
        <w:numPr>
          <w:ilvl w:val="0"/>
          <w:numId w:val="123"/>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si bordé d’un chapelet d’île.</w:t>
      </w:r>
    </w:p>
    <w:p w14:paraId="6272677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9F7D73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***Si un État rencontre les deux critères, c’est accepté.</w:t>
      </w:r>
    </w:p>
    <w:p w14:paraId="1408E99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4F5588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Principes à respecter en recourant aux lignes de base droites :</w:t>
      </w:r>
    </w:p>
    <w:p w14:paraId="43525916" w14:textId="77777777" w:rsidR="00EC0180" w:rsidRPr="00F25463" w:rsidRDefault="004270F6" w:rsidP="004270F6">
      <w:pPr>
        <w:pStyle w:val="BodyText"/>
        <w:numPr>
          <w:ilvl w:val="0"/>
          <w:numId w:val="12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lignes de base droites ne doivent pas s’éloigner de façon appréciable de la direction générale des côtes</w:t>
      </w:r>
    </w:p>
    <w:p w14:paraId="49306840" w14:textId="77777777" w:rsidR="00EC0180" w:rsidRPr="00F25463" w:rsidRDefault="004270F6" w:rsidP="004270F6">
      <w:pPr>
        <w:pStyle w:val="BodyText"/>
        <w:numPr>
          <w:ilvl w:val="0"/>
          <w:numId w:val="12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On peut tenir compte d’intérêt économique propres à la région s’il sont attestés par un long usage (ex : Norvège)</w:t>
      </w:r>
    </w:p>
    <w:p w14:paraId="611C2F1F" w14:textId="77777777" w:rsidR="00EC0180" w:rsidRPr="00F25463" w:rsidRDefault="004270F6" w:rsidP="004270F6">
      <w:pPr>
        <w:pStyle w:val="BodyText"/>
        <w:numPr>
          <w:ilvl w:val="0"/>
          <w:numId w:val="12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Ces lignes peuvent passer entre les îles et des rochers sans nécessairement former des baies</w:t>
      </w:r>
    </w:p>
    <w:p w14:paraId="1148AA3B" w14:textId="77777777" w:rsidR="00EC0180" w:rsidRPr="00F25463" w:rsidRDefault="004270F6" w:rsidP="004270F6">
      <w:pPr>
        <w:pStyle w:val="BodyText"/>
        <w:numPr>
          <w:ilvl w:val="0"/>
          <w:numId w:val="12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Ces lignes peuvent être de n’importe quelle longueur (il n’y a pas de longueur maximal de 10 miles)</w:t>
      </w:r>
    </w:p>
    <w:p w14:paraId="2BB7577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3A3A61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L’Angleterre disait pouvait pas dépasser 10 miles et que devait être en ligne droite :</w:t>
      </w:r>
    </w:p>
    <w:p w14:paraId="2827476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CIJ dit non, pas vrai</w:t>
      </w:r>
    </w:p>
    <w:p w14:paraId="05EAF0B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12276F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 jugement à été codifier à l’art 7 de la convention de 1982 :</w:t>
      </w:r>
    </w:p>
    <w:p w14:paraId="423A1E8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B1B0C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Il ne fait aucun doute que le jugement est de droit coutumier. Dans le jugement ont dit que l’État peut tracer des lignes de basse droite, ont disait que la Norvège pouvait tracé ses lignes sur les parties qui étaient caché sous la marée haute. La convention de 1982 dit non, ont doit tracé les limites sur ce qui est visible.</w:t>
      </w:r>
    </w:p>
    <w:p w14:paraId="1DD7A1A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4624C7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 xml:space="preserve">La convention de 1982 autorise l’usage d’un État d’utiliser les 2 systèmes : ligne de basse droite et laisse de basse </w:t>
      </w:r>
      <w:proofErr w:type="gramStart"/>
      <w:r w:rsidRPr="00F25463">
        <w:rPr>
          <w:rFonts w:hAnsi="Times New Roman" w:cs="Times New Roman"/>
          <w:sz w:val="22"/>
          <w:szCs w:val="22"/>
        </w:rPr>
        <w:t>mer(</w:t>
      </w:r>
      <w:proofErr w:type="gramEnd"/>
      <w:r w:rsidRPr="00F25463">
        <w:rPr>
          <w:rFonts w:hAnsi="Times New Roman" w:cs="Times New Roman"/>
          <w:sz w:val="22"/>
          <w:szCs w:val="22"/>
        </w:rPr>
        <w:t>art 14) sur des parties contiguës de territoire. Le Canada utilise donc les 2 systèmes</w:t>
      </w:r>
    </w:p>
    <w:p w14:paraId="7A1BD97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Canada : ligne de basse droit</w:t>
      </w:r>
    </w:p>
    <w:p w14:paraId="1973075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CED95B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 xml:space="preserve">Cas des États archipel : </w:t>
      </w:r>
    </w:p>
    <w:p w14:paraId="7195195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FF92D3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Indonésie, les Bahamas, les îles Fidji et les Philippines</w:t>
      </w:r>
    </w:p>
    <w:p w14:paraId="15495DE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A3E0D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On ne parle pas de ces États dans la convention de 1958. Cependant, la convention de 1982 prévoit des dispositions à ce sujet. </w:t>
      </w:r>
    </w:p>
    <w:p w14:paraId="3BF5C9B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 </w:t>
      </w:r>
    </w:p>
    <w:p w14:paraId="5F472B2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Art 47 convention 1982.</w:t>
      </w:r>
    </w:p>
    <w:p w14:paraId="484F0BD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B8662C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Les États archipels peuvent relier par lignes de base droites les points </w:t>
      </w:r>
      <w:proofErr w:type="spellStart"/>
      <w:r w:rsidRPr="00F25463">
        <w:rPr>
          <w:rFonts w:hAnsi="Times New Roman" w:cs="Times New Roman"/>
          <w:sz w:val="22"/>
          <w:szCs w:val="22"/>
        </w:rPr>
        <w:t>extrèmes</w:t>
      </w:r>
      <w:proofErr w:type="spellEnd"/>
      <w:r w:rsidRPr="00F25463">
        <w:rPr>
          <w:rFonts w:hAnsi="Times New Roman" w:cs="Times New Roman"/>
          <w:sz w:val="22"/>
          <w:szCs w:val="22"/>
        </w:rPr>
        <w:t xml:space="preserve"> de ses îles les plus éloignées à certaine conditions</w:t>
      </w:r>
    </w:p>
    <w:p w14:paraId="0D87D85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État </w:t>
      </w:r>
      <w:proofErr w:type="spellStart"/>
      <w:r w:rsidRPr="00F25463">
        <w:rPr>
          <w:rFonts w:hAnsi="Times New Roman" w:cs="Times New Roman"/>
          <w:sz w:val="22"/>
          <w:szCs w:val="22"/>
        </w:rPr>
        <w:t>archipelle</w:t>
      </w:r>
      <w:proofErr w:type="spellEnd"/>
      <w:r w:rsidRPr="00F25463">
        <w:rPr>
          <w:rFonts w:hAnsi="Times New Roman" w:cs="Times New Roman"/>
          <w:sz w:val="22"/>
          <w:szCs w:val="22"/>
        </w:rPr>
        <w:t xml:space="preserve"> (paquet d’îles)</w:t>
      </w:r>
    </w:p>
    <w:p w14:paraId="2F84357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E04BDBF" w14:textId="77777777" w:rsidR="00EC0180" w:rsidRPr="00F25463" w:rsidRDefault="004270F6" w:rsidP="004270F6">
      <w:pPr>
        <w:pStyle w:val="BodyText"/>
        <w:numPr>
          <w:ilvl w:val="0"/>
          <w:numId w:val="12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Les point </w:t>
      </w:r>
      <w:proofErr w:type="spellStart"/>
      <w:r w:rsidRPr="00F25463">
        <w:rPr>
          <w:rFonts w:hAnsi="Times New Roman" w:cs="Times New Roman"/>
          <w:sz w:val="22"/>
          <w:szCs w:val="22"/>
        </w:rPr>
        <w:t>extrèmes</w:t>
      </w:r>
      <w:proofErr w:type="spellEnd"/>
      <w:r w:rsidRPr="00F25463">
        <w:rPr>
          <w:rFonts w:hAnsi="Times New Roman" w:cs="Times New Roman"/>
          <w:sz w:val="22"/>
          <w:szCs w:val="22"/>
        </w:rPr>
        <w:t> : mais a condition que dans le milieu ont retrouve les îles principale. A l’intérieur des lignes de basse droite.</w:t>
      </w:r>
    </w:p>
    <w:p w14:paraId="16F0313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79CC2F4" w14:textId="77777777" w:rsidR="00EC0180" w:rsidRPr="00F25463" w:rsidRDefault="004270F6" w:rsidP="004270F6">
      <w:pPr>
        <w:pStyle w:val="BodyText"/>
        <w:numPr>
          <w:ilvl w:val="0"/>
          <w:numId w:val="12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il ne faut pas qu’à l’intérieur des lignes, il ne faut que le rapport soit 9 pour 1. pas plus de 9 fois plus d’eau que de terre.  </w:t>
      </w:r>
    </w:p>
    <w:p w14:paraId="73EFD86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34E492D" w14:textId="77777777" w:rsidR="00EC0180" w:rsidRPr="00F25463" w:rsidRDefault="004270F6" w:rsidP="004270F6">
      <w:pPr>
        <w:pStyle w:val="BodyText"/>
        <w:numPr>
          <w:ilvl w:val="0"/>
          <w:numId w:val="12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Les lignes supérieur devrait pas être supérieurs à 100 miles ; pas </w:t>
      </w:r>
      <w:proofErr w:type="spellStart"/>
      <w:r w:rsidRPr="00F25463">
        <w:rPr>
          <w:rFonts w:hAnsi="Times New Roman" w:cs="Times New Roman"/>
          <w:sz w:val="22"/>
          <w:szCs w:val="22"/>
        </w:rPr>
        <w:t>sécarter</w:t>
      </w:r>
      <w:proofErr w:type="spellEnd"/>
      <w:r w:rsidRPr="00F25463">
        <w:rPr>
          <w:rFonts w:hAnsi="Times New Roman" w:cs="Times New Roman"/>
          <w:sz w:val="22"/>
          <w:szCs w:val="22"/>
        </w:rPr>
        <w:t xml:space="preserve"> du contrôle générale de l’</w:t>
      </w:r>
      <w:proofErr w:type="spellStart"/>
      <w:r w:rsidRPr="00F25463">
        <w:rPr>
          <w:rFonts w:hAnsi="Times New Roman" w:cs="Times New Roman"/>
          <w:sz w:val="22"/>
          <w:szCs w:val="22"/>
        </w:rPr>
        <w:t>archipelle</w:t>
      </w:r>
      <w:proofErr w:type="spellEnd"/>
      <w:r w:rsidRPr="00F25463">
        <w:rPr>
          <w:rFonts w:hAnsi="Times New Roman" w:cs="Times New Roman"/>
          <w:sz w:val="22"/>
          <w:szCs w:val="22"/>
        </w:rPr>
        <w:t xml:space="preserve">. </w:t>
      </w:r>
    </w:p>
    <w:p w14:paraId="7D5A281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6C2393B" w14:textId="77777777" w:rsidR="00EC0180" w:rsidRPr="00F25463" w:rsidRDefault="004270F6" w:rsidP="004270F6">
      <w:pPr>
        <w:pStyle w:val="BodyText"/>
        <w:numPr>
          <w:ilvl w:val="0"/>
          <w:numId w:val="125"/>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Les lignes ne doivent pas s’écarter du contour général de l’archipel</w:t>
      </w:r>
    </w:p>
    <w:p w14:paraId="641A4B9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FD30B2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À l’intérieur on appel les eaux, </w:t>
      </w:r>
      <w:proofErr w:type="spellStart"/>
      <w:r w:rsidRPr="00F25463">
        <w:rPr>
          <w:rFonts w:hAnsi="Times New Roman" w:cs="Times New Roman"/>
          <w:sz w:val="22"/>
          <w:szCs w:val="22"/>
        </w:rPr>
        <w:t>archipellagique</w:t>
      </w:r>
      <w:proofErr w:type="spellEnd"/>
      <w:r w:rsidRPr="00F25463">
        <w:rPr>
          <w:rFonts w:hAnsi="Times New Roman" w:cs="Times New Roman"/>
          <w:sz w:val="22"/>
          <w:szCs w:val="22"/>
        </w:rPr>
        <w:t xml:space="preserve"> qui relève de la conviction des États archipel. A partir de ces lignes que l’État va </w:t>
      </w:r>
      <w:proofErr w:type="gramStart"/>
      <w:r w:rsidRPr="00F25463">
        <w:rPr>
          <w:rFonts w:hAnsi="Times New Roman" w:cs="Times New Roman"/>
          <w:sz w:val="22"/>
          <w:szCs w:val="22"/>
        </w:rPr>
        <w:t>calculé</w:t>
      </w:r>
      <w:proofErr w:type="gramEnd"/>
      <w:r w:rsidRPr="00F25463">
        <w:rPr>
          <w:rFonts w:hAnsi="Times New Roman" w:cs="Times New Roman"/>
          <w:sz w:val="22"/>
          <w:szCs w:val="22"/>
        </w:rPr>
        <w:t xml:space="preserve"> ses lignes territoriale.</w:t>
      </w:r>
    </w:p>
    <w:p w14:paraId="3E5F46C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82A62C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La limite extérieure des limites territoriale</w:t>
      </w:r>
      <w:r w:rsidRPr="00F25463">
        <w:rPr>
          <w:rFonts w:hAnsi="Times New Roman" w:cs="Times New Roman"/>
          <w:sz w:val="22"/>
          <w:szCs w:val="22"/>
        </w:rPr>
        <w:t> :</w:t>
      </w:r>
    </w:p>
    <w:p w14:paraId="3D1C787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847011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limite de la mer territoriale est une ligne parallèle à la ligne de base tracée pour délimiter la mer territoriale.  Elle est située à 12 miles des lignes de base</w:t>
      </w:r>
    </w:p>
    <w:p w14:paraId="2702AE1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CDDB28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des États se font fasse et que la largeur (distance) est inférieur à la sommes des lignes de mer territoriale.</w:t>
      </w:r>
    </w:p>
    <w:p w14:paraId="5016966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ex : détroit de </w:t>
      </w:r>
      <w:proofErr w:type="spellStart"/>
      <w:r w:rsidRPr="00F25463">
        <w:rPr>
          <w:rFonts w:hAnsi="Times New Roman" w:cs="Times New Roman"/>
          <w:sz w:val="22"/>
          <w:szCs w:val="22"/>
        </w:rPr>
        <w:t>gébraltare</w:t>
      </w:r>
      <w:proofErr w:type="spellEnd"/>
    </w:p>
    <w:p w14:paraId="0D957B9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AB3E95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À ce moment A et B devra se trouver une frontière extérieur pour leur mer territoriale respective.  Très souvent on applique la ligne médiane.</w:t>
      </w:r>
    </w:p>
    <w:p w14:paraId="230C588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BACC7F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Cas :</w:t>
      </w:r>
    </w:p>
    <w:p w14:paraId="1E7F82C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A à 2 îles entre les 2.  On donne demi effet aux règle. On va jusqu’à la ligne extérieure de l’île puis fait la ligne médiane.  On donne demi effet aux petites îles.  Si l’île est grosse, possible de donner l’île comme territoire et fait ligne médiane au bout de cette grosse île.</w:t>
      </w:r>
    </w:p>
    <w:p w14:paraId="1CC7F8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Ex : St-Pierre et Miquelon ; fait enclave autour de l’île vue que loin de </w:t>
      </w:r>
    </w:p>
    <w:p w14:paraId="3EA4D17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son</w:t>
      </w:r>
      <w:proofErr w:type="gramEnd"/>
      <w:r w:rsidRPr="00F25463">
        <w:rPr>
          <w:rFonts w:hAnsi="Times New Roman" w:cs="Times New Roman"/>
          <w:sz w:val="22"/>
          <w:szCs w:val="22"/>
        </w:rPr>
        <w:t xml:space="preserve"> État et plus près de nous. Peut pas faire la moitié !</w:t>
      </w:r>
    </w:p>
    <w:p w14:paraId="5404C5B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622684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Îles :</w:t>
      </w:r>
    </w:p>
    <w:p w14:paraId="01085C3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38C688B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Se sont des étendu naturelle de terre, par opposer à artificielle, entouré d’eau et qui reste toujours découverte même à marée haute au dessus de l’océan. Si elles sont capables d’activités humaines et économiques, en vertu de la convention de 1982, elles peuvent alors avoir une zone économique exclusive.</w:t>
      </w:r>
    </w:p>
    <w:p w14:paraId="3376B88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C93051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121 convention de 1982</w:t>
      </w:r>
      <w:r w:rsidRPr="00F25463">
        <w:rPr>
          <w:rFonts w:hAnsi="Times New Roman" w:cs="Times New Roman"/>
          <w:sz w:val="22"/>
          <w:szCs w:val="22"/>
        </w:rPr>
        <w:t xml:space="preserve"> : </w:t>
      </w:r>
    </w:p>
    <w:p w14:paraId="5F38081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39B638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Pour y ait une zone économique ; on dit que seulement les îles qui ont une vie économique peuvent avoir un plateau de zone économique. Pour la mer territoriale pas de conditions imposer, parce que c’est pour le bien-être de l’île.</w:t>
      </w:r>
    </w:p>
    <w:p w14:paraId="7B46E21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95CDD0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A9850C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Quel sont les pouvoirs d’avoir une mer territoriale</w:t>
      </w:r>
      <w:r w:rsidRPr="00F25463">
        <w:rPr>
          <w:rFonts w:hAnsi="Times New Roman" w:cs="Times New Roman"/>
          <w:sz w:val="22"/>
          <w:szCs w:val="22"/>
        </w:rPr>
        <w:t> :</w:t>
      </w:r>
    </w:p>
    <w:p w14:paraId="30609A9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517960F" w14:textId="77777777" w:rsidR="00EC0180" w:rsidRPr="00F25463" w:rsidRDefault="004270F6" w:rsidP="004270F6">
      <w:pPr>
        <w:pStyle w:val="BodyText"/>
        <w:numPr>
          <w:ilvl w:val="0"/>
          <w:numId w:val="126"/>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Il a en principe, la souveraineté </w:t>
      </w:r>
      <w:proofErr w:type="spellStart"/>
      <w:r w:rsidRPr="00F25463">
        <w:rPr>
          <w:rFonts w:hAnsi="Times New Roman" w:cs="Times New Roman"/>
          <w:sz w:val="22"/>
          <w:szCs w:val="22"/>
        </w:rPr>
        <w:t>complete</w:t>
      </w:r>
      <w:proofErr w:type="spellEnd"/>
      <w:r w:rsidRPr="00F25463">
        <w:rPr>
          <w:rFonts w:hAnsi="Times New Roman" w:cs="Times New Roman"/>
          <w:sz w:val="22"/>
          <w:szCs w:val="22"/>
        </w:rPr>
        <w:t xml:space="preserve"> et exclusive dans sa mer territoriale. (règle de droit coutumier ; art 2 convention 1982) peut réglementer la pêche, navigation, compétence fiscale, sanitaire etc.</w:t>
      </w:r>
    </w:p>
    <w:p w14:paraId="74E472F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 plus on s’éloigne de l’État plus les pouvoirs </w:t>
      </w:r>
      <w:proofErr w:type="spellStart"/>
      <w:r w:rsidRPr="00F25463">
        <w:rPr>
          <w:rFonts w:hAnsi="Times New Roman" w:cs="Times New Roman"/>
          <w:sz w:val="22"/>
          <w:szCs w:val="22"/>
        </w:rPr>
        <w:t>diminu</w:t>
      </w:r>
      <w:proofErr w:type="spellEnd"/>
      <w:r w:rsidRPr="00F25463">
        <w:rPr>
          <w:rFonts w:hAnsi="Times New Roman" w:cs="Times New Roman"/>
          <w:sz w:val="22"/>
          <w:szCs w:val="22"/>
        </w:rPr>
        <w:t xml:space="preserve">, souveraineté vers liberté. S’éloigne de la souveraineté </w:t>
      </w:r>
      <w:proofErr w:type="spellStart"/>
      <w:r w:rsidRPr="00F25463">
        <w:rPr>
          <w:rFonts w:hAnsi="Times New Roman" w:cs="Times New Roman"/>
          <w:sz w:val="22"/>
          <w:szCs w:val="22"/>
        </w:rPr>
        <w:t>éthatique</w:t>
      </w:r>
      <w:proofErr w:type="spellEnd"/>
      <w:r w:rsidRPr="00F25463">
        <w:rPr>
          <w:rFonts w:hAnsi="Times New Roman" w:cs="Times New Roman"/>
          <w:sz w:val="22"/>
          <w:szCs w:val="22"/>
        </w:rPr>
        <w:t xml:space="preserve">. </w:t>
      </w:r>
    </w:p>
    <w:p w14:paraId="7B1AA24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47D05B14" w14:textId="77777777" w:rsidR="00EC0180" w:rsidRPr="00F25463" w:rsidRDefault="004270F6" w:rsidP="004270F6">
      <w:pPr>
        <w:pStyle w:val="BodyText"/>
        <w:numPr>
          <w:ilvl w:val="0"/>
          <w:numId w:val="126"/>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proofErr w:type="gramStart"/>
      <w:r w:rsidRPr="00F25463">
        <w:rPr>
          <w:rFonts w:hAnsi="Times New Roman" w:cs="Times New Roman"/>
          <w:sz w:val="22"/>
          <w:szCs w:val="22"/>
        </w:rPr>
        <w:t>dans</w:t>
      </w:r>
      <w:proofErr w:type="gramEnd"/>
      <w:r w:rsidRPr="00F25463">
        <w:rPr>
          <w:rFonts w:hAnsi="Times New Roman" w:cs="Times New Roman"/>
          <w:sz w:val="22"/>
          <w:szCs w:val="22"/>
        </w:rPr>
        <w:t xml:space="preserve"> la mer aussi, il y a le pouvoir « Hot </w:t>
      </w:r>
      <w:proofErr w:type="spellStart"/>
      <w:r w:rsidRPr="00F25463">
        <w:rPr>
          <w:rFonts w:hAnsi="Times New Roman" w:cs="Times New Roman"/>
          <w:sz w:val="22"/>
          <w:szCs w:val="22"/>
        </w:rPr>
        <w:t>pursuit</w:t>
      </w:r>
      <w:proofErr w:type="spellEnd"/>
      <w:r w:rsidRPr="00F25463">
        <w:rPr>
          <w:rFonts w:hAnsi="Times New Roman" w:cs="Times New Roman"/>
          <w:sz w:val="22"/>
          <w:szCs w:val="22"/>
        </w:rPr>
        <w:t xml:space="preserve"> » droit de poursuite, c’est un peu comme le </w:t>
      </w:r>
      <w:proofErr w:type="spellStart"/>
      <w:r w:rsidRPr="00F25463">
        <w:rPr>
          <w:rFonts w:hAnsi="Times New Roman" w:cs="Times New Roman"/>
          <w:sz w:val="22"/>
          <w:szCs w:val="22"/>
        </w:rPr>
        <w:t>farwest</w:t>
      </w:r>
      <w:proofErr w:type="spellEnd"/>
      <w:r w:rsidRPr="00F25463">
        <w:rPr>
          <w:rFonts w:hAnsi="Times New Roman" w:cs="Times New Roman"/>
          <w:sz w:val="22"/>
          <w:szCs w:val="22"/>
        </w:rPr>
        <w:t xml:space="preserve"> maritime,(art 21 à 23 convention 1982 et droit de poursuite art 111 de la convention) pour qu’Il y ait un droit poursuite ce doit être un navire publique d’un État. Ce navire donne une semonce (ordre d’arrêter) peut commencer une poursuite dans la mer terri. Ou eau intérieur contre un navire privé </w:t>
      </w:r>
      <w:proofErr w:type="spellStart"/>
      <w:r w:rsidRPr="00F25463">
        <w:rPr>
          <w:rFonts w:hAnsi="Times New Roman" w:cs="Times New Roman"/>
          <w:sz w:val="22"/>
          <w:szCs w:val="22"/>
        </w:rPr>
        <w:t>étrangé</w:t>
      </w:r>
      <w:proofErr w:type="spellEnd"/>
      <w:r w:rsidRPr="00F25463">
        <w:rPr>
          <w:rFonts w:hAnsi="Times New Roman" w:cs="Times New Roman"/>
          <w:sz w:val="22"/>
          <w:szCs w:val="22"/>
        </w:rPr>
        <w:t xml:space="preserve">. (Pas les navire de guerre) Si on pense que le navire </w:t>
      </w:r>
      <w:proofErr w:type="gramStart"/>
      <w:r w:rsidRPr="00F25463">
        <w:rPr>
          <w:rFonts w:hAnsi="Times New Roman" w:cs="Times New Roman"/>
          <w:sz w:val="22"/>
          <w:szCs w:val="22"/>
        </w:rPr>
        <w:t>privé  à</w:t>
      </w:r>
      <w:proofErr w:type="gramEnd"/>
      <w:r w:rsidRPr="00F25463">
        <w:rPr>
          <w:rFonts w:hAnsi="Times New Roman" w:cs="Times New Roman"/>
          <w:sz w:val="22"/>
          <w:szCs w:val="22"/>
        </w:rPr>
        <w:t xml:space="preserve"> violé des lois de l’État riverain dans ses eaux.</w:t>
      </w:r>
    </w:p>
    <w:p w14:paraId="1F42EDA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5A3DB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t xml:space="preserve">Ex : si on s’en rend compte dans la mer territoriale et fait sa faute dans </w:t>
      </w:r>
      <w:proofErr w:type="gramStart"/>
      <w:r w:rsidRPr="00F25463">
        <w:rPr>
          <w:rFonts w:hAnsi="Times New Roman" w:cs="Times New Roman"/>
          <w:sz w:val="22"/>
          <w:szCs w:val="22"/>
        </w:rPr>
        <w:t>la mer intérieur</w:t>
      </w:r>
      <w:proofErr w:type="gramEnd"/>
      <w:r w:rsidRPr="00F25463">
        <w:rPr>
          <w:rFonts w:hAnsi="Times New Roman" w:cs="Times New Roman"/>
          <w:sz w:val="22"/>
          <w:szCs w:val="22"/>
        </w:rPr>
        <w:t xml:space="preserve">, peu poursuivre pareil. Il ne s’agit pas ici de </w:t>
      </w:r>
      <w:proofErr w:type="spellStart"/>
      <w:r w:rsidRPr="00F25463">
        <w:rPr>
          <w:rFonts w:hAnsi="Times New Roman" w:cs="Times New Roman"/>
          <w:sz w:val="22"/>
          <w:szCs w:val="22"/>
        </w:rPr>
        <w:t>meutre</w:t>
      </w:r>
      <w:proofErr w:type="spellEnd"/>
      <w:r w:rsidRPr="00F25463">
        <w:rPr>
          <w:rFonts w:hAnsi="Times New Roman" w:cs="Times New Roman"/>
          <w:sz w:val="22"/>
          <w:szCs w:val="22"/>
        </w:rPr>
        <w:t>, pas de juridiction criminel, seulement erreur du capitaine, ses ordres contre la loi. Cette poursuite peu ce suivre au-delà de la mer territoriale.</w:t>
      </w:r>
    </w:p>
    <w:p w14:paraId="5A3854F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3E210B2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Exception au principe en haute mer: droit de poursuite, arrêter, de détourner le navire pour juger le responsable. Même si pas de son pavillon. Mais il fait l’infraction depuis le territoire de L’État qui poursuit.</w:t>
      </w:r>
    </w:p>
    <w:p w14:paraId="14B4EB0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MAIS, la poursuite ne doit pas être interrompu, doit être continu jusque dans la haute mer. Commence dans mer territoriale et continu plus loin.  Si arrête avant d’entrer en haute mer, donc fini la poursuite. Le droit de poursuite cesse lorsque </w:t>
      </w:r>
      <w:proofErr w:type="gramStart"/>
      <w:r w:rsidRPr="00F25463">
        <w:rPr>
          <w:rFonts w:hAnsi="Times New Roman" w:cs="Times New Roman"/>
          <w:sz w:val="22"/>
          <w:szCs w:val="22"/>
        </w:rPr>
        <w:t>le navire poursuivie</w:t>
      </w:r>
      <w:proofErr w:type="gramEnd"/>
      <w:r w:rsidRPr="00F25463">
        <w:rPr>
          <w:rFonts w:hAnsi="Times New Roman" w:cs="Times New Roman"/>
          <w:sz w:val="22"/>
          <w:szCs w:val="22"/>
        </w:rPr>
        <w:t xml:space="preserve"> entre dans la mer territoriale d’un autre État.</w:t>
      </w:r>
    </w:p>
    <w:p w14:paraId="7BAA011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3F82E50" w14:textId="77777777" w:rsidR="00EC0180" w:rsidRPr="00F25463" w:rsidRDefault="004270F6" w:rsidP="004270F6">
      <w:pPr>
        <w:pStyle w:val="BodyText"/>
        <w:numPr>
          <w:ilvl w:val="0"/>
          <w:numId w:val="12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Art 27 et 28 de la convention de 1982 sur la compétence civil et pénal de l’État riverain.</w:t>
      </w:r>
    </w:p>
    <w:p w14:paraId="2315890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C35D25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Compétence pénal (art 27 1982) : un État riverain peut arrêter un navire privé (commerciale- publique) pour des infractions commise lorsque le navire passait dans la mer territoriale. </w:t>
      </w:r>
    </w:p>
    <w:p w14:paraId="07D236E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692299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Conditions :</w:t>
      </w:r>
    </w:p>
    <w:p w14:paraId="50518919" w14:textId="77777777" w:rsidR="00EC0180" w:rsidRPr="00F25463" w:rsidRDefault="004270F6" w:rsidP="004270F6">
      <w:pPr>
        <w:pStyle w:val="BodyText"/>
        <w:numPr>
          <w:ilvl w:val="0"/>
          <w:numId w:val="128"/>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si l’infraction à des conséquences pour l’État riverain</w:t>
      </w:r>
    </w:p>
    <w:p w14:paraId="630573B9" w14:textId="77777777" w:rsidR="00EC0180" w:rsidRPr="00F25463" w:rsidRDefault="004270F6" w:rsidP="004270F6">
      <w:pPr>
        <w:pStyle w:val="BodyText"/>
        <w:numPr>
          <w:ilvl w:val="0"/>
          <w:numId w:val="128"/>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proofErr w:type="gramStart"/>
      <w:r w:rsidRPr="00F25463">
        <w:rPr>
          <w:rFonts w:hAnsi="Times New Roman" w:cs="Times New Roman"/>
          <w:sz w:val="22"/>
          <w:szCs w:val="22"/>
        </w:rPr>
        <w:t>l’ordre</w:t>
      </w:r>
      <w:proofErr w:type="gramEnd"/>
      <w:r w:rsidRPr="00F25463">
        <w:rPr>
          <w:rFonts w:hAnsi="Times New Roman" w:cs="Times New Roman"/>
          <w:sz w:val="22"/>
          <w:szCs w:val="22"/>
        </w:rPr>
        <w:t xml:space="preserve"> publique du port est menacé</w:t>
      </w:r>
    </w:p>
    <w:p w14:paraId="633572C5" w14:textId="77777777" w:rsidR="00EC0180" w:rsidRPr="00F25463" w:rsidRDefault="004270F6" w:rsidP="004270F6">
      <w:pPr>
        <w:pStyle w:val="BodyText"/>
        <w:numPr>
          <w:ilvl w:val="0"/>
          <w:numId w:val="128"/>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le capitaine du navire qui demande de l’aide.</w:t>
      </w:r>
    </w:p>
    <w:p w14:paraId="1480E55B" w14:textId="77777777" w:rsidR="00EC0180" w:rsidRPr="00F25463" w:rsidRDefault="004270F6" w:rsidP="004270F6">
      <w:pPr>
        <w:pStyle w:val="BodyText"/>
        <w:numPr>
          <w:ilvl w:val="0"/>
          <w:numId w:val="128"/>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pour lutter contre le trafic de drogue.</w:t>
      </w:r>
    </w:p>
    <w:p w14:paraId="2FEB9C3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CD4C0B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Si l’infraction à été commise avant l’entrer dans </w:t>
      </w:r>
      <w:proofErr w:type="gramStart"/>
      <w:r w:rsidRPr="00F25463">
        <w:rPr>
          <w:rFonts w:hAnsi="Times New Roman" w:cs="Times New Roman"/>
          <w:sz w:val="22"/>
          <w:szCs w:val="22"/>
        </w:rPr>
        <w:t>les eau intérieur</w:t>
      </w:r>
      <w:proofErr w:type="gramEnd"/>
      <w:r w:rsidRPr="00F25463">
        <w:rPr>
          <w:rFonts w:hAnsi="Times New Roman" w:cs="Times New Roman"/>
          <w:sz w:val="22"/>
          <w:szCs w:val="22"/>
        </w:rPr>
        <w:t xml:space="preserve"> ou la mer territoriale : </w:t>
      </w:r>
    </w:p>
    <w:p w14:paraId="08F3464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Ex : zone économique exclusive</w:t>
      </w:r>
    </w:p>
    <w:p w14:paraId="77DB615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631264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Peu arrêter aussi. (</w:t>
      </w:r>
      <w:proofErr w:type="gramStart"/>
      <w:r w:rsidRPr="00F25463">
        <w:rPr>
          <w:rFonts w:hAnsi="Times New Roman" w:cs="Times New Roman"/>
          <w:sz w:val="22"/>
          <w:szCs w:val="22"/>
        </w:rPr>
        <w:t>pour</w:t>
      </w:r>
      <w:proofErr w:type="gramEnd"/>
      <w:r w:rsidRPr="00F25463">
        <w:rPr>
          <w:rFonts w:hAnsi="Times New Roman" w:cs="Times New Roman"/>
          <w:sz w:val="22"/>
          <w:szCs w:val="22"/>
        </w:rPr>
        <w:t xml:space="preserve"> prévention de la pollution, la pêche interdite etc. )</w:t>
      </w:r>
    </w:p>
    <w:p w14:paraId="169596E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3CB0F7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juridiction civil (art 28) État riverain peut pas utiliser sa juridiction sur une personne à bord (1 personne sur un navire privé) mais peut utiliser sa juridiction à l’encontre du navire au complet. </w:t>
      </w:r>
    </w:p>
    <w:p w14:paraId="201CD8C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Ex : navire brise le port : peu arrêter dans ses eaux intérieur ou mer </w:t>
      </w:r>
    </w:p>
    <w:p w14:paraId="0DB59CB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lastRenderedPageBreak/>
        <w:t xml:space="preserve">        </w:t>
      </w:r>
      <w:proofErr w:type="gramStart"/>
      <w:r w:rsidRPr="00F25463">
        <w:rPr>
          <w:rFonts w:hAnsi="Times New Roman" w:cs="Times New Roman"/>
          <w:sz w:val="22"/>
          <w:szCs w:val="22"/>
        </w:rPr>
        <w:t>territoriale</w:t>
      </w:r>
      <w:proofErr w:type="gramEnd"/>
      <w:r w:rsidRPr="00F25463">
        <w:rPr>
          <w:rFonts w:hAnsi="Times New Roman" w:cs="Times New Roman"/>
          <w:sz w:val="22"/>
          <w:szCs w:val="22"/>
        </w:rPr>
        <w:t xml:space="preserve"> pour le dommage causé plus tôt.</w:t>
      </w:r>
    </w:p>
    <w:p w14:paraId="0B490DF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CA88FA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***MAIS pas contre une personne seulement.</w:t>
      </w:r>
    </w:p>
    <w:p w14:paraId="399B968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0EA1D2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***Ces conditions sont pour les pays de </w:t>
      </w:r>
      <w:proofErr w:type="spellStart"/>
      <w:r w:rsidRPr="00F25463">
        <w:rPr>
          <w:rFonts w:hAnsi="Times New Roman" w:cs="Times New Roman"/>
          <w:sz w:val="22"/>
          <w:szCs w:val="22"/>
        </w:rPr>
        <w:t>common</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law</w:t>
      </w:r>
      <w:proofErr w:type="spellEnd"/>
      <w:r w:rsidRPr="00F25463">
        <w:rPr>
          <w:rFonts w:hAnsi="Times New Roman" w:cs="Times New Roman"/>
          <w:sz w:val="22"/>
          <w:szCs w:val="22"/>
        </w:rPr>
        <w:t> : ce sont des règles de bon voisinage</w:t>
      </w:r>
    </w:p>
    <w:p w14:paraId="506DE4F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2F4E81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***Pays de droit civil : règles droit coutumier</w:t>
      </w:r>
    </w:p>
    <w:p w14:paraId="28787B7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1257E8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Exception entre mer territoriale et eau intérieur :</w:t>
      </w:r>
    </w:p>
    <w:p w14:paraId="06735237" w14:textId="77777777" w:rsidR="00EC0180" w:rsidRPr="00F25463" w:rsidRDefault="004270F6" w:rsidP="004270F6">
      <w:pPr>
        <w:pStyle w:val="BodyText"/>
        <w:numPr>
          <w:ilvl w:val="0"/>
          <w:numId w:val="12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droit offensif. Toute règle qui vient limiter les État de naviguer avait exception.</w:t>
      </w:r>
    </w:p>
    <w:p w14:paraId="1125CDA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724FC9B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Art 17 à 32 convention 1982 : droit de passage inoffensif : </w:t>
      </w:r>
    </w:p>
    <w:p w14:paraId="79FBA02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453C6E2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-Passage : droit pour un navire de traverser la mer sans aller vers territoire même si va pas dans </w:t>
      </w:r>
      <w:proofErr w:type="gramStart"/>
      <w:r w:rsidRPr="00F25463">
        <w:rPr>
          <w:rFonts w:hAnsi="Times New Roman" w:cs="Times New Roman"/>
          <w:sz w:val="22"/>
          <w:szCs w:val="22"/>
        </w:rPr>
        <w:t>les eau intérieur</w:t>
      </w:r>
      <w:proofErr w:type="gramEnd"/>
      <w:r w:rsidRPr="00F25463">
        <w:rPr>
          <w:rFonts w:hAnsi="Times New Roman" w:cs="Times New Roman"/>
          <w:sz w:val="22"/>
          <w:szCs w:val="22"/>
        </w:rPr>
        <w:t>. Peu s’arrêter seulement pour urgence. Peu pas s’encrer délibérément.</w:t>
      </w:r>
    </w:p>
    <w:p w14:paraId="3A5ADAF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4A8ECE7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-Le passage doit être inoffensif : le navire doit pas porter atteinte à la paix aux bon ordre et la  sécurité de l’État riverain.  Doit passer ne ami</w:t>
      </w:r>
    </w:p>
    <w:p w14:paraId="6393361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218F1D8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Art 19 : exemple d’actes offensif</w:t>
      </w:r>
    </w:p>
    <w:p w14:paraId="0A6C594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Ex : pollution, les actes non permit de pêche, les actes contraire à la réglementation à matière immigration, fiscale, essaie d’armes.</w:t>
      </w:r>
    </w:p>
    <w:p w14:paraId="79A8AF3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5757797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-Dans la mer territoriale, un sous-marin doit naviguer en surface, si en dessous de la mer, c’est comme offensif.</w:t>
      </w:r>
    </w:p>
    <w:p w14:paraId="51DBE75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7C47641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-Les pouvoirs de l’État riverain à l’égard d’un navire qui viole le passage inoffensif.</w:t>
      </w:r>
    </w:p>
    <w:p w14:paraId="59D71AD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2C2CD61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-Le navire privé va être arrêter, peut prendre toute les mesure nécessaire (proportionnel) </w:t>
      </w:r>
    </w:p>
    <w:p w14:paraId="4F1ED89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Si le navire veut pas, peut le dérouter, l’arrêter (art 29 à 32 convention sur le droit de la mer)</w:t>
      </w:r>
    </w:p>
    <w:p w14:paraId="6D692D8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70508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Si navire de guerre, peut demander au navire de se conformer aux règles du droit de passage inoffensif.  Si veut pas, peut exiger la sorti du navire puis si le navire à causer des dommages, bien peut demander à l’état du pavillon de le dédommager.  </w:t>
      </w:r>
    </w:p>
    <w:p w14:paraId="17339D3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2227D2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Le navire de guerre doit respecter les règles même si immunité contre l’état riverain. L’État riverain </w:t>
      </w:r>
      <w:r w:rsidR="002B618F" w:rsidRPr="00F25463">
        <w:rPr>
          <w:rFonts w:hAnsi="Times New Roman" w:cs="Times New Roman"/>
          <w:sz w:val="22"/>
          <w:szCs w:val="22"/>
        </w:rPr>
        <w:t>n’</w:t>
      </w:r>
      <w:r w:rsidRPr="00F25463">
        <w:rPr>
          <w:rFonts w:hAnsi="Times New Roman" w:cs="Times New Roman"/>
          <w:sz w:val="22"/>
          <w:szCs w:val="22"/>
        </w:rPr>
        <w:t>a pas le pouvoir directe d’aller sur le navire de guerre mais peu poursuivre indirectement.</w:t>
      </w:r>
    </w:p>
    <w:p w14:paraId="7029046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09AFA8C" w14:textId="77777777" w:rsidR="00EC0180" w:rsidRPr="00F25463" w:rsidRDefault="002B618F">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Est-ce qu</w:t>
      </w:r>
      <w:r w:rsidR="004270F6" w:rsidRPr="00F25463">
        <w:rPr>
          <w:rFonts w:hAnsi="Times New Roman" w:cs="Times New Roman"/>
          <w:sz w:val="22"/>
          <w:szCs w:val="22"/>
        </w:rPr>
        <w:t>’un état riverain peut suspendre droit de passage ?</w:t>
      </w:r>
    </w:p>
    <w:p w14:paraId="048AB4F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Oui mais c’est exceptionnel uniquement temporairement sans discrimination, et dans des régions ou couloir spécifier de sa mer territoriale. Seulement pour des motifs de sécurité, décision publié, publique.</w:t>
      </w:r>
    </w:p>
    <w:p w14:paraId="584C1A3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ab/>
        <w:t xml:space="preserve">Ex : si tension grande, l’État peut fermer. Dans les temps de guerre.      </w:t>
      </w:r>
    </w:p>
    <w:p w14:paraId="7A960D8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 xml:space="preserve">               Suspend le droit de passage inoffensif</w:t>
      </w:r>
    </w:p>
    <w:p w14:paraId="6991458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524943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-État riverain qui a connaissance de danger, crée </w:t>
      </w:r>
      <w:proofErr w:type="gramStart"/>
      <w:r w:rsidRPr="00F25463">
        <w:rPr>
          <w:rFonts w:hAnsi="Times New Roman" w:cs="Times New Roman"/>
          <w:sz w:val="22"/>
          <w:szCs w:val="22"/>
        </w:rPr>
        <w:t>un obligation</w:t>
      </w:r>
      <w:proofErr w:type="gramEnd"/>
      <w:r w:rsidRPr="00F25463">
        <w:rPr>
          <w:rFonts w:hAnsi="Times New Roman" w:cs="Times New Roman"/>
          <w:sz w:val="22"/>
          <w:szCs w:val="22"/>
        </w:rPr>
        <w:t xml:space="preserve"> d’informer les navires qui passe du danger à la navigation</w:t>
      </w:r>
    </w:p>
    <w:p w14:paraId="67571C2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affaire du </w:t>
      </w:r>
      <w:proofErr w:type="spellStart"/>
      <w:r w:rsidRPr="00F25463">
        <w:rPr>
          <w:rFonts w:hAnsi="Times New Roman" w:cs="Times New Roman"/>
          <w:sz w:val="22"/>
          <w:szCs w:val="22"/>
        </w:rPr>
        <w:t>nicaragoua</w:t>
      </w:r>
      <w:proofErr w:type="spellEnd"/>
    </w:p>
    <w:p w14:paraId="13E109D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-Dire aux navire qui approche la mer territoriale.</w:t>
      </w:r>
    </w:p>
    <w:p w14:paraId="3B447ED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affaire du détroit de </w:t>
      </w:r>
      <w:proofErr w:type="spellStart"/>
      <w:r w:rsidRPr="00F25463">
        <w:rPr>
          <w:rFonts w:hAnsi="Times New Roman" w:cs="Times New Roman"/>
          <w:sz w:val="22"/>
          <w:szCs w:val="22"/>
        </w:rPr>
        <w:t>kofu</w:t>
      </w:r>
      <w:proofErr w:type="spellEnd"/>
    </w:p>
    <w:p w14:paraId="4DC2B4E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1A1ED1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C’est le doc 20. Navire britannique sauté, </w:t>
      </w:r>
      <w:proofErr w:type="gramStart"/>
      <w:r w:rsidRPr="00F25463">
        <w:rPr>
          <w:rFonts w:hAnsi="Times New Roman" w:cs="Times New Roman"/>
          <w:sz w:val="22"/>
          <w:szCs w:val="22"/>
        </w:rPr>
        <w:t>l’Albani disait pas</w:t>
      </w:r>
      <w:proofErr w:type="gramEnd"/>
      <w:r w:rsidRPr="00F25463">
        <w:rPr>
          <w:rFonts w:hAnsi="Times New Roman" w:cs="Times New Roman"/>
          <w:sz w:val="22"/>
          <w:szCs w:val="22"/>
        </w:rPr>
        <w:t xml:space="preserve"> savoir.</w:t>
      </w:r>
    </w:p>
    <w:p w14:paraId="7C122F0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cour à dit ca se peut pas qu’Il ne le savait pas.  </w:t>
      </w:r>
    </w:p>
    <w:p w14:paraId="60A3E46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Elle a dit que l’Albani connaissait la présence des mines et avait l’obligation d’informer la position des mines dans le détroit. Du au passage inoffensif. Le droit de passage est libre. Le droit de passage est valide pour tout les États.</w:t>
      </w:r>
    </w:p>
    <w:p w14:paraId="0A7F409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DD47D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eaux archipélagiques</w:t>
      </w:r>
    </w:p>
    <w:p w14:paraId="1A19769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DE7723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Ces eaux n’ont pas eu de statut juridique avant la convention de 1982.  Selon cette convention, ces eaux sont soumises à la souveraineté de l’État archipel.  Les autres États y ont un droit de passage inoffensif.  De plus, l’État archipel doit désigner des couloirs où il y a un droit de passage archipélagique.</w:t>
      </w:r>
    </w:p>
    <w:p w14:paraId="1316AA3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78DA75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513 (12) convention de 1982</w:t>
      </w:r>
      <w:r w:rsidRPr="00F25463">
        <w:rPr>
          <w:rFonts w:hAnsi="Times New Roman" w:cs="Times New Roman"/>
          <w:sz w:val="22"/>
          <w:szCs w:val="22"/>
        </w:rPr>
        <w:t xml:space="preserve"> : Si l’État archipel n’a pas désigné aucun couloir, le droit de passage </w:t>
      </w:r>
      <w:proofErr w:type="spellStart"/>
      <w:r w:rsidRPr="00F25463">
        <w:rPr>
          <w:rFonts w:hAnsi="Times New Roman" w:cs="Times New Roman"/>
          <w:sz w:val="22"/>
          <w:szCs w:val="22"/>
        </w:rPr>
        <w:t>archipelagique</w:t>
      </w:r>
      <w:proofErr w:type="spellEnd"/>
      <w:r w:rsidRPr="00F25463">
        <w:rPr>
          <w:rFonts w:hAnsi="Times New Roman" w:cs="Times New Roman"/>
          <w:sz w:val="22"/>
          <w:szCs w:val="22"/>
        </w:rPr>
        <w:t xml:space="preserve"> sera exercé dans les voies qui sont normalement utilisées par la navigation internationale.</w:t>
      </w:r>
    </w:p>
    <w:p w14:paraId="4059DC3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26236D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pouvoir de réglementer le passage dans ces couloirs est limité pour l’État archipel : le droit de passage ne peut y être suspendu et les sous-marins peuvent y naviguer en état de submersion.</w:t>
      </w:r>
    </w:p>
    <w:p w14:paraId="1CDEE8E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E99464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navires étrangers qui passent dans ces couloirs doivent :</w:t>
      </w:r>
    </w:p>
    <w:p w14:paraId="492AB8C9" w14:textId="77777777" w:rsidR="00EC0180" w:rsidRPr="00F25463" w:rsidRDefault="004270F6" w:rsidP="004270F6">
      <w:pPr>
        <w:pStyle w:val="BodyText"/>
        <w:numPr>
          <w:ilvl w:val="0"/>
          <w:numId w:val="13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passer avec célérité (rapidement)</w:t>
      </w:r>
    </w:p>
    <w:p w14:paraId="06FFD56F" w14:textId="77777777" w:rsidR="00EC0180" w:rsidRPr="00F25463" w:rsidRDefault="004270F6" w:rsidP="004270F6">
      <w:pPr>
        <w:pStyle w:val="BodyText"/>
        <w:numPr>
          <w:ilvl w:val="0"/>
          <w:numId w:val="13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ne pas menacer la souveraineté territoriale de l’État archipel</w:t>
      </w:r>
    </w:p>
    <w:p w14:paraId="1FABB1B5" w14:textId="77777777" w:rsidR="00EC0180" w:rsidRPr="00F25463" w:rsidRDefault="004270F6" w:rsidP="004270F6">
      <w:pPr>
        <w:pStyle w:val="BodyText"/>
        <w:numPr>
          <w:ilvl w:val="0"/>
          <w:numId w:val="13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respecter les règles internationalement acceptées sur la sécurité de la navigation et sur la prévention de la pollution.</w:t>
      </w:r>
    </w:p>
    <w:p w14:paraId="18CD30F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2DB4C4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détroits internationaux</w:t>
      </w:r>
    </w:p>
    <w:p w14:paraId="0209A7D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777D1F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détroits internationaux sont des passages entre 2 côtés qui mettent en communication soit</w:t>
      </w:r>
    </w:p>
    <w:p w14:paraId="5ABEF727"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2 hautes mers ou 2 zones économiques exclusives</w:t>
      </w:r>
    </w:p>
    <w:p w14:paraId="6B1C7EC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 mer territoriale et ne haute mer</w:t>
      </w:r>
    </w:p>
    <w:p w14:paraId="3F37F8C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1 mer territoriale et une zone économique exclusive</w:t>
      </w:r>
    </w:p>
    <w:p w14:paraId="614EA59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1340C9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868"/>
        <w:rPr>
          <w:rFonts w:hAnsi="Times New Roman" w:cs="Times New Roman"/>
          <w:sz w:val="22"/>
          <w:szCs w:val="22"/>
        </w:rPr>
      </w:pPr>
      <w:r w:rsidRPr="00F25463">
        <w:rPr>
          <w:rFonts w:hAnsi="Times New Roman" w:cs="Times New Roman"/>
          <w:sz w:val="22"/>
          <w:szCs w:val="22"/>
        </w:rPr>
        <w:t>***Mais pas 2 mers territoriales</w:t>
      </w:r>
    </w:p>
    <w:p w14:paraId="64D2E7A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A0E98E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En portant la largeur de la mer territoriale à 12 miles, une centaine de détroits ont perdu leur statut international et sont devenus des détroits reliant 2 mers territoriales.  (</w:t>
      </w:r>
      <w:proofErr w:type="gramStart"/>
      <w:r w:rsidRPr="00F25463">
        <w:rPr>
          <w:rFonts w:hAnsi="Times New Roman" w:cs="Times New Roman"/>
          <w:sz w:val="22"/>
          <w:szCs w:val="22"/>
        </w:rPr>
        <w:t>il</w:t>
      </w:r>
      <w:proofErr w:type="gramEnd"/>
      <w:r w:rsidRPr="00F25463">
        <w:rPr>
          <w:rFonts w:hAnsi="Times New Roman" w:cs="Times New Roman"/>
          <w:sz w:val="22"/>
          <w:szCs w:val="22"/>
        </w:rPr>
        <w:t xml:space="preserve"> faut se rappeler que le passage en mer territoriale est plus contraignant que le passage en haute mer ou en zone économique exclusive) </w:t>
      </w:r>
    </w:p>
    <w:p w14:paraId="6D0C096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1D2164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38 convention de 1982</w:t>
      </w:r>
      <w:r w:rsidRPr="00F25463">
        <w:rPr>
          <w:rFonts w:hAnsi="Times New Roman" w:cs="Times New Roman"/>
          <w:sz w:val="22"/>
          <w:szCs w:val="22"/>
        </w:rPr>
        <w:t xml:space="preserve"> : On a donc crée dans la convention de 1982, le droit de passage en transit sans entrave. Ce droit de passage équivaut au droit de passage </w:t>
      </w:r>
      <w:proofErr w:type="spellStart"/>
      <w:r w:rsidRPr="00F25463">
        <w:rPr>
          <w:rFonts w:hAnsi="Times New Roman" w:cs="Times New Roman"/>
          <w:sz w:val="22"/>
          <w:szCs w:val="22"/>
        </w:rPr>
        <w:t>archipelagique</w:t>
      </w:r>
      <w:proofErr w:type="spellEnd"/>
      <w:r w:rsidRPr="00F25463">
        <w:rPr>
          <w:rFonts w:hAnsi="Times New Roman" w:cs="Times New Roman"/>
          <w:sz w:val="22"/>
          <w:szCs w:val="22"/>
        </w:rPr>
        <w:t>.</w:t>
      </w:r>
    </w:p>
    <w:p w14:paraId="73AC811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BE077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L’État riverain est limité dans ses pouvoirs :</w:t>
      </w:r>
    </w:p>
    <w:p w14:paraId="2D681DC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il ne peut suspendre le droit de passage</w:t>
      </w:r>
    </w:p>
    <w:p w14:paraId="0E4AE7E2"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sous-marins peuvent naviguer en état de submersion</w:t>
      </w:r>
    </w:p>
    <w:p w14:paraId="6AAE905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navires doivent respecter les règles régissant la pollution et la sécurité.</w:t>
      </w:r>
    </w:p>
    <w:p w14:paraId="45E4E94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9D6D43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mer territoriale en droit canadien</w:t>
      </w:r>
    </w:p>
    <w:p w14:paraId="4198000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7F45A8F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Dans l’affaire </w:t>
      </w:r>
      <w:proofErr w:type="spellStart"/>
      <w:r w:rsidRPr="00F25463">
        <w:rPr>
          <w:rFonts w:hAnsi="Times New Roman" w:cs="Times New Roman"/>
          <w:sz w:val="22"/>
          <w:szCs w:val="22"/>
        </w:rPr>
        <w:t>Re</w:t>
      </w:r>
      <w:proofErr w:type="spellEnd"/>
      <w:r w:rsidRPr="00F25463">
        <w:rPr>
          <w:rFonts w:hAnsi="Times New Roman" w:cs="Times New Roman"/>
          <w:sz w:val="22"/>
          <w:szCs w:val="22"/>
        </w:rPr>
        <w:t xml:space="preserve"> Offshore </w:t>
      </w:r>
      <w:proofErr w:type="spellStart"/>
      <w:r w:rsidRPr="00F25463">
        <w:rPr>
          <w:rFonts w:hAnsi="Times New Roman" w:cs="Times New Roman"/>
          <w:sz w:val="22"/>
          <w:szCs w:val="22"/>
        </w:rPr>
        <w:t>Mineral</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Rights</w:t>
      </w:r>
      <w:proofErr w:type="spellEnd"/>
      <w:r w:rsidRPr="00F25463">
        <w:rPr>
          <w:rFonts w:hAnsi="Times New Roman" w:cs="Times New Roman"/>
          <w:sz w:val="22"/>
          <w:szCs w:val="22"/>
        </w:rPr>
        <w:t xml:space="preserve"> of C-B de 1967, la Cour suprême déclara que le fédéral avait la propriété du lit de la mer territoriale adjacent à la C-B et qu’il avait droit d’explorer et d’exploiter ces terrains.  Le fédéral avait invoqué 2 sortes d’arguments :</w:t>
      </w:r>
    </w:p>
    <w:p w14:paraId="2E6EF952"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des arguments de droit international et</w:t>
      </w:r>
    </w:p>
    <w:p w14:paraId="725F9B9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des arguments de droit interne canadien</w:t>
      </w:r>
    </w:p>
    <w:p w14:paraId="58E224FC" w14:textId="77777777" w:rsidR="00EC0180" w:rsidRPr="00F25463" w:rsidRDefault="004270F6" w:rsidP="004270F6">
      <w:pPr>
        <w:pStyle w:val="BodyText"/>
        <w:numPr>
          <w:ilvl w:val="1"/>
          <w:numId w:val="38"/>
        </w:numPr>
        <w:tabs>
          <w:tab w:val="clear" w:pos="360"/>
          <w:tab w:val="clear" w:pos="810"/>
          <w:tab w:val="num" w:pos="84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b/>
          <w:bCs/>
          <w:sz w:val="22"/>
          <w:szCs w:val="22"/>
        </w:rPr>
      </w:pPr>
      <w:r w:rsidRPr="00F25463">
        <w:rPr>
          <w:rFonts w:hAnsi="Times New Roman" w:cs="Times New Roman"/>
          <w:b/>
          <w:bCs/>
          <w:sz w:val="22"/>
          <w:szCs w:val="22"/>
        </w:rPr>
        <w:t xml:space="preserve"> Des arguments de droit international</w:t>
      </w:r>
    </w:p>
    <w:p w14:paraId="76B1CC0F"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EE4699"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Les droits de la mer proviennent du droit international.  Or, c’est le Canada qui comme État souverain est reconnu par le droit international public.</w:t>
      </w:r>
    </w:p>
    <w:p w14:paraId="59172BD4"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8F95275" w14:textId="77777777" w:rsidR="00EC0180" w:rsidRPr="00F25463" w:rsidRDefault="004270F6" w:rsidP="004270F6">
      <w:pPr>
        <w:pStyle w:val="BodyText"/>
        <w:numPr>
          <w:ilvl w:val="1"/>
          <w:numId w:val="38"/>
        </w:numPr>
        <w:tabs>
          <w:tab w:val="clear" w:pos="360"/>
          <w:tab w:val="clear" w:pos="810"/>
          <w:tab w:val="num" w:pos="84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840" w:hanging="360"/>
        <w:rPr>
          <w:rFonts w:hAnsi="Times New Roman" w:cs="Times New Roman"/>
          <w:b/>
          <w:bCs/>
          <w:sz w:val="22"/>
          <w:szCs w:val="22"/>
        </w:rPr>
      </w:pPr>
      <w:r w:rsidRPr="00F25463">
        <w:rPr>
          <w:rFonts w:hAnsi="Times New Roman" w:cs="Times New Roman"/>
          <w:b/>
          <w:bCs/>
          <w:sz w:val="22"/>
          <w:szCs w:val="22"/>
        </w:rPr>
        <w:t>Des arguments de droit interne canadien</w:t>
      </w:r>
    </w:p>
    <w:p w14:paraId="3FDD48AB"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27398CC2"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417</w:t>
      </w:r>
      <w:r w:rsidRPr="00F25463">
        <w:rPr>
          <w:rFonts w:hAnsi="Times New Roman" w:cs="Times New Roman"/>
          <w:sz w:val="22"/>
          <w:szCs w:val="22"/>
        </w:rPr>
        <w:t xml:space="preserve"> : Si une colonie peut prouver qu’elle avait une mer territoriale lorsqu’elle est devenue une province, elle peut alors la conserver. </w:t>
      </w:r>
    </w:p>
    <w:p w14:paraId="65D9B0A3"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B5A45F6"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Or, à cause d’une décision du Royaume-Uni (l’affaire </w:t>
      </w:r>
      <w:proofErr w:type="spellStart"/>
      <w:r w:rsidRPr="00F25463">
        <w:rPr>
          <w:rFonts w:hAnsi="Times New Roman" w:cs="Times New Roman"/>
          <w:sz w:val="22"/>
          <w:szCs w:val="22"/>
        </w:rPr>
        <w:t>Keyn</w:t>
      </w:r>
      <w:proofErr w:type="spellEnd"/>
      <w:r w:rsidRPr="00F25463">
        <w:rPr>
          <w:rFonts w:hAnsi="Times New Roman" w:cs="Times New Roman"/>
          <w:sz w:val="22"/>
          <w:szCs w:val="22"/>
        </w:rPr>
        <w:t>) qui délimitait le Royaume-Uni à la laisse de basse mer, le R-U a adopté une loi selon laquelle son droit criminel s’applique jusqu’à 3 miles à partir des côtes.  Par cette loi, il était clair que le Royaume- Uni n’avait pas donné le pouvoir de légiférer à la colonie de la C-B.  Cette dernière n’a donc pas eu le pouvoir sur le territoire lorsqu’elle est devenu une province.</w:t>
      </w:r>
    </w:p>
    <w:p w14:paraId="013AEC07"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C7D6D2F"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Dans une autre affaire, Terre-Neuve a allégué qu’elle avait des lois mineures qui s’appliquaient à la mer territoriale.  De son côté, le fédéral a allégué que ces lois étaient trop mineures et que même si Terre-Neuve avait une mer territoriale, il l’a perdu lors de son alliance au Canada parce que le droit international ne reconnaît une mer territoriale aux États internationaux.  T-N a gagné en Cour d’appel (selon le prof T-N a pas de mer territoriale)</w:t>
      </w:r>
    </w:p>
    <w:p w14:paraId="02D2771A"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F2FC2E9"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Au Canada, la mer territoriale fait automatiquement partie du territoire canadien.  Cependant, à cause de la règle de Common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selon laquelle le territoire canadien s’arrête à la laisse de basse mer et parce que le principe de Common </w:t>
      </w:r>
      <w:proofErr w:type="spellStart"/>
      <w:r w:rsidRPr="00F25463">
        <w:rPr>
          <w:rFonts w:hAnsi="Times New Roman" w:cs="Times New Roman"/>
          <w:sz w:val="22"/>
          <w:szCs w:val="22"/>
        </w:rPr>
        <w:t>law</w:t>
      </w:r>
      <w:proofErr w:type="spellEnd"/>
      <w:r w:rsidRPr="00F25463">
        <w:rPr>
          <w:rFonts w:hAnsi="Times New Roman" w:cs="Times New Roman"/>
          <w:sz w:val="22"/>
          <w:szCs w:val="22"/>
        </w:rPr>
        <w:t xml:space="preserve"> prime sur la coutume en droit canadien, on doit donc adopter les lois qui modifies cette règle (ex : art 477.1 du code criminel qui déclare que le droit criminel s’applique à la mer territoriale et la loi sur l’application </w:t>
      </w:r>
      <w:proofErr w:type="spellStart"/>
      <w:r w:rsidRPr="00F25463">
        <w:rPr>
          <w:rFonts w:hAnsi="Times New Roman" w:cs="Times New Roman"/>
          <w:sz w:val="22"/>
          <w:szCs w:val="22"/>
        </w:rPr>
        <w:t>extra-côtière</w:t>
      </w:r>
      <w:proofErr w:type="spellEnd"/>
      <w:r w:rsidRPr="00F25463">
        <w:rPr>
          <w:rFonts w:hAnsi="Times New Roman" w:cs="Times New Roman"/>
          <w:sz w:val="22"/>
          <w:szCs w:val="22"/>
        </w:rPr>
        <w:t xml:space="preserve"> des lois canadiennes de 1991 en vertu de laquelle les lois canadiennes s’appliquent en mer territoriale)</w:t>
      </w:r>
    </w:p>
    <w:p w14:paraId="465553C4"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527B5EFE" w14:textId="77777777" w:rsidR="00EC0180" w:rsidRPr="00F25463" w:rsidRDefault="004270F6" w:rsidP="004270F6">
      <w:pPr>
        <w:pStyle w:val="BodyText"/>
        <w:numPr>
          <w:ilvl w:val="1"/>
          <w:numId w:val="131"/>
        </w:numPr>
        <w:tabs>
          <w:tab w:val="clear" w:pos="360"/>
          <w:tab w:val="clear" w:pos="450"/>
          <w:tab w:val="num" w:pos="48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hanging="360"/>
        <w:rPr>
          <w:rFonts w:hAnsi="Times New Roman" w:cs="Times New Roman"/>
          <w:b/>
          <w:bCs/>
          <w:sz w:val="22"/>
          <w:szCs w:val="22"/>
        </w:rPr>
      </w:pPr>
      <w:r w:rsidRPr="00F25463">
        <w:rPr>
          <w:rFonts w:hAnsi="Times New Roman" w:cs="Times New Roman"/>
          <w:b/>
          <w:bCs/>
          <w:sz w:val="22"/>
          <w:szCs w:val="22"/>
        </w:rPr>
        <w:t xml:space="preserve">Le territoire (espace) aérien (convention de </w:t>
      </w:r>
      <w:proofErr w:type="spellStart"/>
      <w:r w:rsidRPr="00F25463">
        <w:rPr>
          <w:rFonts w:hAnsi="Times New Roman" w:cs="Times New Roman"/>
          <w:b/>
          <w:bCs/>
          <w:sz w:val="22"/>
          <w:szCs w:val="22"/>
        </w:rPr>
        <w:t>chicago</w:t>
      </w:r>
      <w:proofErr w:type="spellEnd"/>
      <w:r w:rsidRPr="00F25463">
        <w:rPr>
          <w:rFonts w:hAnsi="Times New Roman" w:cs="Times New Roman"/>
          <w:b/>
          <w:bCs/>
          <w:sz w:val="22"/>
          <w:szCs w:val="22"/>
        </w:rPr>
        <w:t xml:space="preserve"> –horizontale)</w:t>
      </w:r>
    </w:p>
    <w:p w14:paraId="61F8197A"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5F64A0C"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1 convention de Chicago</w:t>
      </w:r>
      <w:r w:rsidRPr="00F25463">
        <w:rPr>
          <w:rFonts w:hAnsi="Times New Roman" w:cs="Times New Roman"/>
          <w:sz w:val="22"/>
          <w:szCs w:val="22"/>
        </w:rPr>
        <w:t> : selon cet article de la convention relative à l’aviation civile international signée à Chicago, chaque État a la souveraineté complète et exclusive sur l’espace aérien au-dessus de son territoire.</w:t>
      </w:r>
    </w:p>
    <w:p w14:paraId="548350FA"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CC65D83"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Conséquence de l’art 1</w:t>
      </w:r>
      <w:r w:rsidRPr="00F25463">
        <w:rPr>
          <w:rFonts w:hAnsi="Times New Roman" w:cs="Times New Roman"/>
          <w:sz w:val="22"/>
          <w:szCs w:val="22"/>
        </w:rPr>
        <w:t xml:space="preserve"> : au dessus du territoire d’un État, il n’y a pas de droit de passage inoffensif.  Un avion ne peut donc pas survoler le territoire d’un autre État ou y </w:t>
      </w:r>
      <w:proofErr w:type="spellStart"/>
      <w:r w:rsidRPr="00F25463">
        <w:rPr>
          <w:rFonts w:hAnsi="Times New Roman" w:cs="Times New Roman"/>
          <w:sz w:val="22"/>
          <w:szCs w:val="22"/>
        </w:rPr>
        <w:t>atérrir</w:t>
      </w:r>
      <w:proofErr w:type="spellEnd"/>
      <w:r w:rsidRPr="00F25463">
        <w:rPr>
          <w:rFonts w:hAnsi="Times New Roman" w:cs="Times New Roman"/>
          <w:sz w:val="22"/>
          <w:szCs w:val="22"/>
        </w:rPr>
        <w:t>.</w:t>
      </w:r>
    </w:p>
    <w:p w14:paraId="70FE4A7F"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67CD728"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2 de la convention de 1982</w:t>
      </w:r>
      <w:r w:rsidRPr="00F25463">
        <w:rPr>
          <w:rFonts w:hAnsi="Times New Roman" w:cs="Times New Roman"/>
          <w:sz w:val="22"/>
          <w:szCs w:val="22"/>
        </w:rPr>
        <w:t>: Ces dispositions codifient une règle de droit coutumier selon laquelle la souveraineté de l’État s’étend à l’espace aérien au-dessus de son territoire et au-dessus de sa mer territoriale</w:t>
      </w:r>
    </w:p>
    <w:p w14:paraId="5E56FE75"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6CC20B"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 xml:space="preserve">Art 49 </w:t>
      </w:r>
      <w:proofErr w:type="spellStart"/>
      <w:r w:rsidRPr="00F25463">
        <w:rPr>
          <w:rFonts w:hAnsi="Times New Roman" w:cs="Times New Roman"/>
          <w:b/>
          <w:bCs/>
          <w:sz w:val="22"/>
          <w:szCs w:val="22"/>
        </w:rPr>
        <w:t>covention</w:t>
      </w:r>
      <w:proofErr w:type="spellEnd"/>
      <w:r w:rsidRPr="00F25463">
        <w:rPr>
          <w:rFonts w:hAnsi="Times New Roman" w:cs="Times New Roman"/>
          <w:b/>
          <w:bCs/>
          <w:sz w:val="22"/>
          <w:szCs w:val="22"/>
        </w:rPr>
        <w:t xml:space="preserve"> 1982</w:t>
      </w:r>
      <w:r w:rsidRPr="00F25463">
        <w:rPr>
          <w:rFonts w:hAnsi="Times New Roman" w:cs="Times New Roman"/>
          <w:sz w:val="22"/>
          <w:szCs w:val="22"/>
        </w:rPr>
        <w:t> : L’État archipel a pleine souveraineté sur l’espace aérien au-dessus des eaux archipélagiques.</w:t>
      </w:r>
    </w:p>
    <w:p w14:paraId="495CFD48"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480"/>
        <w:rPr>
          <w:rFonts w:hAnsi="Times New Roman" w:cs="Times New Roman"/>
          <w:sz w:val="22"/>
          <w:szCs w:val="22"/>
        </w:rPr>
      </w:pPr>
    </w:p>
    <w:p w14:paraId="0F6D9278" w14:textId="77777777" w:rsidR="00EC0180" w:rsidRPr="00F25463" w:rsidRDefault="004270F6" w:rsidP="004270F6">
      <w:pPr>
        <w:pStyle w:val="BodyText"/>
        <w:numPr>
          <w:ilvl w:val="0"/>
          <w:numId w:val="26"/>
        </w:numPr>
        <w:tabs>
          <w:tab w:val="clear" w:pos="360"/>
          <w:tab w:val="clear" w:pos="1038"/>
          <w:tab w:val="num" w:pos="1068"/>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Dans l’espace aérien au-dessus des couloirs archipélagique et au-dessus des détroits internationaux, les avions ont un droit de passage archipélagique et un droit de passage en transit.</w:t>
      </w:r>
    </w:p>
    <w:p w14:paraId="7998BADD" w14:textId="77777777" w:rsidR="00EC0180" w:rsidRPr="00F25463" w:rsidRDefault="004270F6" w:rsidP="004270F6">
      <w:pPr>
        <w:pStyle w:val="BodyText"/>
        <w:numPr>
          <w:ilvl w:val="0"/>
          <w:numId w:val="26"/>
        </w:numPr>
        <w:tabs>
          <w:tab w:val="clear" w:pos="360"/>
          <w:tab w:val="clear" w:pos="1038"/>
          <w:tab w:val="num" w:pos="1068"/>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Cependant la souveraineté d’un État ne couvre pas l’espace aérien au-dessus du plateau continental et au-dessus de la zone économique exclusive (ni de la haute mer)</w:t>
      </w:r>
    </w:p>
    <w:p w14:paraId="7345B61B"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4681388"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Limite entre l’espace aérien et extra- aérien (verticale)</w:t>
      </w:r>
    </w:p>
    <w:p w14:paraId="37C22DA3"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F5D88E7"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1967, une convention est conclue entre 84 États qui font de l’exploration extra-atmosphérique.  Selon cette convention :</w:t>
      </w:r>
    </w:p>
    <w:p w14:paraId="3259D2B8" w14:textId="77777777" w:rsidR="00EC0180" w:rsidRPr="00F25463" w:rsidRDefault="004270F6" w:rsidP="004270F6">
      <w:pPr>
        <w:pStyle w:val="BodyText"/>
        <w:numPr>
          <w:ilvl w:val="0"/>
          <w:numId w:val="26"/>
        </w:numPr>
        <w:tabs>
          <w:tab w:val="clear" w:pos="360"/>
          <w:tab w:val="clear" w:pos="1038"/>
          <w:tab w:val="num" w:pos="1068"/>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aucun État ne peut s’approprié l’espace extra-atmosphérique ni aucun corps céleste.</w:t>
      </w:r>
    </w:p>
    <w:p w14:paraId="3AF5BDA7" w14:textId="77777777" w:rsidR="00EC0180" w:rsidRPr="00F25463" w:rsidRDefault="004270F6" w:rsidP="004270F6">
      <w:pPr>
        <w:pStyle w:val="BodyText"/>
        <w:numPr>
          <w:ilvl w:val="0"/>
          <w:numId w:val="26"/>
        </w:numPr>
        <w:tabs>
          <w:tab w:val="clear" w:pos="360"/>
          <w:tab w:val="clear" w:pos="1038"/>
          <w:tab w:val="num" w:pos="1068"/>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Tous les États ont libre accès à l’espace extra-atmosphérique</w:t>
      </w:r>
    </w:p>
    <w:p w14:paraId="00797D39"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FC5A71B"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Il a donc fallu établir la délimitation de la frontière entre l’espace aérien et l’espace extra-atmosphérique.  Cette délimitation se fait selon 2 méthodes :</w:t>
      </w:r>
    </w:p>
    <w:p w14:paraId="6CA8A7E0"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3D255A" w14:textId="77777777" w:rsidR="00EC0180" w:rsidRPr="00F25463" w:rsidRDefault="004270F6" w:rsidP="004270F6">
      <w:pPr>
        <w:pStyle w:val="BodyText"/>
        <w:numPr>
          <w:ilvl w:val="1"/>
          <w:numId w:val="30"/>
        </w:numPr>
        <w:tabs>
          <w:tab w:val="clear" w:pos="360"/>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On doit choisir une altitude</w:t>
      </w:r>
    </w:p>
    <w:p w14:paraId="4DCEB39A"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920"/>
        <w:rPr>
          <w:rFonts w:hAnsi="Times New Roman" w:cs="Times New Roman"/>
          <w:sz w:val="22"/>
          <w:szCs w:val="22"/>
        </w:rPr>
      </w:pPr>
      <w:r w:rsidRPr="00F25463">
        <w:rPr>
          <w:rFonts w:hAnsi="Times New Roman" w:cs="Times New Roman"/>
          <w:sz w:val="22"/>
          <w:szCs w:val="22"/>
        </w:rPr>
        <w:t>Ex 1 : l’espace aérien cesse où la gravitation cesse</w:t>
      </w:r>
    </w:p>
    <w:p w14:paraId="0DCD06D8"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920"/>
        <w:rPr>
          <w:rFonts w:hAnsi="Times New Roman" w:cs="Times New Roman"/>
          <w:sz w:val="22"/>
          <w:szCs w:val="22"/>
        </w:rPr>
      </w:pPr>
      <w:r w:rsidRPr="00F25463">
        <w:rPr>
          <w:rFonts w:hAnsi="Times New Roman" w:cs="Times New Roman"/>
          <w:sz w:val="22"/>
          <w:szCs w:val="22"/>
        </w:rPr>
        <w:t>Ex2 : l’espace aérien cesse à la ligne Karman. (</w:t>
      </w:r>
      <w:proofErr w:type="gramStart"/>
      <w:r w:rsidRPr="00F25463">
        <w:rPr>
          <w:rFonts w:hAnsi="Times New Roman" w:cs="Times New Roman"/>
          <w:sz w:val="22"/>
          <w:szCs w:val="22"/>
        </w:rPr>
        <w:t>cette</w:t>
      </w:r>
      <w:proofErr w:type="gramEnd"/>
      <w:r w:rsidRPr="00F25463">
        <w:rPr>
          <w:rFonts w:hAnsi="Times New Roman" w:cs="Times New Roman"/>
          <w:sz w:val="22"/>
          <w:szCs w:val="22"/>
        </w:rPr>
        <w:t xml:space="preserve"> ligne constitue la limite supérieur de la navigation aérodynamique.  Elle est </w:t>
      </w:r>
      <w:proofErr w:type="gramStart"/>
      <w:r w:rsidRPr="00F25463">
        <w:rPr>
          <w:rFonts w:hAnsi="Times New Roman" w:cs="Times New Roman"/>
          <w:sz w:val="22"/>
          <w:szCs w:val="22"/>
        </w:rPr>
        <w:t>situé</w:t>
      </w:r>
      <w:proofErr w:type="gramEnd"/>
      <w:r w:rsidRPr="00F25463">
        <w:rPr>
          <w:rFonts w:hAnsi="Times New Roman" w:cs="Times New Roman"/>
          <w:sz w:val="22"/>
          <w:szCs w:val="22"/>
        </w:rPr>
        <w:t xml:space="preserve"> à 100 km au-dessus du niveau de la mer, elle peut changer avec la technologie.</w:t>
      </w:r>
    </w:p>
    <w:p w14:paraId="0D8C5587"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BB9D357" w14:textId="77777777" w:rsidR="00EC0180" w:rsidRPr="00F25463" w:rsidRDefault="004270F6" w:rsidP="004270F6">
      <w:pPr>
        <w:pStyle w:val="BodyText"/>
        <w:numPr>
          <w:ilvl w:val="1"/>
          <w:numId w:val="30"/>
        </w:numPr>
        <w:tabs>
          <w:tab w:val="clear" w:pos="360"/>
          <w:tab w:val="clear" w:pos="1758"/>
          <w:tab w:val="num"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L’espace aérien cesse à l’altitude du périgée d’un satellite (environ 160 km du niveau de la mer) Cette méthode est la plus utilisée.</w:t>
      </w:r>
    </w:p>
    <w:p w14:paraId="02ED8C66" w14:textId="77777777" w:rsidR="00EC0180" w:rsidRPr="00F25463" w:rsidRDefault="00EC0180">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E2FC5B9" w14:textId="77777777" w:rsidR="00EC0180" w:rsidRPr="00F25463" w:rsidRDefault="004270F6">
      <w:pPr>
        <w:pStyle w:val="BodyText"/>
        <w:tabs>
          <w:tab w:val="clear" w:pos="360"/>
          <w:tab w:val="left" w:pos="1200"/>
          <w:tab w:val="left" w:pos="180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 régime de la navigation aérienne</w:t>
      </w:r>
    </w:p>
    <w:p w14:paraId="39C12B8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2B03C1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États se sont entendus pour assouplir l’exercice de la souveraineté dans l’espace aérien.  Cet assouplissement s’est fait par 3 conventions :</w:t>
      </w:r>
    </w:p>
    <w:p w14:paraId="7DFE8BA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940A08C" w14:textId="77777777" w:rsidR="00EC0180" w:rsidRPr="00F25463" w:rsidRDefault="004270F6" w:rsidP="004270F6">
      <w:pPr>
        <w:pStyle w:val="BodyText"/>
        <w:numPr>
          <w:ilvl w:val="0"/>
          <w:numId w:val="13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la convention relative à l’aviation civile internationale (142 États)</w:t>
      </w:r>
    </w:p>
    <w:p w14:paraId="2F5BDFB8" w14:textId="77777777" w:rsidR="00EC0180" w:rsidRPr="00F25463" w:rsidRDefault="004270F6" w:rsidP="004270F6">
      <w:pPr>
        <w:pStyle w:val="BodyText"/>
        <w:numPr>
          <w:ilvl w:val="0"/>
          <w:numId w:val="13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la convention sur le transit aérien (95 États)</w:t>
      </w:r>
    </w:p>
    <w:p w14:paraId="72A26CE8" w14:textId="77777777" w:rsidR="00EC0180" w:rsidRPr="00F25463" w:rsidRDefault="004270F6" w:rsidP="004270F6">
      <w:pPr>
        <w:pStyle w:val="BodyText"/>
        <w:numPr>
          <w:ilvl w:val="0"/>
          <w:numId w:val="132"/>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la convention sur le transport aérien (12 États sans le Canada)</w:t>
      </w:r>
    </w:p>
    <w:p w14:paraId="5C39030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Ces conventions reconnaissent un droit de passage inoffensif dans le territoire aérien des États partis à ces conventions en faveur des autres États parti aux conventions. Les avions civils de ces parties ont la liberté de traverser leur territoires aériens sans demander une permission préalable et ce, avec escale non commerciale ou sans escale.</w:t>
      </w:r>
    </w:p>
    <w:p w14:paraId="1236226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1D26A6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Escale commerciale</w:t>
      </w:r>
      <w:r w:rsidRPr="00F25463">
        <w:rPr>
          <w:rFonts w:hAnsi="Times New Roman" w:cs="Times New Roman"/>
          <w:sz w:val="22"/>
          <w:szCs w:val="22"/>
        </w:rPr>
        <w:t> : La convention sur le transport aérien définit l’escale commerciale comme étant un embarquement ou un débarquement de passagers ou de marchandises.  Cette convention permet aux avions civils des parties contractantes de faire des escales sans obtenir de permission.</w:t>
      </w:r>
    </w:p>
    <w:p w14:paraId="40482EC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C’est la convention sur le transport aérien qui régit. 12 États y sont membres.</w:t>
      </w:r>
    </w:p>
    <w:p w14:paraId="2C3882A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EFA31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-Il est à noter que la plupart des escales dans le monde sont régies par des conventions bilatérales et plurilatérales (pas de droit coutumier) </w:t>
      </w:r>
    </w:p>
    <w:p w14:paraId="2F5C9C8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EED331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États non parties à ces conventions ne peuvent pas jouir de ces libertés et doivent donc obtenir des autorisations</w:t>
      </w:r>
    </w:p>
    <w:p w14:paraId="3CCEE47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81F3F2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-Quant aux avions militaires, puisqu’ils ne sont pas couverts par les conventions, ils n’ont pas le droit de passage inoffensif</w:t>
      </w:r>
    </w:p>
    <w:p w14:paraId="11C7D06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991FF1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Conclusion : La liberté de l’air et de survol ne vise que l’espace aérien au-dessus de la haute-mer, au-dessus du plateau continental et au-dessus de la zone économique exclusive.</w:t>
      </w:r>
    </w:p>
    <w:p w14:paraId="30F3033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5D05A15" w14:textId="77777777" w:rsidR="00EC0180" w:rsidRPr="00F25463" w:rsidRDefault="004270F6" w:rsidP="004270F6">
      <w:pPr>
        <w:pStyle w:val="BodyText"/>
        <w:numPr>
          <w:ilvl w:val="1"/>
          <w:numId w:val="133"/>
        </w:numPr>
        <w:tabs>
          <w:tab w:val="clear" w:pos="360"/>
          <w:tab w:val="clear" w:pos="570"/>
          <w:tab w:val="num" w:pos="600"/>
          <w:tab w:val="left" w:pos="1200"/>
          <w:tab w:val="left" w:pos="1920"/>
          <w:tab w:val="left" w:pos="3000"/>
          <w:tab w:val="left" w:pos="3540"/>
          <w:tab w:val="left" w:pos="4248"/>
          <w:tab w:val="left" w:pos="4956"/>
          <w:tab w:val="left" w:pos="5664"/>
          <w:tab w:val="left" w:pos="6372"/>
          <w:tab w:val="left" w:pos="7080"/>
          <w:tab w:val="left" w:pos="7788"/>
          <w:tab w:val="left" w:pos="8496"/>
          <w:tab w:val="left" w:pos="9204"/>
          <w:tab w:val="left" w:pos="9472"/>
        </w:tabs>
        <w:ind w:left="600" w:hanging="360"/>
        <w:rPr>
          <w:rFonts w:hAnsi="Times New Roman" w:cs="Times New Roman"/>
          <w:b/>
          <w:bCs/>
          <w:sz w:val="22"/>
          <w:szCs w:val="22"/>
        </w:rPr>
      </w:pPr>
      <w:r w:rsidRPr="00F25463">
        <w:rPr>
          <w:rFonts w:hAnsi="Times New Roman" w:cs="Times New Roman"/>
          <w:b/>
          <w:bCs/>
          <w:sz w:val="22"/>
          <w:szCs w:val="22"/>
        </w:rPr>
        <w:t>Population</w:t>
      </w:r>
    </w:p>
    <w:p w14:paraId="551CBB6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4F691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Définition : C’est la masse des individus qui sont rattachés à l’État de façon stable par un lien juridique appelé nationalité.</w:t>
      </w:r>
    </w:p>
    <w:p w14:paraId="637E7F8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06F01DEA" w14:textId="77777777" w:rsidR="00EC0180" w:rsidRPr="00F25463" w:rsidRDefault="004270F6" w:rsidP="004270F6">
      <w:pPr>
        <w:pStyle w:val="BodyText"/>
        <w:numPr>
          <w:ilvl w:val="0"/>
          <w:numId w:val="134"/>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sz w:val="22"/>
          <w:szCs w:val="22"/>
        </w:rPr>
      </w:pPr>
      <w:r w:rsidRPr="00F25463">
        <w:rPr>
          <w:rFonts w:hAnsi="Times New Roman" w:cs="Times New Roman"/>
          <w:b/>
          <w:bCs/>
          <w:sz w:val="22"/>
          <w:szCs w:val="22"/>
        </w:rPr>
        <w:t>Fonction de la nationalité</w:t>
      </w:r>
    </w:p>
    <w:p w14:paraId="44B85DB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FF123A7" w14:textId="77777777" w:rsidR="00EC0180" w:rsidRPr="00F25463" w:rsidRDefault="004270F6">
      <w:pPr>
        <w:pStyle w:val="BodyText"/>
        <w:tabs>
          <w:tab w:val="clear" w:pos="360"/>
          <w:tab w:val="left" w:pos="120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La nationalité joue un rôle à 2 niveau :</w:t>
      </w:r>
    </w:p>
    <w:p w14:paraId="10F1B18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Interne (les nationaux, ces citoyens)</w:t>
      </w:r>
    </w:p>
    <w:p w14:paraId="23339B2D"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proofErr w:type="spellStart"/>
      <w:r w:rsidRPr="00F25463">
        <w:rPr>
          <w:rFonts w:hAnsi="Times New Roman" w:cs="Times New Roman"/>
          <w:sz w:val="22"/>
          <w:szCs w:val="22"/>
        </w:rPr>
        <w:t>Ìnternational</w:t>
      </w:r>
      <w:proofErr w:type="spellEnd"/>
      <w:r w:rsidRPr="00F25463">
        <w:rPr>
          <w:rFonts w:hAnsi="Times New Roman" w:cs="Times New Roman"/>
          <w:sz w:val="22"/>
          <w:szCs w:val="22"/>
        </w:rPr>
        <w:t xml:space="preserve"> (les étrangers)</w:t>
      </w:r>
    </w:p>
    <w:p w14:paraId="0DD4C3C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6664B4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Rôle au niveau interne</w:t>
      </w:r>
    </w:p>
    <w:p w14:paraId="0D62DB4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u w:val="single"/>
        </w:rPr>
      </w:pPr>
    </w:p>
    <w:p w14:paraId="24830FA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nationalité permet de distinguer les étrangers des citoyens et de savoir ainsi à qui les lois s’appliquent.  (</w:t>
      </w:r>
      <w:proofErr w:type="gramStart"/>
      <w:r w:rsidRPr="00F25463">
        <w:rPr>
          <w:rFonts w:hAnsi="Times New Roman" w:cs="Times New Roman"/>
          <w:sz w:val="22"/>
          <w:szCs w:val="22"/>
        </w:rPr>
        <w:t>ex</w:t>
      </w:r>
      <w:proofErr w:type="gramEnd"/>
      <w:r w:rsidRPr="00F25463">
        <w:rPr>
          <w:rFonts w:hAnsi="Times New Roman" w:cs="Times New Roman"/>
          <w:sz w:val="22"/>
          <w:szCs w:val="22"/>
        </w:rPr>
        <w:t> : les lois sur la pêche s’adresse aux citoyens et aux étrangers). Il y des lois s’appliquant sur le territoire de l’État qui peuvent donner des traitements plus favorable à ces citoyens.</w:t>
      </w:r>
    </w:p>
    <w:p w14:paraId="52FB6F5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2EB9DB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Rôle au niveau international</w:t>
      </w:r>
    </w:p>
    <w:p w14:paraId="740D92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u w:val="single"/>
        </w:rPr>
      </w:pPr>
    </w:p>
    <w:p w14:paraId="47C873B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La nationalité permet d’étendre en partie au moins son ordre juridique sur ces citoyens même s’ils sont à l’extérieur de son territoire.  (</w:t>
      </w:r>
      <w:proofErr w:type="gramStart"/>
      <w:r w:rsidRPr="00F25463">
        <w:rPr>
          <w:rFonts w:hAnsi="Times New Roman" w:cs="Times New Roman"/>
          <w:sz w:val="22"/>
          <w:szCs w:val="22"/>
        </w:rPr>
        <w:t>principe</w:t>
      </w:r>
      <w:proofErr w:type="gramEnd"/>
      <w:r w:rsidRPr="00F25463">
        <w:rPr>
          <w:rFonts w:hAnsi="Times New Roman" w:cs="Times New Roman"/>
          <w:sz w:val="22"/>
          <w:szCs w:val="22"/>
        </w:rPr>
        <w:t xml:space="preserve"> d’extra-territorialité des lois)</w:t>
      </w:r>
    </w:p>
    <w:p w14:paraId="700C135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Ex : en droit fiscal américain, l’imposition se fait en fonction de la  </w:t>
      </w:r>
    </w:p>
    <w:p w14:paraId="1A4DCA1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nationalité</w:t>
      </w:r>
      <w:proofErr w:type="gramEnd"/>
      <w:r w:rsidRPr="00F25463">
        <w:rPr>
          <w:rFonts w:hAnsi="Times New Roman" w:cs="Times New Roman"/>
          <w:sz w:val="22"/>
          <w:szCs w:val="22"/>
        </w:rPr>
        <w:t>, et non en fonction de la territorialité</w:t>
      </w:r>
    </w:p>
    <w:p w14:paraId="354FA3A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B465E2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protection consulaire</w:t>
      </w:r>
      <w:proofErr w:type="gramStart"/>
      <w:r w:rsidRPr="00F25463">
        <w:rPr>
          <w:rFonts w:hAnsi="Times New Roman" w:cs="Times New Roman"/>
          <w:sz w:val="22"/>
          <w:szCs w:val="22"/>
        </w:rPr>
        <w:t> :L’État</w:t>
      </w:r>
      <w:proofErr w:type="gramEnd"/>
      <w:r w:rsidRPr="00F25463">
        <w:rPr>
          <w:rFonts w:hAnsi="Times New Roman" w:cs="Times New Roman"/>
          <w:sz w:val="22"/>
          <w:szCs w:val="22"/>
        </w:rPr>
        <w:t xml:space="preserve"> pourra donc assister ses citoyens ayant des difficultés à l’Étranger Permet d’avoir l’assistance des diplomates travaillant pour l’État à l’étranger  Ex : problèmes de santé, besoin d’un avocat.</w:t>
      </w:r>
    </w:p>
    <w:p w14:paraId="65974DF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protection diplomatique : Si on veut se présenter devant la CIJ mais on peut pas par soi-même. Demander à l’État d’intervenir pour vous dans l’ordre juridique international, entreprendre des négociations avec l’État qui vous a faits des dommages, etc. </w:t>
      </w:r>
    </w:p>
    <w:p w14:paraId="78960AD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F2AB059" w14:textId="77777777" w:rsidR="00EC0180" w:rsidRPr="00F25463" w:rsidRDefault="004270F6" w:rsidP="004270F6">
      <w:pPr>
        <w:pStyle w:val="BodyText"/>
        <w:numPr>
          <w:ilvl w:val="0"/>
          <w:numId w:val="134"/>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sz w:val="22"/>
          <w:szCs w:val="22"/>
        </w:rPr>
      </w:pPr>
      <w:r w:rsidRPr="00F25463">
        <w:rPr>
          <w:rFonts w:hAnsi="Times New Roman" w:cs="Times New Roman"/>
          <w:b/>
          <w:bCs/>
          <w:sz w:val="22"/>
          <w:szCs w:val="22"/>
        </w:rPr>
        <w:t>Règles internationales relative à l’acquisition et à la perte de la nationalité des personnes physiques</w:t>
      </w:r>
    </w:p>
    <w:p w14:paraId="13BC22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3392850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Ces règles ne sont pas fixées par le droit international.  Leur détermination relève de la compétence exclusive de l’État (La nationalité est un domaine de l’État). Mais cet État peut renoncer à cette exclusivité (mais pourtant plutôt rare).</w:t>
      </w:r>
    </w:p>
    <w:p w14:paraId="17052F7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  Cependant, le pouvoir de l’État n’est pas complètement discrétionnaire. Il y a des règles que l’État doit respecter pour que sa nationalité soit opposable aux tiers. Pour que la citoyenneté soit opposable aux États tiers et qu’elle soit reconnue dans l’ordre juridique international, il faut que sa législation respecte certaines règles de droit coutumier (il est donc illégale de discriminer dans les lois qui octroient la citoyenneté). </w:t>
      </w:r>
    </w:p>
    <w:p w14:paraId="3CFB83C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7FA8F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lang w:val="en-US"/>
        </w:rPr>
      </w:pPr>
      <w:r w:rsidRPr="00F25463">
        <w:rPr>
          <w:rFonts w:hAnsi="Times New Roman" w:cs="Times New Roman"/>
          <w:i/>
          <w:iCs/>
          <w:sz w:val="22"/>
          <w:szCs w:val="22"/>
          <w:lang w:val="en-US"/>
        </w:rPr>
        <w:t xml:space="preserve">Doc </w:t>
      </w:r>
      <w:proofErr w:type="gramStart"/>
      <w:r w:rsidRPr="00F25463">
        <w:rPr>
          <w:rFonts w:hAnsi="Times New Roman" w:cs="Times New Roman"/>
          <w:i/>
          <w:iCs/>
          <w:sz w:val="22"/>
          <w:szCs w:val="22"/>
          <w:lang w:val="en-US"/>
        </w:rPr>
        <w:t>18 :</w:t>
      </w:r>
      <w:proofErr w:type="gramEnd"/>
      <w:r w:rsidRPr="00F25463">
        <w:rPr>
          <w:rFonts w:hAnsi="Times New Roman" w:cs="Times New Roman"/>
          <w:i/>
          <w:iCs/>
          <w:sz w:val="22"/>
          <w:szCs w:val="22"/>
          <w:lang w:val="en-US"/>
        </w:rPr>
        <w:t xml:space="preserve"> </w:t>
      </w:r>
      <w:proofErr w:type="spellStart"/>
      <w:r w:rsidRPr="00F25463">
        <w:rPr>
          <w:rFonts w:hAnsi="Times New Roman" w:cs="Times New Roman"/>
          <w:i/>
          <w:iCs/>
          <w:sz w:val="22"/>
          <w:szCs w:val="22"/>
          <w:lang w:val="en-US"/>
        </w:rPr>
        <w:t>L’Affaire</w:t>
      </w:r>
      <w:proofErr w:type="spellEnd"/>
      <w:r w:rsidRPr="00F25463">
        <w:rPr>
          <w:rFonts w:hAnsi="Times New Roman" w:cs="Times New Roman"/>
          <w:i/>
          <w:iCs/>
          <w:sz w:val="22"/>
          <w:szCs w:val="22"/>
          <w:lang w:val="en-US"/>
        </w:rPr>
        <w:t xml:space="preserve"> </w:t>
      </w:r>
      <w:proofErr w:type="spellStart"/>
      <w:r w:rsidRPr="00F25463">
        <w:rPr>
          <w:rFonts w:hAnsi="Times New Roman" w:cs="Times New Roman"/>
          <w:i/>
          <w:iCs/>
          <w:sz w:val="22"/>
          <w:szCs w:val="22"/>
          <w:lang w:val="en-US"/>
        </w:rPr>
        <w:t>Nottebohm</w:t>
      </w:r>
      <w:proofErr w:type="spellEnd"/>
      <w:r w:rsidRPr="00F25463">
        <w:rPr>
          <w:rFonts w:hAnsi="Times New Roman" w:cs="Times New Roman"/>
          <w:i/>
          <w:iCs/>
          <w:sz w:val="22"/>
          <w:szCs w:val="22"/>
          <w:lang w:val="en-US"/>
        </w:rPr>
        <w:t xml:space="preserve"> (</w:t>
      </w:r>
      <w:proofErr w:type="spellStart"/>
      <w:r w:rsidRPr="00F25463">
        <w:rPr>
          <w:rFonts w:hAnsi="Times New Roman" w:cs="Times New Roman"/>
          <w:i/>
          <w:iCs/>
          <w:sz w:val="22"/>
          <w:szCs w:val="22"/>
          <w:lang w:val="en-US"/>
        </w:rPr>
        <w:t>Liechtenshein</w:t>
      </w:r>
      <w:proofErr w:type="spellEnd"/>
      <w:r w:rsidRPr="00F25463">
        <w:rPr>
          <w:rFonts w:hAnsi="Times New Roman" w:cs="Times New Roman"/>
          <w:i/>
          <w:iCs/>
          <w:sz w:val="22"/>
          <w:szCs w:val="22"/>
          <w:lang w:val="en-US"/>
        </w:rPr>
        <w:t xml:space="preserve"> c. Guatemala (1955))</w:t>
      </w:r>
    </w:p>
    <w:p w14:paraId="026F766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lang w:val="en-US"/>
        </w:rPr>
      </w:pPr>
    </w:p>
    <w:p w14:paraId="091CF21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lang w:val="en-US"/>
        </w:rPr>
        <w:tab/>
      </w:r>
      <w:r w:rsidRPr="00F25463">
        <w:rPr>
          <w:rFonts w:hAnsi="Times New Roman" w:cs="Times New Roman"/>
          <w:sz w:val="22"/>
          <w:szCs w:val="22"/>
        </w:rPr>
        <w:t xml:space="preserve">Né en Allemagne en 1881,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s’établit au </w:t>
      </w:r>
      <w:proofErr w:type="spellStart"/>
      <w:r w:rsidRPr="00F25463">
        <w:rPr>
          <w:rFonts w:hAnsi="Times New Roman" w:cs="Times New Roman"/>
          <w:sz w:val="22"/>
          <w:szCs w:val="22"/>
        </w:rPr>
        <w:t>Guatémala</w:t>
      </w:r>
      <w:proofErr w:type="spellEnd"/>
      <w:r w:rsidRPr="00F25463">
        <w:rPr>
          <w:rFonts w:hAnsi="Times New Roman" w:cs="Times New Roman"/>
          <w:sz w:val="22"/>
          <w:szCs w:val="22"/>
        </w:rPr>
        <w:t xml:space="preserve"> en 1905 et y conserve son domicile jusqu’en 1943 sans avoir jamais obtenu la nationalité guatémaltèque. En 1939, après l’attaque de la Pologne en Allemagne,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présente une demande de naturalisation (nationalité) du Lichtenstein, qu’il obtient la même année pour éviter les problèmes qu’il pourrait avoir s’il gardait la nationalité allemande(un état belligérant).  Muni d’un passeport liechtensteinois, il retrouve au Guatemala au début de 1940 pour y reprendre ses affaires.  En 1943, il est expulsé aux USA par mesure de guerre ; le Guatemala le considère en effet comme un citoyen allemand et c’est à ce titre que tous ses biens furent saisis.  Le 18 décembre 1951, le gouvernement du </w:t>
      </w:r>
      <w:proofErr w:type="spellStart"/>
      <w:r w:rsidRPr="00F25463">
        <w:rPr>
          <w:rFonts w:hAnsi="Times New Roman" w:cs="Times New Roman"/>
          <w:sz w:val="22"/>
          <w:szCs w:val="22"/>
        </w:rPr>
        <w:t>Liechtentein</w:t>
      </w:r>
      <w:proofErr w:type="spellEnd"/>
      <w:r w:rsidRPr="00F25463">
        <w:rPr>
          <w:rFonts w:hAnsi="Times New Roman" w:cs="Times New Roman"/>
          <w:sz w:val="22"/>
          <w:szCs w:val="22"/>
        </w:rPr>
        <w:t xml:space="preserve"> introduit une instance devant la CIJ visant à obtenir réparation pour les mesures prises contre son ressortissant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w:t>
      </w:r>
      <w:proofErr w:type="gramStart"/>
      <w:r w:rsidRPr="00F25463">
        <w:rPr>
          <w:rFonts w:hAnsi="Times New Roman" w:cs="Times New Roman"/>
          <w:sz w:val="22"/>
          <w:szCs w:val="22"/>
        </w:rPr>
        <w:t>cette</w:t>
      </w:r>
      <w:proofErr w:type="gramEnd"/>
      <w:r w:rsidRPr="00F25463">
        <w:rPr>
          <w:rFonts w:hAnsi="Times New Roman" w:cs="Times New Roman"/>
          <w:sz w:val="22"/>
          <w:szCs w:val="22"/>
        </w:rPr>
        <w:t xml:space="preserve"> demande est portée par le </w:t>
      </w:r>
      <w:proofErr w:type="spellStart"/>
      <w:r w:rsidRPr="00F25463">
        <w:rPr>
          <w:rFonts w:hAnsi="Times New Roman" w:cs="Times New Roman"/>
          <w:sz w:val="22"/>
          <w:szCs w:val="22"/>
        </w:rPr>
        <w:t>Liechtentein</w:t>
      </w:r>
      <w:proofErr w:type="spellEnd"/>
      <w:r w:rsidRPr="00F25463">
        <w:rPr>
          <w:rFonts w:hAnsi="Times New Roman" w:cs="Times New Roman"/>
          <w:sz w:val="22"/>
          <w:szCs w:val="22"/>
        </w:rPr>
        <w:t xml:space="preserve"> parce qu’il faut se rappeler qu’un particulier ne peut faire de demande à la CIJ)</w:t>
      </w:r>
    </w:p>
    <w:p w14:paraId="3680B64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Après avoir rappelé qu’il appartient au Lie… comme tout État souverain de régler par sa propre législation l’acquisition de sa nationalité, la cour note que la question à résoudre ne saurait trouver sa solution dans l’ordre juridique interne du </w:t>
      </w:r>
      <w:proofErr w:type="spellStart"/>
      <w:r w:rsidRPr="00F25463">
        <w:rPr>
          <w:rFonts w:hAnsi="Times New Roman" w:cs="Times New Roman"/>
          <w:sz w:val="22"/>
          <w:szCs w:val="22"/>
        </w:rPr>
        <w:t>Liech</w:t>
      </w:r>
      <w:proofErr w:type="spellEnd"/>
      <w:r w:rsidRPr="00F25463">
        <w:rPr>
          <w:rFonts w:hAnsi="Times New Roman" w:cs="Times New Roman"/>
          <w:sz w:val="22"/>
          <w:szCs w:val="22"/>
        </w:rPr>
        <w:t xml:space="preserve">… puisque l’exercice de la protection diplomatique constitue un acte qui se situe au plan du droit international.  Elle conclut finalement que le Guatemala n’est pas tenu de reconnaître la nationalité </w:t>
      </w:r>
      <w:proofErr w:type="spellStart"/>
      <w:r w:rsidRPr="00F25463">
        <w:rPr>
          <w:rFonts w:hAnsi="Times New Roman" w:cs="Times New Roman"/>
          <w:sz w:val="22"/>
          <w:szCs w:val="22"/>
        </w:rPr>
        <w:t>Liecht</w:t>
      </w:r>
      <w:proofErr w:type="spellEnd"/>
      <w:r w:rsidRPr="00F25463">
        <w:rPr>
          <w:rFonts w:hAnsi="Times New Roman" w:cs="Times New Roman"/>
          <w:sz w:val="22"/>
          <w:szCs w:val="22"/>
        </w:rPr>
        <w:t xml:space="preserve">… de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parce que cette dernière avait été octroyé en l’absence de tout effectif entre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et le </w:t>
      </w:r>
      <w:proofErr w:type="spellStart"/>
      <w:r w:rsidRPr="00F25463">
        <w:rPr>
          <w:rFonts w:hAnsi="Times New Roman" w:cs="Times New Roman"/>
          <w:sz w:val="22"/>
          <w:szCs w:val="22"/>
        </w:rPr>
        <w:t>Liec</w:t>
      </w:r>
      <w:proofErr w:type="spellEnd"/>
      <w:r w:rsidRPr="00F25463">
        <w:rPr>
          <w:rFonts w:hAnsi="Times New Roman" w:cs="Times New Roman"/>
          <w:sz w:val="22"/>
          <w:szCs w:val="22"/>
        </w:rPr>
        <w:t xml:space="preserve">….  En effet, les liens de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avec sa nouvelle patrie sont </w:t>
      </w:r>
      <w:proofErr w:type="spellStart"/>
      <w:r w:rsidRPr="00F25463">
        <w:rPr>
          <w:rFonts w:hAnsi="Times New Roman" w:cs="Times New Roman"/>
          <w:sz w:val="22"/>
          <w:szCs w:val="22"/>
        </w:rPr>
        <w:t>extrèmement</w:t>
      </w:r>
      <w:proofErr w:type="spellEnd"/>
      <w:r w:rsidRPr="00F25463">
        <w:rPr>
          <w:rFonts w:hAnsi="Times New Roman" w:cs="Times New Roman"/>
          <w:sz w:val="22"/>
          <w:szCs w:val="22"/>
        </w:rPr>
        <w:t xml:space="preserve"> tenus : aucun domicile, aucune résidence, aucune intention </w:t>
      </w:r>
      <w:r w:rsidRPr="00F25463">
        <w:rPr>
          <w:rFonts w:hAnsi="Times New Roman" w:cs="Times New Roman"/>
          <w:sz w:val="22"/>
          <w:szCs w:val="22"/>
        </w:rPr>
        <w:lastRenderedPageBreak/>
        <w:t>d’y habiter et aucune activité économique.  (</w:t>
      </w:r>
      <w:proofErr w:type="gramStart"/>
      <w:r w:rsidRPr="00F25463">
        <w:rPr>
          <w:rFonts w:hAnsi="Times New Roman" w:cs="Times New Roman"/>
          <w:sz w:val="22"/>
          <w:szCs w:val="22"/>
        </w:rPr>
        <w:t>cette</w:t>
      </w:r>
      <w:proofErr w:type="gramEnd"/>
      <w:r w:rsidRPr="00F25463">
        <w:rPr>
          <w:rFonts w:hAnsi="Times New Roman" w:cs="Times New Roman"/>
          <w:sz w:val="22"/>
          <w:szCs w:val="22"/>
        </w:rPr>
        <w:t xml:space="preserve"> nationalité a été acquise pour des motifs de convenance.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a changé sa nationalité d’un État en guerre pour celle d’un État neutre.). La nationalité du Lie… manquait de sincérité. Il avait changé sa nationalité juste pour des raisons de convenance. Donc la cour n’a pas permis au </w:t>
      </w:r>
      <w:proofErr w:type="gramStart"/>
      <w:r w:rsidRPr="00F25463">
        <w:rPr>
          <w:rFonts w:hAnsi="Times New Roman" w:cs="Times New Roman"/>
          <w:sz w:val="22"/>
          <w:szCs w:val="22"/>
        </w:rPr>
        <w:t>Lie..</w:t>
      </w:r>
      <w:proofErr w:type="gramEnd"/>
      <w:r w:rsidRPr="00F25463">
        <w:rPr>
          <w:rFonts w:hAnsi="Times New Roman" w:cs="Times New Roman"/>
          <w:sz w:val="22"/>
          <w:szCs w:val="22"/>
        </w:rPr>
        <w:t xml:space="preserve"> </w:t>
      </w:r>
      <w:proofErr w:type="gramStart"/>
      <w:r w:rsidRPr="00F25463">
        <w:rPr>
          <w:rFonts w:hAnsi="Times New Roman" w:cs="Times New Roman"/>
          <w:sz w:val="22"/>
          <w:szCs w:val="22"/>
        </w:rPr>
        <w:t>d’exercer</w:t>
      </w:r>
      <w:proofErr w:type="gramEnd"/>
      <w:r w:rsidRPr="00F25463">
        <w:rPr>
          <w:rFonts w:hAnsi="Times New Roman" w:cs="Times New Roman"/>
          <w:sz w:val="22"/>
          <w:szCs w:val="22"/>
        </w:rPr>
        <w:t xml:space="preserve"> sa protection diplomatique pour </w:t>
      </w:r>
      <w:proofErr w:type="spellStart"/>
      <w:r w:rsidRPr="00F25463">
        <w:rPr>
          <w:rFonts w:hAnsi="Times New Roman" w:cs="Times New Roman"/>
          <w:sz w:val="22"/>
          <w:szCs w:val="22"/>
        </w:rPr>
        <w:t>Nottebohm</w:t>
      </w:r>
      <w:proofErr w:type="spellEnd"/>
    </w:p>
    <w:p w14:paraId="02DC87D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153078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Est-ce que le </w:t>
      </w:r>
      <w:proofErr w:type="gramStart"/>
      <w:r w:rsidRPr="00F25463">
        <w:rPr>
          <w:rFonts w:hAnsi="Times New Roman" w:cs="Times New Roman"/>
          <w:sz w:val="22"/>
          <w:szCs w:val="22"/>
        </w:rPr>
        <w:t>Lie..</w:t>
      </w:r>
      <w:proofErr w:type="gramEnd"/>
      <w:r w:rsidRPr="00F25463">
        <w:rPr>
          <w:rFonts w:hAnsi="Times New Roman" w:cs="Times New Roman"/>
          <w:sz w:val="22"/>
          <w:szCs w:val="22"/>
        </w:rPr>
        <w:t xml:space="preserve">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la compétence d’agir pour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w:t>
      </w:r>
    </w:p>
    <w:p w14:paraId="4955E05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La Cour dit non. Les états peuvent légiférer pour obtenir nationalité, etc. mais c’est l’ordre juridique international qui décide si l’État peut exercer la protection diplomatique ou non. </w:t>
      </w:r>
    </w:p>
    <w:p w14:paraId="7E8CC0A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La cour se réfère sur une règle de droit coutumier quand il y a 2 nationalités. Le droit international dit que c’est l’État de la nationalité effective qui peut exercer la protection diplomatique pour son citoyen. Nationalité effective : nationalité qui correspond à la situation de faits de l’individu. Là où sont situés les liens qui caractérisent un </w:t>
      </w:r>
      <w:proofErr w:type="spellStart"/>
      <w:r w:rsidRPr="00F25463">
        <w:rPr>
          <w:rFonts w:hAnsi="Times New Roman" w:cs="Times New Roman"/>
          <w:sz w:val="22"/>
          <w:szCs w:val="22"/>
        </w:rPr>
        <w:t>indiv.Où</w:t>
      </w:r>
      <w:proofErr w:type="spellEnd"/>
      <w:r w:rsidRPr="00F25463">
        <w:rPr>
          <w:rFonts w:hAnsi="Times New Roman" w:cs="Times New Roman"/>
          <w:sz w:val="22"/>
          <w:szCs w:val="22"/>
        </w:rPr>
        <w:t xml:space="preserve"> il travaille, où il a sa famille, où il habite en général, où il a ses comptes en banques.</w:t>
      </w:r>
    </w:p>
    <w:p w14:paraId="78C785F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96BDAC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rPr>
      </w:pPr>
      <w:r w:rsidRPr="00F25463">
        <w:rPr>
          <w:rFonts w:hAnsi="Times New Roman" w:cs="Times New Roman"/>
          <w:i/>
          <w:iCs/>
          <w:sz w:val="22"/>
          <w:szCs w:val="22"/>
        </w:rPr>
        <w:t xml:space="preserve">L’affaire </w:t>
      </w:r>
      <w:proofErr w:type="spellStart"/>
      <w:r w:rsidRPr="00F25463">
        <w:rPr>
          <w:rFonts w:hAnsi="Times New Roman" w:cs="Times New Roman"/>
          <w:i/>
          <w:iCs/>
          <w:sz w:val="22"/>
          <w:szCs w:val="22"/>
        </w:rPr>
        <w:t>Flegenheimer</w:t>
      </w:r>
      <w:proofErr w:type="spellEnd"/>
      <w:r w:rsidRPr="00F25463">
        <w:rPr>
          <w:rFonts w:hAnsi="Times New Roman" w:cs="Times New Roman"/>
          <w:i/>
          <w:iCs/>
          <w:sz w:val="22"/>
          <w:szCs w:val="22"/>
        </w:rPr>
        <w:t xml:space="preserve"> (1958)</w:t>
      </w:r>
    </w:p>
    <w:p w14:paraId="59B3FF9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rPr>
      </w:pPr>
    </w:p>
    <w:p w14:paraId="6961501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Question sur un traité de paix en 1947 qui permettait à des citoyens d’états membres des nations unis qui auraient subis des dommages de droits de propriété de faire des réclamations contre l’Italie pour les dommages subit pendant la 2</w:t>
      </w:r>
      <w:r w:rsidRPr="00F25463">
        <w:rPr>
          <w:rFonts w:hAnsi="Times New Roman" w:cs="Times New Roman"/>
          <w:sz w:val="22"/>
          <w:szCs w:val="22"/>
          <w:vertAlign w:val="superscript"/>
        </w:rPr>
        <w:t>e</w:t>
      </w:r>
      <w:r w:rsidRPr="00F25463">
        <w:rPr>
          <w:rFonts w:hAnsi="Times New Roman" w:cs="Times New Roman"/>
          <w:sz w:val="22"/>
          <w:szCs w:val="22"/>
        </w:rPr>
        <w:t xml:space="preserve"> guerre mondiale. C’était le cas de </w:t>
      </w:r>
      <w:proofErr w:type="spellStart"/>
      <w:r w:rsidRPr="00F25463">
        <w:rPr>
          <w:rFonts w:hAnsi="Times New Roman" w:cs="Times New Roman"/>
          <w:sz w:val="22"/>
          <w:szCs w:val="22"/>
        </w:rPr>
        <w:t>Flegenheimer</w:t>
      </w:r>
      <w:proofErr w:type="spellEnd"/>
      <w:r w:rsidRPr="00F25463">
        <w:rPr>
          <w:rFonts w:hAnsi="Times New Roman" w:cs="Times New Roman"/>
          <w:sz w:val="22"/>
          <w:szCs w:val="22"/>
        </w:rPr>
        <w:t xml:space="preserve"> </w:t>
      </w:r>
      <w:proofErr w:type="spellStart"/>
      <w:r w:rsidRPr="00F25463">
        <w:rPr>
          <w:rFonts w:hAnsi="Times New Roman" w:cs="Times New Roman"/>
          <w:sz w:val="22"/>
          <w:szCs w:val="22"/>
        </w:rPr>
        <w:t>Flegei</w:t>
      </w:r>
      <w:proofErr w:type="spellEnd"/>
      <w:r w:rsidRPr="00F25463">
        <w:rPr>
          <w:rFonts w:hAnsi="Times New Roman" w:cs="Times New Roman"/>
          <w:sz w:val="22"/>
          <w:szCs w:val="22"/>
        </w:rPr>
        <w:t xml:space="preserve"> était maintenant citoyen américain donc leur demanda sous USA.</w:t>
      </w:r>
    </w:p>
    <w:p w14:paraId="554B904C" w14:textId="77777777" w:rsidR="00EC0180" w:rsidRPr="00F25463" w:rsidRDefault="004270F6" w:rsidP="004270F6">
      <w:pPr>
        <w:pStyle w:val="BodyText"/>
        <w:numPr>
          <w:ilvl w:val="1"/>
          <w:numId w:val="135"/>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 xml:space="preserve">L’Italie voulait </w:t>
      </w:r>
      <w:proofErr w:type="gramStart"/>
      <w:r w:rsidRPr="00F25463">
        <w:rPr>
          <w:rFonts w:hAnsi="Times New Roman" w:cs="Times New Roman"/>
          <w:sz w:val="22"/>
          <w:szCs w:val="22"/>
        </w:rPr>
        <w:t>allégué</w:t>
      </w:r>
      <w:proofErr w:type="gramEnd"/>
      <w:r w:rsidRPr="00F25463">
        <w:rPr>
          <w:rFonts w:hAnsi="Times New Roman" w:cs="Times New Roman"/>
          <w:sz w:val="22"/>
          <w:szCs w:val="22"/>
        </w:rPr>
        <w:t xml:space="preserve"> </w:t>
      </w:r>
      <w:proofErr w:type="spellStart"/>
      <w:r w:rsidRPr="00F25463">
        <w:rPr>
          <w:rFonts w:hAnsi="Times New Roman" w:cs="Times New Roman"/>
          <w:sz w:val="22"/>
          <w:szCs w:val="22"/>
        </w:rPr>
        <w:t>Notebohm</w:t>
      </w:r>
      <w:proofErr w:type="spellEnd"/>
      <w:r w:rsidRPr="00F25463">
        <w:rPr>
          <w:rFonts w:hAnsi="Times New Roman" w:cs="Times New Roman"/>
          <w:sz w:val="22"/>
          <w:szCs w:val="22"/>
        </w:rPr>
        <w:t xml:space="preserve">. Disait que la nationalité de </w:t>
      </w:r>
      <w:proofErr w:type="spellStart"/>
      <w:r w:rsidRPr="00F25463">
        <w:rPr>
          <w:rFonts w:hAnsi="Times New Roman" w:cs="Times New Roman"/>
          <w:sz w:val="22"/>
          <w:szCs w:val="22"/>
        </w:rPr>
        <w:t>Flegenheimer</w:t>
      </w:r>
      <w:proofErr w:type="spellEnd"/>
      <w:r w:rsidRPr="00F25463">
        <w:rPr>
          <w:rFonts w:hAnsi="Times New Roman" w:cs="Times New Roman"/>
          <w:sz w:val="22"/>
          <w:szCs w:val="22"/>
        </w:rPr>
        <w:t xml:space="preserve"> était pas effective aux USA. </w:t>
      </w:r>
    </w:p>
    <w:p w14:paraId="4EEBA80C" w14:textId="77777777" w:rsidR="00EC0180" w:rsidRPr="00F25463" w:rsidRDefault="004270F6" w:rsidP="004270F6">
      <w:pPr>
        <w:pStyle w:val="BodyText"/>
        <w:numPr>
          <w:ilvl w:val="1"/>
          <w:numId w:val="135"/>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La théorie de la nationalité effective est pour la double nationalité en permettant à la nation effective de faire la protection du citoyen. Mais si une nationalité pose problème. Donc pas donné raison à l’Italie</w:t>
      </w:r>
    </w:p>
    <w:p w14:paraId="419AB88A" w14:textId="77777777" w:rsidR="00EC0180" w:rsidRPr="00F25463" w:rsidRDefault="004270F6">
      <w:pPr>
        <w:pStyle w:val="BodyText"/>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r w:rsidRPr="00F25463">
        <w:rPr>
          <w:rFonts w:hAnsi="Times New Roman" w:cs="Times New Roman"/>
          <w:sz w:val="22"/>
          <w:szCs w:val="22"/>
        </w:rPr>
        <w:t xml:space="preserve">On a dit de ne pas </w:t>
      </w:r>
      <w:proofErr w:type="gramStart"/>
      <w:r w:rsidRPr="00F25463">
        <w:rPr>
          <w:rFonts w:hAnsi="Times New Roman" w:cs="Times New Roman"/>
          <w:sz w:val="22"/>
          <w:szCs w:val="22"/>
        </w:rPr>
        <w:t>appliquer  le</w:t>
      </w:r>
      <w:proofErr w:type="gramEnd"/>
      <w:r w:rsidRPr="00F25463">
        <w:rPr>
          <w:rFonts w:hAnsi="Times New Roman" w:cs="Times New Roman"/>
          <w:sz w:val="22"/>
          <w:szCs w:val="22"/>
        </w:rPr>
        <w:t xml:space="preserve"> principe de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dans tous les cas.. </w:t>
      </w:r>
      <w:proofErr w:type="gramStart"/>
      <w:r w:rsidRPr="00F25463">
        <w:rPr>
          <w:rFonts w:hAnsi="Times New Roman" w:cs="Times New Roman"/>
          <w:sz w:val="22"/>
          <w:szCs w:val="22"/>
        </w:rPr>
        <w:t>surtout</w:t>
      </w:r>
      <w:proofErr w:type="gramEnd"/>
      <w:r w:rsidRPr="00F25463">
        <w:rPr>
          <w:rFonts w:hAnsi="Times New Roman" w:cs="Times New Roman"/>
          <w:sz w:val="22"/>
          <w:szCs w:val="22"/>
        </w:rPr>
        <w:t xml:space="preserve"> quand un individu n’a qu’une nationalité.</w:t>
      </w:r>
    </w:p>
    <w:p w14:paraId="67A65A5A" w14:textId="77777777" w:rsidR="00EC0180" w:rsidRPr="00F25463" w:rsidRDefault="00EC0180">
      <w:pPr>
        <w:pStyle w:val="BodyText"/>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p>
    <w:p w14:paraId="73E50ED3" w14:textId="77777777" w:rsidR="00EC0180" w:rsidRPr="00F25463" w:rsidRDefault="00EC0180">
      <w:pPr>
        <w:pStyle w:val="BodyText"/>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p>
    <w:p w14:paraId="3576B694" w14:textId="77777777" w:rsidR="00EC0180" w:rsidRPr="00F25463" w:rsidRDefault="00EC0180">
      <w:pPr>
        <w:pStyle w:val="BodyText"/>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p>
    <w:p w14:paraId="26472468" w14:textId="77777777" w:rsidR="00EC0180" w:rsidRPr="00F25463" w:rsidRDefault="00EC0180">
      <w:pPr>
        <w:pStyle w:val="BodyText"/>
        <w:tabs>
          <w:tab w:val="clear" w:pos="360"/>
          <w:tab w:val="left"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16"/>
        <w:rPr>
          <w:rFonts w:hAnsi="Times New Roman" w:cs="Times New Roman"/>
          <w:sz w:val="22"/>
          <w:szCs w:val="22"/>
        </w:rPr>
      </w:pPr>
    </w:p>
    <w:p w14:paraId="124C7F0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BB2E45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Comment concili</w:t>
      </w:r>
      <w:r w:rsidR="002B618F" w:rsidRPr="00F25463">
        <w:rPr>
          <w:rFonts w:hAnsi="Times New Roman" w:cs="Times New Roman"/>
          <w:sz w:val="22"/>
          <w:szCs w:val="22"/>
        </w:rPr>
        <w:t>er</w:t>
      </w:r>
      <w:r w:rsidRPr="00F25463">
        <w:rPr>
          <w:rFonts w:hAnsi="Times New Roman" w:cs="Times New Roman"/>
          <w:sz w:val="22"/>
          <w:szCs w:val="22"/>
        </w:rPr>
        <w:t xml:space="preserve"> les 2 causes ?</w:t>
      </w:r>
    </w:p>
    <w:p w14:paraId="38EE0C6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F5DE95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La doctrine dit que la règle de </w:t>
      </w:r>
      <w:proofErr w:type="spellStart"/>
      <w:r w:rsidRPr="00F25463">
        <w:rPr>
          <w:rFonts w:hAnsi="Times New Roman" w:cs="Times New Roman"/>
          <w:sz w:val="22"/>
          <w:szCs w:val="22"/>
        </w:rPr>
        <w:t>Nothe</w:t>
      </w:r>
      <w:proofErr w:type="spellEnd"/>
      <w:r w:rsidRPr="00F25463">
        <w:rPr>
          <w:rFonts w:hAnsi="Times New Roman" w:cs="Times New Roman"/>
          <w:sz w:val="22"/>
          <w:szCs w:val="22"/>
        </w:rPr>
        <w:t xml:space="preserve"> va continuer de s’applique au cas de 1 nationalité acquise pour de motifs de convenance (nationalité sans qu’il y ait aucun lien entre l’individu et la nouvelle nationalité) individu qui change comme dans </w:t>
      </w:r>
      <w:proofErr w:type="spellStart"/>
      <w:r w:rsidRPr="00F25463">
        <w:rPr>
          <w:rFonts w:hAnsi="Times New Roman" w:cs="Times New Roman"/>
          <w:sz w:val="22"/>
          <w:szCs w:val="22"/>
        </w:rPr>
        <w:t>Notthebom</w:t>
      </w:r>
      <w:proofErr w:type="spellEnd"/>
      <w:r w:rsidRPr="00F25463">
        <w:rPr>
          <w:rFonts w:hAnsi="Times New Roman" w:cs="Times New Roman"/>
          <w:sz w:val="22"/>
          <w:szCs w:val="22"/>
        </w:rPr>
        <w:t xml:space="preserve"> va </w:t>
      </w:r>
      <w:proofErr w:type="gramStart"/>
      <w:r w:rsidRPr="00F25463">
        <w:rPr>
          <w:rFonts w:hAnsi="Times New Roman" w:cs="Times New Roman"/>
          <w:sz w:val="22"/>
          <w:szCs w:val="22"/>
        </w:rPr>
        <w:t>continuer(</w:t>
      </w:r>
      <w:proofErr w:type="gramEnd"/>
      <w:r w:rsidRPr="00F25463">
        <w:rPr>
          <w:rFonts w:hAnsi="Times New Roman" w:cs="Times New Roman"/>
          <w:sz w:val="22"/>
          <w:szCs w:val="22"/>
        </w:rPr>
        <w:t xml:space="preserve">contrairement à </w:t>
      </w:r>
      <w:proofErr w:type="spellStart"/>
      <w:r w:rsidRPr="00F25463">
        <w:rPr>
          <w:rFonts w:hAnsi="Times New Roman" w:cs="Times New Roman"/>
          <w:sz w:val="22"/>
          <w:szCs w:val="22"/>
        </w:rPr>
        <w:t>Flegenheimer</w:t>
      </w:r>
      <w:proofErr w:type="spellEnd"/>
      <w:r w:rsidRPr="00F25463">
        <w:rPr>
          <w:rFonts w:hAnsi="Times New Roman" w:cs="Times New Roman"/>
          <w:sz w:val="22"/>
          <w:szCs w:val="22"/>
        </w:rPr>
        <w:t xml:space="preserve"> qui avait de véritable raisons autre que de convenance d’acquérir une nouvelle nationalité).</w:t>
      </w:r>
    </w:p>
    <w:p w14:paraId="70CD6AF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Pour les personnes qui veulent changer et on 1 seule nationalité et né dans le pays. Si va à l’étranger va appliquer </w:t>
      </w:r>
      <w:proofErr w:type="spellStart"/>
      <w:r w:rsidRPr="00F25463">
        <w:rPr>
          <w:rFonts w:hAnsi="Times New Roman" w:cs="Times New Roman"/>
          <w:sz w:val="22"/>
          <w:szCs w:val="22"/>
        </w:rPr>
        <w:t>flegenheimer</w:t>
      </w:r>
      <w:proofErr w:type="spellEnd"/>
      <w:r w:rsidRPr="00F25463">
        <w:rPr>
          <w:rFonts w:hAnsi="Times New Roman" w:cs="Times New Roman"/>
          <w:sz w:val="22"/>
          <w:szCs w:val="22"/>
        </w:rPr>
        <w:t>. Qui n’ont qu’une nationalité et pas sous convenance.</w:t>
      </w:r>
    </w:p>
    <w:p w14:paraId="138EA1E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1E6496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Nationalité multiple raison : dans le monde il y a des apatride (pas de nationalité – personne sans) c’est parce que les États sont souverain.  Il y a </w:t>
      </w:r>
      <w:proofErr w:type="gramStart"/>
      <w:r w:rsidRPr="00F25463">
        <w:rPr>
          <w:rFonts w:hAnsi="Times New Roman" w:cs="Times New Roman"/>
          <w:sz w:val="22"/>
          <w:szCs w:val="22"/>
        </w:rPr>
        <w:t>des lois nationale</w:t>
      </w:r>
      <w:proofErr w:type="gramEnd"/>
      <w:r w:rsidRPr="00F25463">
        <w:rPr>
          <w:rFonts w:hAnsi="Times New Roman" w:cs="Times New Roman"/>
          <w:sz w:val="22"/>
          <w:szCs w:val="22"/>
        </w:rPr>
        <w:t xml:space="preserve"> qui permette les nationalités multiple. </w:t>
      </w:r>
    </w:p>
    <w:p w14:paraId="5A9BB60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22A25BA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Pose problème dans le passé surtout : la question du service militaire.  </w:t>
      </w:r>
    </w:p>
    <w:p w14:paraId="49A2988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Maintenant, il y a </w:t>
      </w:r>
      <w:proofErr w:type="gramStart"/>
      <w:r w:rsidRPr="00F25463">
        <w:rPr>
          <w:rFonts w:hAnsi="Times New Roman" w:cs="Times New Roman"/>
          <w:sz w:val="22"/>
          <w:szCs w:val="22"/>
        </w:rPr>
        <w:t>des convention</w:t>
      </w:r>
      <w:proofErr w:type="gramEnd"/>
      <w:r w:rsidRPr="00F25463">
        <w:rPr>
          <w:rFonts w:hAnsi="Times New Roman" w:cs="Times New Roman"/>
          <w:sz w:val="22"/>
          <w:szCs w:val="22"/>
        </w:rPr>
        <w:t xml:space="preserve"> entre les États pour ne pas avoir de conflit. Empêche d’obliger le service militaire ex : en Grèce avant 5 ans maintenant 6 mois.</w:t>
      </w:r>
    </w:p>
    <w:p w14:paraId="7DC1D60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03D58E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Personnalité multiple : problème quand l’individu veut que son État nationale exerce la protection diplomatique. </w:t>
      </w:r>
    </w:p>
    <w:p w14:paraId="1C87BDB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E866A6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lastRenderedPageBreak/>
        <w:t xml:space="preserve">Plus Effective : Ce doit être la nationalité ou l’État est la plus effective (économie, ou plus de bien, ou domicile). Se joue entre États nationaux, mais pas entre États tiers. </w:t>
      </w:r>
    </w:p>
    <w:p w14:paraId="25ADB9F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4C4989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(Le gars plaide qu’en droit international il n’y a pas de Stare </w:t>
      </w:r>
      <w:proofErr w:type="spellStart"/>
      <w:r w:rsidRPr="00F25463">
        <w:rPr>
          <w:rFonts w:hAnsi="Times New Roman" w:cs="Times New Roman"/>
          <w:sz w:val="22"/>
          <w:szCs w:val="22"/>
        </w:rPr>
        <w:t>decisis</w:t>
      </w:r>
      <w:proofErr w:type="spellEnd"/>
      <w:r w:rsidRPr="00F25463">
        <w:rPr>
          <w:rFonts w:hAnsi="Times New Roman" w:cs="Times New Roman"/>
          <w:sz w:val="22"/>
          <w:szCs w:val="22"/>
        </w:rPr>
        <w:t xml:space="preserve"> : </w:t>
      </w:r>
      <w:proofErr w:type="spellStart"/>
      <w:r w:rsidRPr="00F25463">
        <w:rPr>
          <w:rFonts w:hAnsi="Times New Roman" w:cs="Times New Roman"/>
          <w:sz w:val="22"/>
          <w:szCs w:val="22"/>
        </w:rPr>
        <w:t>Nottebohm</w:t>
      </w:r>
      <w:proofErr w:type="spellEnd"/>
      <w:r w:rsidRPr="00F25463">
        <w:rPr>
          <w:rFonts w:hAnsi="Times New Roman" w:cs="Times New Roman"/>
          <w:sz w:val="22"/>
          <w:szCs w:val="22"/>
        </w:rPr>
        <w:t xml:space="preserve"> ne s’applique que pour les cas ou un individu a obtenu une nationalité par pur convenance)</w:t>
      </w:r>
    </w:p>
    <w:p w14:paraId="551FB55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C7CE9E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roofErr w:type="gramStart"/>
      <w:r w:rsidRPr="00F25463">
        <w:rPr>
          <w:rFonts w:hAnsi="Times New Roman" w:cs="Times New Roman"/>
          <w:sz w:val="22"/>
          <w:szCs w:val="22"/>
        </w:rPr>
        <w:t>Cet affaire</w:t>
      </w:r>
      <w:proofErr w:type="gramEnd"/>
      <w:r w:rsidRPr="00F25463">
        <w:rPr>
          <w:rFonts w:hAnsi="Times New Roman" w:cs="Times New Roman"/>
          <w:sz w:val="22"/>
          <w:szCs w:val="22"/>
        </w:rPr>
        <w:t xml:space="preserve"> a apporté une précision.  On y disait qu’il était dangereux d’appliquer systématiquement l’affaire </w:t>
      </w:r>
      <w:proofErr w:type="spellStart"/>
      <w:r w:rsidRPr="00F25463">
        <w:rPr>
          <w:rFonts w:hAnsi="Times New Roman" w:cs="Times New Roman"/>
          <w:sz w:val="22"/>
          <w:szCs w:val="22"/>
        </w:rPr>
        <w:t>Nottedohm</w:t>
      </w:r>
      <w:proofErr w:type="spellEnd"/>
      <w:r w:rsidRPr="00F25463">
        <w:rPr>
          <w:rFonts w:hAnsi="Times New Roman" w:cs="Times New Roman"/>
          <w:sz w:val="22"/>
          <w:szCs w:val="22"/>
        </w:rPr>
        <w:t>.  En effet, la théorie de la nationalité effective pourrait avoir des effets fâcheux.  Si un individu habite dans un autre pays pendant plusieurs années sans avoir de relation avec son pays d’origine, en appliquant la théorie de la nationalité effective, cet individu ne pourrait pas bénéficier de la protection de son pays d’origine.</w:t>
      </w:r>
    </w:p>
    <w:p w14:paraId="1F26233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5214508" w14:textId="77777777" w:rsidR="00EC0180" w:rsidRPr="00F25463" w:rsidRDefault="004270F6" w:rsidP="004270F6">
      <w:pPr>
        <w:pStyle w:val="BodyText"/>
        <w:numPr>
          <w:ilvl w:val="0"/>
          <w:numId w:val="134"/>
        </w:numPr>
        <w:tabs>
          <w:tab w:val="clear" w:pos="360"/>
          <w:tab w:val="clear" w:pos="930"/>
          <w:tab w:val="num" w:pos="9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hanging="360"/>
        <w:rPr>
          <w:rFonts w:hAnsi="Times New Roman" w:cs="Times New Roman"/>
          <w:b/>
          <w:bCs/>
          <w:sz w:val="22"/>
          <w:szCs w:val="22"/>
        </w:rPr>
      </w:pPr>
      <w:r w:rsidRPr="00F25463">
        <w:rPr>
          <w:rFonts w:hAnsi="Times New Roman" w:cs="Times New Roman"/>
          <w:b/>
          <w:bCs/>
          <w:sz w:val="22"/>
          <w:szCs w:val="22"/>
        </w:rPr>
        <w:t>Remarques spéciales</w:t>
      </w:r>
    </w:p>
    <w:p w14:paraId="3861EDC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FEC4CD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Cas de double nationalité</w:t>
      </w:r>
    </w:p>
    <w:p w14:paraId="474C30D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50F9868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Ce problème est causé par le fait que l’acquisition de la nationalité relève de la compétence exclusive de chacun des différents États.  C’est un problème parce que non seulement un État ne peut pas exercer sa protection diplomatique au profit d’un des nationaux mais aussi parce qu’un individu peut être soumis à 2 obligations simultanées et contradictoires, telle l’obligation militaire en cas de guerre entre les 2 États dont il relève.</w:t>
      </w:r>
    </w:p>
    <w:p w14:paraId="0FAC047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55347EB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Des conventions ont donc été conclues pour réduire le nombre de double nationalité et pour régler leur statut.</w:t>
      </w:r>
    </w:p>
    <w:p w14:paraId="59EDBD0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07A404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Si un individu a plusieurs nationalités et qu’il a besoin de la protection diplomatique, c’est l’État de la nationalité effective ou la plus effective qui va lui fournir (État du domicile : lieur des </w:t>
      </w:r>
      <w:proofErr w:type="spellStart"/>
      <w:r w:rsidRPr="00F25463">
        <w:rPr>
          <w:rFonts w:hAnsi="Times New Roman" w:cs="Times New Roman"/>
          <w:sz w:val="22"/>
          <w:szCs w:val="22"/>
        </w:rPr>
        <w:t>économiees</w:t>
      </w:r>
      <w:proofErr w:type="spellEnd"/>
      <w:r w:rsidRPr="00F25463">
        <w:rPr>
          <w:rFonts w:hAnsi="Times New Roman" w:cs="Times New Roman"/>
          <w:sz w:val="22"/>
          <w:szCs w:val="22"/>
        </w:rPr>
        <w:t>)</w:t>
      </w:r>
    </w:p>
    <w:p w14:paraId="3D0122E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FA612A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Ex de problème :</w:t>
      </w:r>
    </w:p>
    <w:p w14:paraId="5127473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X à 3 nationalité : État A (nationalité la plus effective) État B et État C et il y a un État tiers D.</w:t>
      </w:r>
    </w:p>
    <w:p w14:paraId="6AE511F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70EF98B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A ne peut protéger X contre B et C que s’il constitue l’État de la nationalité la plus effective.  C ne pourrait pas exercer sa protection diplomatique s’il n’est pas l’État de la nationalité la plus effective.</w:t>
      </w:r>
    </w:p>
    <w:p w14:paraId="32C23F6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1064E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Cependant, si B veut poursuivre l’État tiers D, cet État tiers ne pourra pas opposer le fait que B n’est pas l’État de la nationalité effective de la personne.</w:t>
      </w:r>
    </w:p>
    <w:p w14:paraId="49F1B0F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581F02C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Dans le cas de </w:t>
      </w:r>
      <w:proofErr w:type="spellStart"/>
      <w:r w:rsidRPr="00F25463">
        <w:rPr>
          <w:rFonts w:hAnsi="Times New Roman" w:cs="Times New Roman"/>
          <w:sz w:val="22"/>
          <w:szCs w:val="22"/>
        </w:rPr>
        <w:t>Notehbom</w:t>
      </w:r>
      <w:proofErr w:type="spellEnd"/>
      <w:r w:rsidRPr="00F25463">
        <w:rPr>
          <w:rFonts w:hAnsi="Times New Roman" w:cs="Times New Roman"/>
          <w:sz w:val="22"/>
          <w:szCs w:val="22"/>
        </w:rPr>
        <w:t xml:space="preserve"> : 1 nationalité et celle-ci était acquise par convenance, ici le tiers pourrait contredire. </w:t>
      </w:r>
    </w:p>
    <w:p w14:paraId="38BA0FE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Dans </w:t>
      </w:r>
      <w:proofErr w:type="spellStart"/>
      <w:r w:rsidRPr="00F25463">
        <w:rPr>
          <w:rFonts w:hAnsi="Times New Roman" w:cs="Times New Roman"/>
          <w:sz w:val="22"/>
          <w:szCs w:val="22"/>
        </w:rPr>
        <w:t>Fleng</w:t>
      </w:r>
      <w:proofErr w:type="spellEnd"/>
      <w:r w:rsidRPr="00F25463">
        <w:rPr>
          <w:rFonts w:hAnsi="Times New Roman" w:cs="Times New Roman"/>
          <w:sz w:val="22"/>
          <w:szCs w:val="22"/>
        </w:rPr>
        <w:t> : pas sous convenance, c’est consistant. Le tiers ne peut pas contredire parce que pas sous convenance</w:t>
      </w:r>
    </w:p>
    <w:p w14:paraId="55006CE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C5DBF6B" w14:textId="77777777" w:rsidR="00F25463" w:rsidRPr="00F25463" w:rsidRDefault="004270F6" w:rsidP="00F25463">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b/>
          <w:bCs/>
          <w:sz w:val="22"/>
          <w:szCs w:val="22"/>
        </w:rPr>
        <w:t>Apatridie :</w:t>
      </w:r>
      <w:r w:rsidRPr="00F25463">
        <w:rPr>
          <w:rFonts w:hAnsi="Times New Roman" w:cs="Times New Roman"/>
          <w:sz w:val="22"/>
          <w:szCs w:val="22"/>
        </w:rPr>
        <w:t xml:space="preserve"> Dans </w:t>
      </w:r>
      <w:proofErr w:type="spellStart"/>
      <w:r w:rsidRPr="00F25463">
        <w:rPr>
          <w:rFonts w:hAnsi="Times New Roman" w:cs="Times New Roman"/>
          <w:sz w:val="22"/>
          <w:szCs w:val="22"/>
        </w:rPr>
        <w:t>Arbour</w:t>
      </w:r>
      <w:proofErr w:type="spellEnd"/>
      <w:r w:rsidRPr="00F25463">
        <w:rPr>
          <w:rFonts w:hAnsi="Times New Roman" w:cs="Times New Roman"/>
          <w:sz w:val="22"/>
          <w:szCs w:val="22"/>
        </w:rPr>
        <w:t xml:space="preserve"> </w:t>
      </w:r>
      <w:r w:rsidR="00F25463" w:rsidRPr="00F25463">
        <w:rPr>
          <w:rFonts w:hAnsi="Times New Roman" w:cs="Times New Roman"/>
          <w:sz w:val="22"/>
          <w:szCs w:val="22"/>
        </w:rPr>
        <w:t>p.774</w:t>
      </w:r>
    </w:p>
    <w:p w14:paraId="038530E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27B10CB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Il y a plusieurs causes d’apatridie.</w:t>
      </w:r>
    </w:p>
    <w:p w14:paraId="4E42A9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Exemple :</w:t>
      </w:r>
    </w:p>
    <w:p w14:paraId="6E60AFC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divergence de lois nationales attribuant la nationalité (</w:t>
      </w:r>
      <w:r w:rsidRPr="00F25463">
        <w:rPr>
          <w:rFonts w:hAnsi="Times New Roman" w:cs="Times New Roman"/>
          <w:b/>
          <w:bCs/>
          <w:sz w:val="22"/>
          <w:szCs w:val="22"/>
        </w:rPr>
        <w:t>Ex :</w:t>
      </w:r>
      <w:r w:rsidRPr="00F25463">
        <w:rPr>
          <w:rFonts w:hAnsi="Times New Roman" w:cs="Times New Roman"/>
          <w:sz w:val="22"/>
          <w:szCs w:val="22"/>
        </w:rPr>
        <w:t xml:space="preserve"> la femme qui marie un étranger, elle perd sa nationalité et le pays de son mari ne lui donnait pas de nationalité)</w:t>
      </w:r>
    </w:p>
    <w:p w14:paraId="0E4491B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perte de nationalité à titre de sanction juridique ou politique (ex. punir un traître)</w:t>
      </w:r>
    </w:p>
    <w:p w14:paraId="77967E9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6382EBF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Conséquence de l’apatridie (c’est généralement un problème, qui est réglé par des conventions):</w:t>
      </w:r>
    </w:p>
    <w:p w14:paraId="30A2B09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L’individu est soumis à la compétence de l’État où il vit</w:t>
      </w:r>
    </w:p>
    <w:p w14:paraId="6C5DF04A"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lastRenderedPageBreak/>
        <w:t xml:space="preserve">Il ne peut bénéficier de la protection internationale de l’État où il vit </w:t>
      </w:r>
    </w:p>
    <w:p w14:paraId="6AD839B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Pour voyager, il doit obtenir un titre de voyage de l’État où il vit.</w:t>
      </w:r>
    </w:p>
    <w:p w14:paraId="042C3FC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Il n’a la nationalité de personne. Il est soumis à l’État qui accepte de le recevoir mais il ne peut pas bénéficier de sa protection diplomatique et consulaire évidemment puisqu’il n’y a pas la nationalité.</w:t>
      </w:r>
    </w:p>
    <w:p w14:paraId="3096DA8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64B54B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Le droit international évolue dans ce domaine.  On croit qu’un État pourrait allouer sa protection diplomatique dans un cadre de protection humanitaire (ex : ça pourrait être utilisé pour venir en aide au peuple Kurde à qui l’Irak s’en prend)</w:t>
      </w:r>
    </w:p>
    <w:p w14:paraId="32FD2C1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5908E9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Des conventions ont été conclues par quelques États pour contrôler le problème de l’apatridie</w:t>
      </w:r>
    </w:p>
    <w:p w14:paraId="05BB582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convention relative au statut des apatrides de 1954</w:t>
      </w:r>
    </w:p>
    <w:p w14:paraId="7F3292F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convention des Nations Unies sur la réduction de l’apatridie de 1961</w:t>
      </w:r>
    </w:p>
    <w:p w14:paraId="523CAE5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convention de 1957 sur la nationalité de la femme mariée.</w:t>
      </w:r>
    </w:p>
    <w:p w14:paraId="7CF8809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46A03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Comment on devient apatride :</w:t>
      </w:r>
      <w:r w:rsidRPr="00F25463">
        <w:rPr>
          <w:rFonts w:hAnsi="Times New Roman" w:cs="Times New Roman"/>
          <w:sz w:val="22"/>
          <w:szCs w:val="22"/>
        </w:rPr>
        <w:t> la loi de l’État dit accusé de trahison et puis la loi de ce pays vs enlève la nationalité</w:t>
      </w:r>
    </w:p>
    <w:p w14:paraId="5224E09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BC86CE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L’Apatride, n’a pas de nationalité, de passeport, pas de pays qui aide en cas de conflit. </w:t>
      </w:r>
    </w:p>
    <w:p w14:paraId="03078DC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3D7B2E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Réglementation canadienne ayant trait à l’acquisition et la perte de la nationalité</w:t>
      </w:r>
    </w:p>
    <w:p w14:paraId="14F677E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E627D5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Art 91(25) LC 1867 : C’est le fédéral qui a compétence exclusive en matière de naturalisation, il a donc également compétence sur la nationalité.  D’ailleurs, la loi concernant la citoyenneté détermine des conditions à ce sujet (plan, page 9). Cette loi fixe les conditions d’acquisition de la nationalité. </w:t>
      </w:r>
    </w:p>
    <w:p w14:paraId="336F0A5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ED3527" w14:textId="77777777" w:rsidR="00EC0180" w:rsidRPr="00F25463" w:rsidRDefault="002B618F">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Ju</w:t>
      </w:r>
      <w:r w:rsidR="004270F6" w:rsidRPr="00F25463">
        <w:rPr>
          <w:rFonts w:hAnsi="Times New Roman" w:cs="Times New Roman"/>
          <w:sz w:val="22"/>
          <w:szCs w:val="22"/>
        </w:rPr>
        <w:t xml:space="preserve">s </w:t>
      </w:r>
      <w:proofErr w:type="spellStart"/>
      <w:r w:rsidR="004270F6" w:rsidRPr="00F25463">
        <w:rPr>
          <w:rFonts w:hAnsi="Times New Roman" w:cs="Times New Roman"/>
          <w:sz w:val="22"/>
          <w:szCs w:val="22"/>
        </w:rPr>
        <w:t>sang</w:t>
      </w:r>
      <w:r w:rsidRPr="00F25463">
        <w:rPr>
          <w:rFonts w:hAnsi="Times New Roman" w:cs="Times New Roman"/>
          <w:sz w:val="22"/>
          <w:szCs w:val="22"/>
        </w:rPr>
        <w:t>u</w:t>
      </w:r>
      <w:r w:rsidR="004270F6" w:rsidRPr="00F25463">
        <w:rPr>
          <w:rFonts w:hAnsi="Times New Roman" w:cs="Times New Roman"/>
          <w:sz w:val="22"/>
          <w:szCs w:val="22"/>
        </w:rPr>
        <w:t>inis</w:t>
      </w:r>
      <w:proofErr w:type="spellEnd"/>
      <w:r w:rsidR="004270F6" w:rsidRPr="00F25463">
        <w:rPr>
          <w:rFonts w:hAnsi="Times New Roman" w:cs="Times New Roman"/>
          <w:sz w:val="22"/>
          <w:szCs w:val="22"/>
        </w:rPr>
        <w:t xml:space="preserve">: enfant né ici de parent qui n’ont pas la nationalité canadienne, naissance sur le sol. La nationalité s’acquiert donc par le sang ou par le sol. </w:t>
      </w:r>
    </w:p>
    <w:p w14:paraId="381CE8D1" w14:textId="77777777" w:rsidR="00F25463" w:rsidRDefault="00F25463">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Pr>
          <w:rFonts w:hAnsi="Times New Roman" w:cs="Times New Roman"/>
          <w:sz w:val="22"/>
          <w:szCs w:val="22"/>
        </w:rPr>
        <w:t>Depuis 2009, a</w:t>
      </w:r>
      <w:r w:rsidRPr="00F25463">
        <w:rPr>
          <w:rFonts w:hAnsi="Times New Roman" w:cs="Times New Roman"/>
          <w:sz w:val="22"/>
          <w:szCs w:val="22"/>
        </w:rPr>
        <w:t>rrête désormais à la première génération</w:t>
      </w:r>
      <w:r>
        <w:rPr>
          <w:rFonts w:hAnsi="Times New Roman" w:cs="Times New Roman"/>
          <w:sz w:val="22"/>
          <w:szCs w:val="22"/>
        </w:rPr>
        <w:t xml:space="preserve"> par le lien du sang.</w:t>
      </w:r>
    </w:p>
    <w:p w14:paraId="481C76FD" w14:textId="77777777" w:rsidR="00F25463" w:rsidRDefault="00F25463">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70D9251" w14:textId="77777777" w:rsidR="00F25463" w:rsidRPr="00F25463" w:rsidRDefault="00F25463">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Pr>
          <w:rFonts w:hAnsi="Times New Roman" w:cs="Times New Roman"/>
          <w:sz w:val="22"/>
          <w:szCs w:val="22"/>
        </w:rPr>
        <w:t>Enfant né dans l’espace aérien canadien est canadien.</w:t>
      </w:r>
    </w:p>
    <w:p w14:paraId="2EB2EF1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18A172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Doc 25 – Loi concernant la citoyenneté, LC 1985. C-29</w:t>
      </w:r>
    </w:p>
    <w:p w14:paraId="49A6DA9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p>
    <w:p w14:paraId="211C4E7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Cette loi indique les conditions d’obtention et de perte de la nationalité, la procédure et son application</w:t>
      </w:r>
    </w:p>
    <w:p w14:paraId="55F9DD0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DA1342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individus acquièrent la citoyenneté canadienne par :</w:t>
      </w:r>
    </w:p>
    <w:p w14:paraId="5C5B8BF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naissance au Canada ou dans des véhicules immatriculés au Canada (avions et navire) (art 2 LCC)</w:t>
      </w:r>
    </w:p>
    <w:p w14:paraId="3F1693F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naissance hors du Canada si l’un des parents est canadien (art 3,1 LCC)</w:t>
      </w:r>
    </w:p>
    <w:p w14:paraId="6037853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demande au ministre responsable (art 5,1 LCC)</w:t>
      </w:r>
    </w:p>
    <w:p w14:paraId="4CFF171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126252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citoyenneté canadienne peut être perdu par :</w:t>
      </w:r>
    </w:p>
    <w:p w14:paraId="5F6C017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demande d’un citoyen d’un autre pays (art 8,1 LCC)</w:t>
      </w:r>
    </w:p>
    <w:p w14:paraId="4D800F6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répudiation pour cause de fausse déclaration dans les données (art 9 LCC)</w:t>
      </w:r>
    </w:p>
    <w:p w14:paraId="44DC144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0389B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4C61C3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 Gouvernement ou pouvoir politique de l’État</w:t>
      </w:r>
    </w:p>
    <w:p w14:paraId="3F35972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5F41128" w14:textId="77777777" w:rsidR="00EC0180"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Un état doit être représenté par un gouvernement. Peu importe sa forme.  Droit international n’exige pas encore que le gouvernement soit démocratique. Il demande seulement qu’il soit effectif : contrôle réel sur les 2 autre éléments constitutif de l’État ; population et territoire</w:t>
      </w:r>
      <w:r w:rsidR="008F6CC4">
        <w:rPr>
          <w:rFonts w:hAnsi="Times New Roman" w:cs="Times New Roman"/>
          <w:sz w:val="22"/>
          <w:szCs w:val="22"/>
        </w:rPr>
        <w:t xml:space="preserve"> (maintenir l’ordre et la sécurité)</w:t>
      </w:r>
      <w:r w:rsidRPr="00F25463">
        <w:rPr>
          <w:rFonts w:hAnsi="Times New Roman" w:cs="Times New Roman"/>
          <w:sz w:val="22"/>
          <w:szCs w:val="22"/>
        </w:rPr>
        <w:t xml:space="preserve">. Il doit être capable de prendre des engagements internationaux et de les respecter. On lui demande d’avoir le contrôle de la situation sur son territoire. </w:t>
      </w:r>
    </w:p>
    <w:p w14:paraId="7F42CD2C" w14:textId="77777777" w:rsidR="00F25463" w:rsidRPr="00F25463" w:rsidRDefault="00F25463">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40C6002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701AD7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Corollaires de l’existence effective de L’État</w:t>
      </w:r>
    </w:p>
    <w:p w14:paraId="6668966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555DF382" w14:textId="77777777" w:rsidR="00EC0180" w:rsidRPr="00F25463" w:rsidRDefault="004270F6" w:rsidP="004270F6">
      <w:pPr>
        <w:pStyle w:val="BodyText"/>
        <w:numPr>
          <w:ilvl w:val="1"/>
          <w:numId w:val="136"/>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t>La reconnaissance d’État et de gouvernement</w:t>
      </w:r>
    </w:p>
    <w:p w14:paraId="1053AE2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754BCAA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 xml:space="preserve">La reconnaissance d’État se distingue de la reconnaissance d’un gouvernement habilité à représenter cet État. C’est un acte complètement discrétionnaire. Chaque état décide de reconnaitre ou non un autre état. </w:t>
      </w:r>
    </w:p>
    <w:p w14:paraId="77AB52D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029710F4" w14:textId="77777777" w:rsidR="00EC0180" w:rsidRPr="00F25463" w:rsidRDefault="004270F6" w:rsidP="004270F6">
      <w:pPr>
        <w:pStyle w:val="BodyText"/>
        <w:numPr>
          <w:ilvl w:val="2"/>
          <w:numId w:val="137"/>
        </w:numPr>
        <w:tabs>
          <w:tab w:val="clear" w:pos="360"/>
          <w:tab w:val="clear" w:pos="2310"/>
          <w:tab w:val="num" w:pos="2340"/>
          <w:tab w:val="left" w:pos="2832"/>
          <w:tab w:val="left" w:pos="3540"/>
          <w:tab w:val="left" w:pos="4248"/>
          <w:tab w:val="left" w:pos="4956"/>
          <w:tab w:val="left" w:pos="5664"/>
          <w:tab w:val="left" w:pos="6372"/>
          <w:tab w:val="left" w:pos="7080"/>
          <w:tab w:val="left" w:pos="7788"/>
          <w:tab w:val="left" w:pos="8496"/>
          <w:tab w:val="left" w:pos="9204"/>
          <w:tab w:val="left" w:pos="9472"/>
        </w:tabs>
        <w:ind w:left="2340" w:hanging="360"/>
        <w:rPr>
          <w:rFonts w:hAnsi="Times New Roman" w:cs="Times New Roman"/>
          <w:b/>
          <w:bCs/>
          <w:sz w:val="22"/>
          <w:szCs w:val="22"/>
        </w:rPr>
      </w:pPr>
      <w:r w:rsidRPr="00F25463">
        <w:rPr>
          <w:rFonts w:hAnsi="Times New Roman" w:cs="Times New Roman"/>
          <w:b/>
          <w:bCs/>
          <w:sz w:val="22"/>
          <w:szCs w:val="22"/>
        </w:rPr>
        <w:t>La reconnaissance d’État</w:t>
      </w:r>
    </w:p>
    <w:p w14:paraId="78720F5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AC29CD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400"/>
        <w:rPr>
          <w:rFonts w:hAnsi="Times New Roman" w:cs="Times New Roman"/>
          <w:sz w:val="22"/>
          <w:szCs w:val="22"/>
        </w:rPr>
      </w:pPr>
      <w:r w:rsidRPr="00F25463">
        <w:rPr>
          <w:rFonts w:hAnsi="Times New Roman" w:cs="Times New Roman"/>
          <w:sz w:val="22"/>
          <w:szCs w:val="22"/>
        </w:rPr>
        <w:t>Un nouvel État ne peut être reconnu que sous certaines conditions relatives aux éléments traditionnel qui définissent notamment le territoire et le gouvernement.  L’assise géographique du nouvel État doit être tout d’abord suffisamment précise bien que la pratique diplomatique n’exige pas des frontières exactement déterminées ; il suffit que celles-ci soient suffisamment déterminées ou du moins déterminables.  À l’intérieur de ce territoire, le nouveau gouvernement doit être en mesure de faire respecter l’ordre, i.e. d’assurer un pouvoir effectif qui puisse rendre viable la nouvelle organisation politique (la reconnaissance ne vaut que pour l’avenir) Maintenir l’ordre public, sécurité, respecter engagements internationaux. Doit être capable de maintenir lui-même l’ordre et la sécurité à l’intérieur de son territoire, doit être capable d’exécuter ses engagements internationaux… etc.</w:t>
      </w:r>
    </w:p>
    <w:p w14:paraId="27081C8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2400"/>
        <w:rPr>
          <w:rFonts w:hAnsi="Times New Roman" w:cs="Times New Roman"/>
          <w:sz w:val="22"/>
          <w:szCs w:val="22"/>
        </w:rPr>
      </w:pPr>
    </w:p>
    <w:p w14:paraId="7D3A5B6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Il y a 1 cas historique</w:t>
      </w:r>
    </w:p>
    <w:p w14:paraId="42D05BE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État qui se proclamait État mais le gouvernement n’avait pas le contrôle.</w:t>
      </w:r>
    </w:p>
    <w:p w14:paraId="4E62614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Il y a eu arbitrage datant de 1920 :</w:t>
      </w:r>
    </w:p>
    <w:p w14:paraId="2F3B52D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rPr>
      </w:pPr>
      <w:r w:rsidRPr="00F25463">
        <w:rPr>
          <w:rFonts w:hAnsi="Times New Roman" w:cs="Times New Roman"/>
          <w:i/>
          <w:iCs/>
          <w:sz w:val="22"/>
          <w:szCs w:val="22"/>
        </w:rPr>
        <w:t xml:space="preserve">L’Affaire des Îles </w:t>
      </w:r>
      <w:proofErr w:type="spellStart"/>
      <w:r w:rsidRPr="00F25463">
        <w:rPr>
          <w:rFonts w:hAnsi="Times New Roman" w:cs="Times New Roman"/>
          <w:i/>
          <w:iCs/>
          <w:sz w:val="22"/>
          <w:szCs w:val="22"/>
        </w:rPr>
        <w:t>Aland</w:t>
      </w:r>
      <w:proofErr w:type="spellEnd"/>
    </w:p>
    <w:p w14:paraId="11E4C3D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i/>
          <w:iCs/>
          <w:sz w:val="22"/>
          <w:szCs w:val="22"/>
        </w:rPr>
      </w:pPr>
    </w:p>
    <w:p w14:paraId="103AC80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Dans cette affaire, on s’est demandé quand la Finlande est-elle devenue indépendante de la Russie (souveraine- gouvernement effectif)</w:t>
      </w:r>
    </w:p>
    <w:p w14:paraId="3A17BC9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BAA816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La Finlande faisait partie de la Russie.  Après la révolution qui a eu lieu, elle s’est proclamé indépendant et la Russie a alors accepté ce manifeste.  Cependant, l’armée finlandaise qui s’opposait à la séparation a provoqué une violence si grave que le nouveau gouvernement finlandais était incapable de maintenir l’ordre sans l’aide de l’armée soviétique.</w:t>
      </w:r>
    </w:p>
    <w:p w14:paraId="173283F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7FD5BC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Processus pour gagner :</w:t>
      </w:r>
    </w:p>
    <w:p w14:paraId="1DB6618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La cour a décidé que la Finlande est devenue un État souverain lorsque ses autorités publiques ont été suffisamment fortes pour s’imposer d’elles-mêmes sur tout le territoire finlandais et ce, sans l’aide des États étrangers.  Le fait que le nouveau gouvernement apparaisse vis-à-vis de l’extérieur comme une entité indépendante et souveraine constitue donc </w:t>
      </w:r>
      <w:proofErr w:type="gramStart"/>
      <w:r w:rsidRPr="00F25463">
        <w:rPr>
          <w:rFonts w:hAnsi="Times New Roman" w:cs="Times New Roman"/>
          <w:sz w:val="22"/>
          <w:szCs w:val="22"/>
        </w:rPr>
        <w:t>une conditions très importante</w:t>
      </w:r>
      <w:proofErr w:type="gramEnd"/>
      <w:r w:rsidRPr="00F25463">
        <w:rPr>
          <w:rFonts w:hAnsi="Times New Roman" w:cs="Times New Roman"/>
          <w:sz w:val="22"/>
          <w:szCs w:val="22"/>
        </w:rPr>
        <w:t xml:space="preserve"> pour que l’État soit reconnu.</w:t>
      </w:r>
    </w:p>
    <w:p w14:paraId="78C7F3B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Un État devient souverain quand son gouvernement est capable d’assurer </w:t>
      </w:r>
      <w:proofErr w:type="spellStart"/>
      <w:r w:rsidRPr="00F25463">
        <w:rPr>
          <w:rFonts w:hAnsi="Times New Roman" w:cs="Times New Roman"/>
          <w:sz w:val="22"/>
          <w:szCs w:val="22"/>
        </w:rPr>
        <w:t>l.’ordre</w:t>
      </w:r>
      <w:proofErr w:type="spellEnd"/>
      <w:r w:rsidRPr="00F25463">
        <w:rPr>
          <w:rFonts w:hAnsi="Times New Roman" w:cs="Times New Roman"/>
          <w:sz w:val="22"/>
          <w:szCs w:val="22"/>
        </w:rPr>
        <w:t xml:space="preserve"> dans son territoire. </w:t>
      </w:r>
    </w:p>
    <w:p w14:paraId="29DCDF5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Une fois qu’un État est un État, ce n’est pas facile de perdre se statut. Même dans le cas de guerre civile, ça ne fait pas perdre le statut d’État.</w:t>
      </w:r>
    </w:p>
    <w:p w14:paraId="1970C0D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5A27603" w14:textId="77777777" w:rsidR="00EC0180" w:rsidRPr="00F25463" w:rsidRDefault="004270F6" w:rsidP="004270F6">
      <w:pPr>
        <w:pStyle w:val="BodyText"/>
        <w:numPr>
          <w:ilvl w:val="1"/>
          <w:numId w:val="136"/>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t>Forme de reconnaissance</w:t>
      </w:r>
    </w:p>
    <w:p w14:paraId="14960146" w14:textId="77777777" w:rsidR="00EC0180" w:rsidRPr="00F25463" w:rsidRDefault="00EC0180">
      <w:pPr>
        <w:pStyle w:val="BodyText"/>
        <w:tabs>
          <w:tab w:val="clear" w:pos="360"/>
          <w:tab w:val="left" w:pos="13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b/>
          <w:bCs/>
          <w:sz w:val="22"/>
          <w:szCs w:val="22"/>
        </w:rPr>
      </w:pPr>
    </w:p>
    <w:p w14:paraId="59BB860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Par forme de reconnaissance, on doit entendre les techniques d’expressions au moyen desquelles l’acte de reconnaissance est porté officiellement à la connaissance de son destinataire.  On parle ici de lettre, télex, communiqué, télégramme etc.</w:t>
      </w:r>
    </w:p>
    <w:p w14:paraId="0A11FC8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F11D182" w14:textId="77777777" w:rsidR="00EC0180" w:rsidRPr="00F25463" w:rsidRDefault="004270F6" w:rsidP="004270F6">
      <w:pPr>
        <w:pStyle w:val="BodyText"/>
        <w:numPr>
          <w:ilvl w:val="1"/>
          <w:numId w:val="136"/>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lastRenderedPageBreak/>
        <w:t>Nature de la reconnaissance de l’État</w:t>
      </w:r>
    </w:p>
    <w:p w14:paraId="199F5BD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11932B7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Il n’existe aucune </w:t>
      </w:r>
      <w:proofErr w:type="spellStart"/>
      <w:r w:rsidRPr="00F25463">
        <w:rPr>
          <w:rFonts w:hAnsi="Times New Roman" w:cs="Times New Roman"/>
          <w:sz w:val="22"/>
          <w:szCs w:val="22"/>
        </w:rPr>
        <w:t>formalitée</w:t>
      </w:r>
      <w:proofErr w:type="spellEnd"/>
      <w:r w:rsidRPr="00F25463">
        <w:rPr>
          <w:rFonts w:hAnsi="Times New Roman" w:cs="Times New Roman"/>
          <w:sz w:val="22"/>
          <w:szCs w:val="22"/>
        </w:rPr>
        <w:t xml:space="preserve"> spéciales dans laquelle devrait être coulé l’acte de reconnaissance.  Il peu être formulé de façon expresse ou implicite.</w:t>
      </w:r>
    </w:p>
    <w:p w14:paraId="55F6237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5EBBFD9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b/>
          <w:bCs/>
          <w:sz w:val="22"/>
          <w:szCs w:val="22"/>
        </w:rPr>
        <w:t>Reconnaissance expresse :</w:t>
      </w:r>
      <w:r w:rsidRPr="00F25463">
        <w:rPr>
          <w:rFonts w:hAnsi="Times New Roman" w:cs="Times New Roman"/>
          <w:sz w:val="22"/>
          <w:szCs w:val="22"/>
        </w:rPr>
        <w:t xml:space="preserve"> </w:t>
      </w:r>
    </w:p>
    <w:p w14:paraId="6CFBCCB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2E959E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L’acte de reconnaissance formulé de façon expresse ne pose pas de problème.  C’est une note de félicitation de la part du gouvernement. On conclut une convention bilatérale sans exclure la reconnaissance. Sa peut être une déclaration, ou un message. </w:t>
      </w:r>
    </w:p>
    <w:p w14:paraId="1D2BC40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30BD56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Reconnaissance  implicite (tacite) :</w:t>
      </w:r>
    </w:p>
    <w:p w14:paraId="68058A6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79AA88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D’une manière générale, l’établissement de relation diplomatiques ou consulaires, l’envoi d’une délégation officielle aux cérémonies de l’indépendance ou la conclusion d’un traité bilatéral impliquent ordinairement une reconnaissance réciproque des États.</w:t>
      </w:r>
    </w:p>
    <w:p w14:paraId="433FC4C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06C73D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Note : Un traité peut être conclu par 2 États qui ‘entendent pas se reconnaître pour autant ou l’établissement de relations consulaire peut accompagner une politique de non-reconnaissance.  (</w:t>
      </w:r>
      <w:proofErr w:type="gramStart"/>
      <w:r w:rsidRPr="00F25463">
        <w:rPr>
          <w:rFonts w:hAnsi="Times New Roman" w:cs="Times New Roman"/>
          <w:sz w:val="22"/>
          <w:szCs w:val="22"/>
        </w:rPr>
        <w:t>en</w:t>
      </w:r>
      <w:proofErr w:type="gramEnd"/>
      <w:r w:rsidRPr="00F25463">
        <w:rPr>
          <w:rFonts w:hAnsi="Times New Roman" w:cs="Times New Roman"/>
          <w:sz w:val="22"/>
          <w:szCs w:val="22"/>
        </w:rPr>
        <w:t xml:space="preserve"> pratique, les gouvernements indiquent habituellement la portée exacte qu’il convient de donner à leurs comportements)</w:t>
      </w:r>
    </w:p>
    <w:p w14:paraId="5BA5A4E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La reconnaissance ne ce font sentir qu’à la date de la reconnaissance. Le passé est régit par des règles en matière de succession d’État (</w:t>
      </w:r>
      <w:r w:rsidR="003A2780">
        <w:rPr>
          <w:rFonts w:hAnsi="Times New Roman" w:cs="Times New Roman"/>
          <w:sz w:val="22"/>
          <w:szCs w:val="22"/>
        </w:rPr>
        <w:t xml:space="preserve">traité, </w:t>
      </w:r>
      <w:r w:rsidRPr="00F25463">
        <w:rPr>
          <w:rFonts w:hAnsi="Times New Roman" w:cs="Times New Roman"/>
          <w:sz w:val="22"/>
          <w:szCs w:val="22"/>
        </w:rPr>
        <w:t xml:space="preserve">convention, dette) </w:t>
      </w:r>
    </w:p>
    <w:p w14:paraId="7CB3ED8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DAD82B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Reconnaissance vaut pour le futur de l’État</w:t>
      </w:r>
    </w:p>
    <w:p w14:paraId="247D1C7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EBA0DF1" w14:textId="24534BAB"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La reconnaissance ne vaut que pour l’avenir de ce nouvel état ou gouvernement. Pour le nouveau gouvernement (à la suite d’un coup d’État) la reconnaissance ne vaut que pour l’avenir et le passé utilise la continuité de l’État. Les engagements passés vont continuer à lier le nouveau gouvernement. Le passé est réglé en vertu d’autres règles de DIP  (question et conventions sur succession d’État). Il ne s’agit pas des règles de reconnaissances qui règlent cela. Même dans le cas d’un nouveau gouvernement constitutionnel, le nouveau gouvernement continue l</w:t>
      </w:r>
      <w:r w:rsidR="00EA2C82">
        <w:rPr>
          <w:rFonts w:hAnsi="Times New Roman" w:cs="Times New Roman"/>
          <w:sz w:val="22"/>
          <w:szCs w:val="22"/>
        </w:rPr>
        <w:t xml:space="preserve">es règles et obligations de l’« </w:t>
      </w:r>
      <w:r w:rsidRPr="00F25463">
        <w:rPr>
          <w:rFonts w:hAnsi="Times New Roman" w:cs="Times New Roman"/>
          <w:sz w:val="22"/>
          <w:szCs w:val="22"/>
        </w:rPr>
        <w:t xml:space="preserve">ancien État ». Le passé est régi par la succession d’État ou le principe de la continuité de l’État…. </w:t>
      </w:r>
    </w:p>
    <w:p w14:paraId="72B5DB6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45AEB3D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Lorsqu’il y a un coup d’état, le passé est régit par le principe de la continuité d’État, où le nouveau gouvernement est obligé de continuer ce que son prédécesseur a fait. </w:t>
      </w:r>
    </w:p>
    <w:p w14:paraId="5A362C9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B58EBB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Selon certains auteurs, la reconnaissance constituerait le 4</w:t>
      </w:r>
      <w:r w:rsidRPr="00F25463">
        <w:rPr>
          <w:rFonts w:hAnsi="Times New Roman" w:cs="Times New Roman"/>
          <w:sz w:val="22"/>
          <w:szCs w:val="22"/>
          <w:vertAlign w:val="superscript"/>
        </w:rPr>
        <w:t>e</w:t>
      </w:r>
      <w:r w:rsidRPr="00F25463">
        <w:rPr>
          <w:rFonts w:hAnsi="Times New Roman" w:cs="Times New Roman"/>
          <w:sz w:val="22"/>
          <w:szCs w:val="22"/>
        </w:rPr>
        <w:t xml:space="preserve"> élément essentiel (ou le 5</w:t>
      </w:r>
      <w:r w:rsidRPr="00F25463">
        <w:rPr>
          <w:rFonts w:hAnsi="Times New Roman" w:cs="Times New Roman"/>
          <w:sz w:val="22"/>
          <w:szCs w:val="22"/>
          <w:vertAlign w:val="superscript"/>
        </w:rPr>
        <w:t>e</w:t>
      </w:r>
      <w:r w:rsidRPr="00F25463">
        <w:rPr>
          <w:rFonts w:hAnsi="Times New Roman" w:cs="Times New Roman"/>
          <w:sz w:val="22"/>
          <w:szCs w:val="22"/>
        </w:rPr>
        <w:t xml:space="preserve"> si l’on compte la souveraineté comme composante de l’État) de l’État qui seul pourrait lui conférer la personnalité juridique internationale ; c’est la théorie dite constitutive.  Pour les autres, la reconnaissance ne ferait que constater l’existence de l’État ; c’est la théorie déclarative.</w:t>
      </w:r>
    </w:p>
    <w:p w14:paraId="4D572C3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Les conséquences varient dans les pays. </w:t>
      </w:r>
    </w:p>
    <w:p w14:paraId="2448DD8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AVANT LA RECONNAISSANCE : Un État qui n’est pas reconnu par d’autres États (comme l’Angleterre, ou Canada) ne pourrait bénéficier de la protection de ces États. Ces actes ne pourront être opposés à ces États. En droit anglo-canadien, on a vu dans l’affaire Adam c. Adam, que si un jugement est rendu par un tribunal d’un état qui n’est pas reconnu, l’État n’est pas obligé de prendre en compte le jugement. Les représentants d’un état non reconnu par le royaume uni ne </w:t>
      </w:r>
      <w:proofErr w:type="gramStart"/>
      <w:r w:rsidRPr="00F25463">
        <w:rPr>
          <w:rFonts w:hAnsi="Times New Roman" w:cs="Times New Roman"/>
          <w:sz w:val="22"/>
          <w:szCs w:val="22"/>
        </w:rPr>
        <w:t>bénéficie</w:t>
      </w:r>
      <w:proofErr w:type="gramEnd"/>
      <w:r w:rsidRPr="00F25463">
        <w:rPr>
          <w:rFonts w:hAnsi="Times New Roman" w:cs="Times New Roman"/>
          <w:sz w:val="22"/>
          <w:szCs w:val="22"/>
        </w:rPr>
        <w:t xml:space="preserve"> pas de l’immunité diplomatique.  </w:t>
      </w:r>
    </w:p>
    <w:p w14:paraId="1A6754D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092DA86D" w14:textId="77777777" w:rsidR="00EC0180"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APRÈS LA RECONNAISSANCE : si l’État est reconnu par un autre État, ses actes pourront être reconnus devant ces États. Ça va pouvoir avoir un pouvoir juridique. Il faut cependant que les actes étaient été conclus après la reconnaissance. </w:t>
      </w:r>
    </w:p>
    <w:p w14:paraId="2A8AA269" w14:textId="77777777" w:rsidR="00EA2C82" w:rsidRPr="00F25463" w:rsidRDefault="00EA2C82">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7A3108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lastRenderedPageBreak/>
        <w:t>Ex : Sagard c. Luther</w:t>
      </w:r>
    </w:p>
    <w:p w14:paraId="05BEB87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Luther est une compagnie nationalisée par le gouvernement soviétique. Sagard, compagnie anglaise, achète le bois. Luther disait que le bois lui appartenait encore, alors que Sagard disait la même chose. À qui appartient le bois ? Est-ce qu’au moment où le bois a été nationalisé, est-ce que l’Angleterre avait reconnu la Russie ?oui. L’acte de la nationalisation pouvait être invoqué devant les tribunaux anglais, car elle avait acheté le bois du gouvernement soviétique et l’acte de nationalisation a eu lieu après l’achat. On en a conclu que oui et donc que Sagar était proprio du bois.</w:t>
      </w:r>
    </w:p>
    <w:p w14:paraId="00B8169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146378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DCE00A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b/>
          <w:bCs/>
          <w:sz w:val="22"/>
          <w:szCs w:val="22"/>
        </w:rPr>
        <w:t>Théorie constitutive</w:t>
      </w:r>
      <w:r w:rsidRPr="00F25463">
        <w:rPr>
          <w:rFonts w:hAnsi="Times New Roman" w:cs="Times New Roman"/>
          <w:sz w:val="22"/>
          <w:szCs w:val="22"/>
        </w:rPr>
        <w:t> :</w:t>
      </w:r>
    </w:p>
    <w:p w14:paraId="12FAEEC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3FA61E4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Cette théorie fait naître l’État de la volonté des autres car elle assimile l’acte de reconnaissance à un traité bilatéral conclu entre l’État ancien et l’État nouveau.  Donc pour pouvoir conclure un tel traité, le nouvel État doit nécessairement exister comme personne juridique.</w:t>
      </w:r>
    </w:p>
    <w:p w14:paraId="62E4848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73BCF6B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Théorie déclarative :</w:t>
      </w:r>
    </w:p>
    <w:p w14:paraId="3352F71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10DD46C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L’essentiel de cette théorie consiste à établie que l’État existe comme personne de droit des gens au  moment même où ses éléments constitutifs sont réunis.  La reconnaissance constate seulement l’effectivité de cette nouvelle situation afin d’en tirer les conséquences normales au plan des relations internationales.  Elle est dites déclarative parce qu’elle ne lie pas l’existence juridique de l’État à sa reconnaissance préalable par les autres États</w:t>
      </w:r>
    </w:p>
    <w:p w14:paraId="13F126F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256FE5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Note : La reconnaissance de l’état ne vaut que pour l’avenir.  Les problèmes du passé de l’État se règlent selon les principes de la succession d’États.</w:t>
      </w:r>
    </w:p>
    <w:p w14:paraId="50D3E6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C4CE0E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Prof dit : pas condition de reconnaissance pour être État juste besoin les 3 conditions.</w:t>
      </w:r>
    </w:p>
    <w:p w14:paraId="5C5E2E8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242CCFA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6264FB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La reconnaissance du gouvernement :</w:t>
      </w:r>
    </w:p>
    <w:p w14:paraId="66CD25D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673103A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C’est une curieuse institution que celle de la reconnaissance de gouvernement parce qu’en droit international, en vertu du principe de la continuité de l’État, le gouvernement légal est celui qui occupe en fait le pouvoir.  Si un nouveau régime prend le pouvoir à la suite d’un coup d’État et s’il réussit à établir son autorité effective sur tout le pays avec des perspectives raisonnables de permanence, tout cela n’a aucun effet juridique sur les droits et obligations de l’État, que son gouvernement soit reconnu ou non par les autres.  En réalité, la reconnaissance de gouvernement ne se comprend qu’en termes politiques ; elle apparaît davantage comme un moyen de contrainte propre à influencer la politique du nouveau régime ou à sanctionner le manque de fidélité à une idéologie reçue.</w:t>
      </w:r>
    </w:p>
    <w:p w14:paraId="5E658B4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789E42A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Principes applicable :</w:t>
      </w:r>
    </w:p>
    <w:p w14:paraId="6A6F91D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553A3C6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La décision discrétionnaire des gouvernements de reconnaître ou non un autre gouvernement devrait être guidée par ces 3 principes :</w:t>
      </w:r>
    </w:p>
    <w:p w14:paraId="362CBC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D569558" w14:textId="77777777" w:rsidR="00EC0180" w:rsidRPr="00F25463" w:rsidRDefault="004270F6" w:rsidP="004270F6">
      <w:pPr>
        <w:pStyle w:val="BodyText"/>
        <w:numPr>
          <w:ilvl w:val="1"/>
          <w:numId w:val="138"/>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Le principe de la liberté de l’État dans l’organisation constitutionnelle de ses pouvoirs</w:t>
      </w:r>
    </w:p>
    <w:p w14:paraId="2DAC451C" w14:textId="77777777" w:rsidR="00EC0180" w:rsidRPr="00F25463" w:rsidRDefault="004270F6" w:rsidP="004270F6">
      <w:pPr>
        <w:pStyle w:val="BodyText"/>
        <w:numPr>
          <w:ilvl w:val="1"/>
          <w:numId w:val="138"/>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le principe de la non-intervention dans les affaires intérieures d’un État </w:t>
      </w:r>
    </w:p>
    <w:p w14:paraId="44E40BA1" w14:textId="77777777" w:rsidR="00EC0180" w:rsidRPr="00F25463" w:rsidRDefault="004270F6" w:rsidP="004270F6">
      <w:pPr>
        <w:pStyle w:val="BodyText"/>
        <w:numPr>
          <w:ilvl w:val="1"/>
          <w:numId w:val="138"/>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sz w:val="22"/>
          <w:szCs w:val="22"/>
        </w:rPr>
      </w:pPr>
      <w:r w:rsidRPr="00F25463">
        <w:rPr>
          <w:rFonts w:hAnsi="Times New Roman" w:cs="Times New Roman"/>
          <w:sz w:val="22"/>
          <w:szCs w:val="22"/>
        </w:rPr>
        <w:t>le principe de la continuité de l’État malgré un changement de gouvernement</w:t>
      </w:r>
    </w:p>
    <w:p w14:paraId="7B9EEBC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1AC7949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 xml:space="preserve">Elle a des effets en droit interna canadien : </w:t>
      </w:r>
    </w:p>
    <w:p w14:paraId="759C75B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p>
    <w:p w14:paraId="0E5BE56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b/>
          <w:bCs/>
          <w:sz w:val="22"/>
          <w:szCs w:val="22"/>
        </w:rPr>
      </w:pPr>
      <w:r w:rsidRPr="00F25463">
        <w:rPr>
          <w:rFonts w:hAnsi="Times New Roman" w:cs="Times New Roman"/>
          <w:b/>
          <w:bCs/>
          <w:sz w:val="22"/>
          <w:szCs w:val="22"/>
        </w:rPr>
        <w:t>Qui reconnaît, autorité de reconnaître un nouvel État ?</w:t>
      </w:r>
    </w:p>
    <w:p w14:paraId="767CCC6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2CB979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ab/>
        <w:t xml:space="preserve">Au Canada, pour savoir si un État a été reconnu et depuis qu’elle date, les tribunaux canadiens s’adressent au Ministère des affaires extérieures (étrangères), dont le ministère émet des certificats qui attestent de ces faits et qui constituent des preuves irréfragables. On ne peut donc pas les contester. Les conclusions du certificat lie le tribunal. La date de ce certificat de reconnaissance est importante car les actes conclus après cette date pourraient être invoqués devant les tribunaux.  </w:t>
      </w:r>
    </w:p>
    <w:p w14:paraId="62869D0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61424CDC" w14:textId="77777777" w:rsidR="00EC0180" w:rsidRPr="00F25463" w:rsidRDefault="004270F6">
      <w:pPr>
        <w:pStyle w:val="BodyText"/>
        <w:tabs>
          <w:tab w:val="clear" w:pos="3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Chapitre III. Les compétences de l’ÉTAT. ***** très important</w:t>
      </w:r>
    </w:p>
    <w:p w14:paraId="478B8CC8" w14:textId="00116CC8" w:rsidR="00EC0180" w:rsidRPr="00F25463" w:rsidRDefault="004270F6">
      <w:pPr>
        <w:pStyle w:val="BodyText"/>
        <w:tabs>
          <w:tab w:val="clear" w:pos="36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voir</w:t>
      </w:r>
      <w:proofErr w:type="gramEnd"/>
      <w:r w:rsidRPr="00F25463">
        <w:rPr>
          <w:rFonts w:hAnsi="Times New Roman" w:cs="Times New Roman"/>
          <w:sz w:val="22"/>
          <w:szCs w:val="22"/>
        </w:rPr>
        <w:t xml:space="preserve"> Arbour p.283 à 297</w:t>
      </w:r>
      <w:r w:rsidR="00854C0C">
        <w:rPr>
          <w:rFonts w:hAnsi="Times New Roman" w:cs="Times New Roman"/>
          <w:sz w:val="22"/>
          <w:szCs w:val="22"/>
        </w:rPr>
        <w:t xml:space="preserve"> et </w:t>
      </w:r>
      <w:r w:rsidR="00854C0C" w:rsidRPr="00854C0C">
        <w:rPr>
          <w:rFonts w:hAnsi="Times New Roman" w:cs="Times New Roman"/>
          <w:sz w:val="22"/>
          <w:szCs w:val="22"/>
          <w:highlight w:val="yellow"/>
        </w:rPr>
        <w:t>p.321 à 337</w:t>
      </w:r>
    </w:p>
    <w:p w14:paraId="4FA4ADF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p>
    <w:p w14:paraId="7BB2F0B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960"/>
        <w:rPr>
          <w:rFonts w:hAnsi="Times New Roman" w:cs="Times New Roman"/>
          <w:sz w:val="22"/>
          <w:szCs w:val="22"/>
        </w:rPr>
      </w:pPr>
      <w:r w:rsidRPr="00F25463">
        <w:rPr>
          <w:rFonts w:hAnsi="Times New Roman" w:cs="Times New Roman"/>
          <w:sz w:val="22"/>
          <w:szCs w:val="22"/>
        </w:rPr>
        <w:t>L’état possède 3 grandes compétences :</w:t>
      </w:r>
    </w:p>
    <w:p w14:paraId="1AC96C5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80"/>
        <w:rPr>
          <w:rFonts w:hAnsi="Times New Roman" w:cs="Times New Roman"/>
          <w:sz w:val="22"/>
          <w:szCs w:val="22"/>
        </w:rPr>
      </w:pPr>
      <w:r w:rsidRPr="00F25463">
        <w:rPr>
          <w:rFonts w:hAnsi="Times New Roman" w:cs="Times New Roman"/>
          <w:sz w:val="22"/>
          <w:szCs w:val="22"/>
        </w:rPr>
        <w:t xml:space="preserve">1. territoriale. </w:t>
      </w:r>
    </w:p>
    <w:p w14:paraId="3C4EAAD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            2. personnelle</w:t>
      </w:r>
    </w:p>
    <w:p w14:paraId="30FBB98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            3. universelle – phénomène assez nouveau. </w:t>
      </w:r>
    </w:p>
    <w:p w14:paraId="4409C40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B1A1F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État compétent sur son territoire (la compétence que l’État a sur son territoire). C’est le pouvoir qu’exerce l’état sur les choses, les individus qui se trouvent sur leur territoire terrestre, maritime et aérien, de même que sur les activités qui s’y déroulent. </w:t>
      </w:r>
    </w:p>
    <w:p w14:paraId="4A9FA31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940E78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Personnel : compétence sur ses citoyen peu importe ou ils se trouvent (haute-mer, territoire étranger). </w:t>
      </w:r>
    </w:p>
    <w:p w14:paraId="79FED9A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0F154B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Universelle : compétence qu’à un État d’arrêter et de juger un individu, peu importe sa nationalité peu importe le lieu du crime  mais pour certain type de crime (grave, jus </w:t>
      </w:r>
      <w:proofErr w:type="spellStart"/>
      <w:r w:rsidRPr="00F25463">
        <w:rPr>
          <w:rFonts w:hAnsi="Times New Roman" w:cs="Times New Roman"/>
          <w:sz w:val="22"/>
          <w:szCs w:val="22"/>
        </w:rPr>
        <w:t>cogen</w:t>
      </w:r>
      <w:proofErr w:type="spellEnd"/>
      <w:r w:rsidRPr="00F25463">
        <w:rPr>
          <w:rFonts w:hAnsi="Times New Roman" w:cs="Times New Roman"/>
          <w:sz w:val="22"/>
          <w:szCs w:val="22"/>
        </w:rPr>
        <w:t xml:space="preserve">- nazi). Il n’y a aucun lien de rattachement personnel. Il n’y a pas de compétence territoriale ou personnelle. </w:t>
      </w:r>
    </w:p>
    <w:p w14:paraId="054C5B1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D4F039A" w14:textId="77777777" w:rsidR="00EC0180" w:rsidRPr="00F25463" w:rsidRDefault="004270F6" w:rsidP="004270F6">
      <w:pPr>
        <w:pStyle w:val="BodyText"/>
        <w:numPr>
          <w:ilvl w:val="0"/>
          <w:numId w:val="13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Territoriale :</w:t>
      </w:r>
    </w:p>
    <w:p w14:paraId="3B4A160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43B86F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b/>
          <w:bCs/>
          <w:sz w:val="22"/>
          <w:szCs w:val="22"/>
        </w:rPr>
      </w:pPr>
      <w:r w:rsidRPr="00F25463">
        <w:rPr>
          <w:rFonts w:hAnsi="Times New Roman" w:cs="Times New Roman"/>
          <w:b/>
          <w:bCs/>
          <w:sz w:val="22"/>
          <w:szCs w:val="22"/>
        </w:rPr>
        <w:t>Principes de Base – 283 à 297, 691 à 733, 741 à 767</w:t>
      </w:r>
    </w:p>
    <w:p w14:paraId="1AB4D68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26976A2A" w14:textId="77777777" w:rsidR="00EC0180" w:rsidRPr="00F25463" w:rsidRDefault="004270F6" w:rsidP="004270F6">
      <w:pPr>
        <w:pStyle w:val="BodyText"/>
        <w:numPr>
          <w:ilvl w:val="1"/>
          <w:numId w:val="140"/>
        </w:numPr>
        <w:tabs>
          <w:tab w:val="clear" w:pos="360"/>
          <w:tab w:val="clear" w:pos="141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t>Le droit exclusif d’exercer les activités étatiques à l’intérieur de son territoire:</w:t>
      </w:r>
    </w:p>
    <w:p w14:paraId="19D094A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1E41B9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 xml:space="preserve">Peu faire sans obtenir autorisation de quelqu’un d’autre, faire ce qu’il veut. Changer le  décor, changer les règles. Réserver exploitation ressource naturelle (ou l’ouvrir aux étrangers), peu entreposer des armes sur son territoire maritime et terrestre. </w:t>
      </w:r>
    </w:p>
    <w:p w14:paraId="5702736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 xml:space="preserve">Roi et maître sous réserve du droit coutumier et convention que l’État s’est engagé à respecter. </w:t>
      </w:r>
    </w:p>
    <w:p w14:paraId="1411F54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 xml:space="preserve">Il peut adopter de la législation s’appliquant sur son territoire (même exclure les étrangers dans des domaines et / ou privilégier ses citoyens (ex. pêche). </w:t>
      </w:r>
    </w:p>
    <w:p w14:paraId="0FFBB43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 xml:space="preserve">L’État peut tout faire sur son territoire, mais sous réserve des conventions qu’il a ratifiées, auxquelles il a donné son accord et aussi sous limite du droit coutumier et le droit international en général qui viennent limiter la liberté d’action sur son territoire. </w:t>
      </w:r>
    </w:p>
    <w:p w14:paraId="463D220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325053E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AF45BE" w14:textId="77777777" w:rsidR="00EC0180" w:rsidRPr="00F25463" w:rsidRDefault="004270F6" w:rsidP="004270F6">
      <w:pPr>
        <w:pStyle w:val="BodyText"/>
        <w:numPr>
          <w:ilvl w:val="0"/>
          <w:numId w:val="141"/>
        </w:numPr>
        <w:tabs>
          <w:tab w:val="clear" w:pos="360"/>
          <w:tab w:val="clear" w:pos="1410"/>
          <w:tab w:val="left" w:pos="720"/>
          <w:tab w:val="num" w:pos="144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hanging="360"/>
        <w:rPr>
          <w:rFonts w:hAnsi="Times New Roman" w:cs="Times New Roman"/>
          <w:b/>
          <w:bCs/>
          <w:sz w:val="22"/>
          <w:szCs w:val="22"/>
        </w:rPr>
      </w:pPr>
      <w:r w:rsidRPr="00F25463">
        <w:rPr>
          <w:rFonts w:hAnsi="Times New Roman" w:cs="Times New Roman"/>
          <w:b/>
          <w:bCs/>
          <w:sz w:val="22"/>
          <w:szCs w:val="22"/>
        </w:rPr>
        <w:t>L’Obligation de respecter la souveraineté territoriale des autres États</w:t>
      </w:r>
    </w:p>
    <w:p w14:paraId="351363C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3E8071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Le territoire de chaque État est inviolable. Retrouve en droit privé, règle de bon voisinage. Territoire de chaque État est inviolable, le droit international prohibe l’intervention armée en territoire étranger (art 2 par. 4 charte des nations unies) et affaire du Nicaragua, qui a clairement dit que c’était une règle de jus cogens.</w:t>
      </w:r>
    </w:p>
    <w:p w14:paraId="3764B48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2D6D86B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EXCEPTIONS :</w:t>
      </w:r>
    </w:p>
    <w:p w14:paraId="5DD5E9C1" w14:textId="77777777" w:rsidR="00EC0180" w:rsidRPr="00F25463" w:rsidRDefault="004270F6" w:rsidP="004270F6">
      <w:pPr>
        <w:pStyle w:val="BodyText"/>
        <w:numPr>
          <w:ilvl w:val="1"/>
          <w:numId w:val="142"/>
        </w:numPr>
        <w:tabs>
          <w:tab w:val="clear" w:pos="360"/>
          <w:tab w:val="clear" w:pos="1530"/>
          <w:tab w:val="num" w:pos="156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560" w:hanging="360"/>
        <w:rPr>
          <w:rFonts w:hAnsi="Times New Roman" w:cs="Times New Roman"/>
          <w:sz w:val="22"/>
          <w:szCs w:val="22"/>
        </w:rPr>
      </w:pPr>
      <w:r w:rsidRPr="00F25463">
        <w:rPr>
          <w:rFonts w:hAnsi="Times New Roman" w:cs="Times New Roman"/>
          <w:sz w:val="22"/>
          <w:szCs w:val="22"/>
        </w:rPr>
        <w:t xml:space="preserve">Sauf sous le cas de légitime défense, art 51 charte N-U aussi règle de droit coutumier, qu’on peut alléguer si estime fait objet d’une attaque par une force armée ou par un groupe contrôlé par un État. </w:t>
      </w:r>
    </w:p>
    <w:p w14:paraId="727571B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lastRenderedPageBreak/>
        <w:tab/>
        <w:t>2.   Si l’autorité compétente d’un État demande de l’aide, demande l’intervention de l’autre  État... voir au début de l’année pour exemple d’affaire.</w:t>
      </w:r>
    </w:p>
    <w:p w14:paraId="1E9798A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38C8E49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ab/>
        <w:t xml:space="preserve">Dans l’affaire du Nicaragua : pas le droit d’intervenir dans les affaires intérieur. Si un État viole cette règle, supporte une guerre civile (fortement, à tel point que l’autre partie peu aller demander de l’aide à un autre État). Si dans un état il y a 2 groupes qui s’affrontent, si X vient aider A et que sa équivaut à une affaire armée, B pourrait demander assistance à Y pour se défendre. </w:t>
      </w:r>
    </w:p>
    <w:p w14:paraId="0DF7249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p>
    <w:p w14:paraId="5D44831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ab/>
        <w:t xml:space="preserve">Aussi un autre effet de la souveraineté des états, les agents d’un État comme les policiers, douaniers, mais surtout les policiers, ne peuvent pas effectuer des actes d’autorité en territoire étranger sur des particuliers. Même si les particuliers sont des citoyens. </w:t>
      </w:r>
    </w:p>
    <w:p w14:paraId="2866AE7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ab/>
        <w:t>Mais beaucoup de convention ; ex : extradition.</w:t>
      </w:r>
    </w:p>
    <w:p w14:paraId="064047F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ab/>
        <w:t xml:space="preserve">Entraide judiciaire. </w:t>
      </w:r>
    </w:p>
    <w:p w14:paraId="6B160A8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79DB1AF" w14:textId="77777777" w:rsidR="00EC0180" w:rsidRPr="00F25463" w:rsidRDefault="004270F6" w:rsidP="004270F6">
      <w:pPr>
        <w:pStyle w:val="BodyText"/>
        <w:numPr>
          <w:ilvl w:val="0"/>
          <w:numId w:val="13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Obligation de prévenir l’utilisation  du territoire à des fins contraires aux droits d’autre États</w:t>
      </w:r>
    </w:p>
    <w:p w14:paraId="07B650A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 xml:space="preserve">Obligation de prévenir, de ne pas permettre ou encourager d’utiliser que son territoire soit utilisé à des fins contraires aux droits des autres États (règles de bon voisinage). Cette obligation est applicable dans plusieurs contextes. Ex. la Turquie qui veut construire un barrage qui réduirait considérablement le débit de l’Euphrate pour la Syrie  mais qui alimenterait la Turquie. La Turquie a cependant le droit d’utiliser l’eau. En droit international, la Turquie n’a en principe pas le droit de faire ça. </w:t>
      </w:r>
    </w:p>
    <w:p w14:paraId="7841EF5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1487A51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 xml:space="preserve">Ex. L’affaire de l’Alabama </w:t>
      </w:r>
    </w:p>
    <w:p w14:paraId="32D4232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En 1872, il y a eu une décision d’arbitrage. Durant la guerre civile, les britanniques ont laissés construire des navires qui étaient destinés aux colonies.</w:t>
      </w:r>
    </w:p>
    <w:p w14:paraId="0F55DF9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6C7096A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 xml:space="preserve">Ex. L’affaire du détroit de </w:t>
      </w:r>
      <w:proofErr w:type="spellStart"/>
      <w:r w:rsidRPr="00F25463">
        <w:rPr>
          <w:rFonts w:hAnsi="Times New Roman" w:cs="Times New Roman"/>
          <w:i/>
          <w:iCs/>
          <w:sz w:val="22"/>
          <w:szCs w:val="22"/>
        </w:rPr>
        <w:t>Corfu</w:t>
      </w:r>
      <w:proofErr w:type="spellEnd"/>
      <w:r w:rsidRPr="00F25463">
        <w:rPr>
          <w:rFonts w:hAnsi="Times New Roman" w:cs="Times New Roman"/>
          <w:i/>
          <w:iCs/>
          <w:sz w:val="22"/>
          <w:szCs w:val="22"/>
        </w:rPr>
        <w:t xml:space="preserve"> (voir notes précédentes)- à lire, document 20. </w:t>
      </w:r>
    </w:p>
    <w:p w14:paraId="3651425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 xml:space="preserve">La Grande-Bretagne utilisait sans autorisation le détroit de </w:t>
      </w:r>
      <w:proofErr w:type="spellStart"/>
      <w:r w:rsidRPr="00F25463">
        <w:rPr>
          <w:rFonts w:hAnsi="Times New Roman" w:cs="Times New Roman"/>
          <w:sz w:val="22"/>
          <w:szCs w:val="22"/>
        </w:rPr>
        <w:t>Corfu</w:t>
      </w:r>
      <w:proofErr w:type="spellEnd"/>
      <w:r w:rsidRPr="00F25463">
        <w:rPr>
          <w:rFonts w:hAnsi="Times New Roman" w:cs="Times New Roman"/>
          <w:sz w:val="22"/>
          <w:szCs w:val="22"/>
        </w:rPr>
        <w:t xml:space="preserve">. 2 Navire britanniques ont sauté sur des bombes dans la mer territoriale de l’Albanie et la Cour a dit que l’Albanie devait sûrement le savoir qu’il y avait des bombes et avait le devoir d’avertir la Grande-Bretagne. On a présumé la connaissance de l’Albanie, ce qui entrainait l’obligation d’avertir les navires qui approchent qui avait danger à naviguer dans cette mer territorial. La règle de droit de passage inoffensif ne peut être suspendue. </w:t>
      </w:r>
    </w:p>
    <w:p w14:paraId="666BC99E" w14:textId="77777777" w:rsidR="00EC0180" w:rsidRPr="00F25463" w:rsidRDefault="004270F6" w:rsidP="004270F6">
      <w:pPr>
        <w:pStyle w:val="BodyText"/>
        <w:numPr>
          <w:ilvl w:val="0"/>
          <w:numId w:val="143"/>
        </w:numPr>
        <w:tabs>
          <w:tab w:val="clear" w:pos="360"/>
          <w:tab w:val="clear" w:pos="1160"/>
          <w:tab w:val="num"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hanging="480"/>
        <w:rPr>
          <w:rFonts w:hAnsi="Times New Roman" w:cs="Times New Roman"/>
        </w:rPr>
      </w:pPr>
      <w:r w:rsidRPr="00F25463">
        <w:rPr>
          <w:rFonts w:hAnsi="Times New Roman" w:cs="Times New Roman"/>
          <w:sz w:val="22"/>
          <w:szCs w:val="22"/>
        </w:rPr>
        <w:t>3 principes énumérés par la cour : principes de considérations humanistes, principes de libertés des  communications maritimes et le principe de l’obligation de l’État de ne pas utiliser son territoire dans un but contraire aux droit des ces états voisins. Si un état a connaissance qu’il y a pose de mines, même en haute-mer, il a le devoir d’en informer les autres États qui y naviguent. Doit en aviser l’ensemble de la communauté internationale.</w:t>
      </w:r>
    </w:p>
    <w:p w14:paraId="5022987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Cette règle s’applique principalement au chapitre de l’utilisation des cours d’eaux internationaux ainsi qu’à celui de la protection de l’environnement en général.  Elle vise également le respect dû à la sécurité de l’État étranger.</w:t>
      </w:r>
    </w:p>
    <w:p w14:paraId="5A3F5CC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Ceci s’applique seulement en temps de paix. En temps de guerre, les choses sont différentes.</w:t>
      </w:r>
    </w:p>
    <w:p w14:paraId="4BD61DF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p>
    <w:p w14:paraId="7047B1D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 xml:space="preserve">Ex. Affaire de la Fonderie de </w:t>
      </w:r>
      <w:proofErr w:type="spellStart"/>
      <w:r w:rsidRPr="00F25463">
        <w:rPr>
          <w:rFonts w:hAnsi="Times New Roman" w:cs="Times New Roman"/>
          <w:i/>
          <w:iCs/>
          <w:sz w:val="22"/>
          <w:szCs w:val="22"/>
        </w:rPr>
        <w:t>Trail</w:t>
      </w:r>
      <w:proofErr w:type="spellEnd"/>
      <w:r w:rsidRPr="00F25463">
        <w:rPr>
          <w:rFonts w:hAnsi="Times New Roman" w:cs="Times New Roman"/>
          <w:i/>
          <w:iCs/>
          <w:sz w:val="22"/>
          <w:szCs w:val="22"/>
        </w:rPr>
        <w:t xml:space="preserve"> </w:t>
      </w:r>
    </w:p>
    <w:p w14:paraId="097E78A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 xml:space="preserve">Une fonderie qui émettait de la pollution de l’air très nocive et causait des problèmes pour l’agriculture. Le Canada fut obligé de payer des dommages-intérêts aux États-Unis. </w:t>
      </w:r>
    </w:p>
    <w:p w14:paraId="53E72F6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 xml:space="preserve">On a conclu qu’un État ne pouvait utiliser son territoire de manière à nuire à d’autre État (ce principe est aussi  très important en droit environnemental) </w:t>
      </w:r>
    </w:p>
    <w:p w14:paraId="6711631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L’utilisation des cours d’eaux :</w:t>
      </w:r>
    </w:p>
    <w:p w14:paraId="21146FA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Tout État, dans le territoire duquel se trouve une partie d’un cours d’eau international et de son système, à l’obligation de l’utiliser d’une manière équitable et raisonnable, ce qui implique la prise en compte de tous les facteurs pertinents dont :</w:t>
      </w:r>
    </w:p>
    <w:p w14:paraId="280C603E"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 facteurs géographiques, hydrographiques et climatiques ;</w:t>
      </w:r>
    </w:p>
    <w:p w14:paraId="7DD4E6B0"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lastRenderedPageBreak/>
        <w:t>Les besoins économiques et sociaux des États intéressés</w:t>
      </w:r>
    </w:p>
    <w:p w14:paraId="6BA2E8AB"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sz w:val="22"/>
          <w:szCs w:val="22"/>
        </w:rPr>
        <w:t>Les effets de l’utilisation projetée sur les autres États.</w:t>
      </w:r>
    </w:p>
    <w:p w14:paraId="63C4D65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15FA8F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La pollution transfrontière</w:t>
      </w:r>
      <w:r w:rsidRPr="00F25463">
        <w:rPr>
          <w:rFonts w:hAnsi="Times New Roman" w:cs="Times New Roman"/>
          <w:sz w:val="22"/>
          <w:szCs w:val="22"/>
        </w:rPr>
        <w:t> :</w:t>
      </w:r>
    </w:p>
    <w:p w14:paraId="1DE0D72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La souveraineté de chaque État étant limité par le respect dû à la souveraineté des autres États, on concevrait mal qu’un État puisse polluer l’environnement d’un autre État sans encourir aucune responsabilité internationale de ce fait.</w:t>
      </w:r>
    </w:p>
    <w:p w14:paraId="55AAD67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    </w:t>
      </w:r>
    </w:p>
    <w:p w14:paraId="15F1C71B"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77701BAA"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 xml:space="preserve">Affaire du </w:t>
      </w:r>
      <w:proofErr w:type="spellStart"/>
      <w:r w:rsidRPr="00F25463">
        <w:rPr>
          <w:rFonts w:hAnsi="Times New Roman" w:cs="Times New Roman"/>
          <w:i/>
          <w:iCs/>
          <w:sz w:val="22"/>
          <w:szCs w:val="22"/>
        </w:rPr>
        <w:t>détroi</w:t>
      </w:r>
      <w:proofErr w:type="spellEnd"/>
      <w:r w:rsidRPr="00F25463">
        <w:rPr>
          <w:rFonts w:hAnsi="Times New Roman" w:cs="Times New Roman"/>
          <w:i/>
          <w:iCs/>
          <w:sz w:val="22"/>
          <w:szCs w:val="22"/>
        </w:rPr>
        <w:t xml:space="preserve"> de Kofu :</w:t>
      </w:r>
    </w:p>
    <w:p w14:paraId="22E24631"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5DAB7BF9"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Dans cette affaire, il s’agissait essentiellement de déterminer si L’Albanie était responsable des explosions qui ont eu lieu dans les eaux albanaises et des dommages et pertes humaines liés à cet événement.  Des navires britanniques avaient heurté un champ de mines mouillées par on ne sait qui.</w:t>
      </w:r>
    </w:p>
    <w:p w14:paraId="16BFE5D0"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5AE014AF"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La cour estima que le mouillage du champ de mines n’a pas pu échapper à la connaissance du gouvernement albanais et que ce dernier aurait dû avertir les navires de guerre britanniques du danger imminent auquel les exposaient ce champs de mines.  L’Albanie, précise la cour, avait l’Obligation de ne pas utiliser son territoire aux fins d’actes contraire aux droit des autres États.</w:t>
      </w:r>
    </w:p>
    <w:p w14:paraId="61865949"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7A1C2BF1"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Dans l’affaire du Nicaragua :</w:t>
      </w:r>
    </w:p>
    <w:p w14:paraId="25CEC85E"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r>
    </w:p>
    <w:p w14:paraId="08E995E5"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 xml:space="preserve">Tout État qui pose des mines sous-marine peut importe ou se trouve doivent avertir les États qui passe par la qui on un droit de naviguer dans ses eaux qu’il y a </w:t>
      </w:r>
      <w:proofErr w:type="spellStart"/>
      <w:r w:rsidRPr="00F25463">
        <w:rPr>
          <w:rFonts w:hAnsi="Times New Roman" w:cs="Times New Roman"/>
          <w:sz w:val="22"/>
          <w:szCs w:val="22"/>
        </w:rPr>
        <w:t>précense</w:t>
      </w:r>
      <w:proofErr w:type="spellEnd"/>
      <w:r w:rsidRPr="00F25463">
        <w:rPr>
          <w:rFonts w:hAnsi="Times New Roman" w:cs="Times New Roman"/>
          <w:sz w:val="22"/>
          <w:szCs w:val="22"/>
        </w:rPr>
        <w:t xml:space="preserve"> de mines. </w:t>
      </w:r>
    </w:p>
    <w:p w14:paraId="04281A35"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11821695"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i/>
          <w:iCs/>
          <w:sz w:val="22"/>
          <w:szCs w:val="22"/>
        </w:rPr>
      </w:pPr>
      <w:r w:rsidRPr="00F25463">
        <w:rPr>
          <w:rFonts w:hAnsi="Times New Roman" w:cs="Times New Roman"/>
          <w:i/>
          <w:iCs/>
          <w:sz w:val="22"/>
          <w:szCs w:val="22"/>
        </w:rPr>
        <w:t xml:space="preserve">Affaire de la Fonderie de </w:t>
      </w:r>
      <w:proofErr w:type="spellStart"/>
      <w:r w:rsidRPr="00F25463">
        <w:rPr>
          <w:rFonts w:hAnsi="Times New Roman" w:cs="Times New Roman"/>
          <w:i/>
          <w:iCs/>
          <w:sz w:val="22"/>
          <w:szCs w:val="22"/>
        </w:rPr>
        <w:t>Trail</w:t>
      </w:r>
      <w:proofErr w:type="spellEnd"/>
      <w:r w:rsidRPr="00F25463">
        <w:rPr>
          <w:rFonts w:hAnsi="Times New Roman" w:cs="Times New Roman"/>
          <w:i/>
          <w:iCs/>
          <w:sz w:val="22"/>
          <w:szCs w:val="22"/>
        </w:rPr>
        <w:t xml:space="preserve"> p.102</w:t>
      </w:r>
    </w:p>
    <w:p w14:paraId="46A915DD"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5FB8A0EA"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 xml:space="preserve">Située à </w:t>
      </w:r>
      <w:proofErr w:type="spellStart"/>
      <w:r w:rsidRPr="00F25463">
        <w:rPr>
          <w:rFonts w:hAnsi="Times New Roman" w:cs="Times New Roman"/>
          <w:sz w:val="22"/>
          <w:szCs w:val="22"/>
        </w:rPr>
        <w:t>Trail</w:t>
      </w:r>
      <w:proofErr w:type="spellEnd"/>
      <w:r w:rsidRPr="00F25463">
        <w:rPr>
          <w:rFonts w:hAnsi="Times New Roman" w:cs="Times New Roman"/>
          <w:sz w:val="22"/>
          <w:szCs w:val="22"/>
        </w:rPr>
        <w:t xml:space="preserve"> (C-B), près de la frontière canado-américaine, une usine de zinc et de plomb émettant dans l’atmosphère d’importante quantités de dioxyde sulfurique que des courants d’air transportaient en territoire américain, causant ainsi des dommages à la végétation.  Le gouvernement américain porte l’affaire en arbitrage.</w:t>
      </w:r>
    </w:p>
    <w:p w14:paraId="490224D9"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724C6BA0"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Le tribunal établit très clairement qu’aucun État n’a le droit d’user son territoire ou d’en permettre l’usage de manière que les fumées provoquent un préjudice sur le territoire d’un autre État voisin ou aux propriétés des personnes qui s’y trouvent, s’il s’agit de conséquences sérieuses et si le préjudice est prouvé par des preuves claires et convaincantes.  Le Canada est donc responsable et doit remédier à la situation</w:t>
      </w:r>
    </w:p>
    <w:p w14:paraId="78C9CE4F"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p>
    <w:p w14:paraId="70FCB032"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L’obligation de n’encourager ni de tolérer sur son territoire des actes portant atteinte à la sécurité des États étrangers</w:t>
      </w:r>
    </w:p>
    <w:p w14:paraId="290065FA"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440"/>
        <w:rPr>
          <w:rFonts w:hAnsi="Times New Roman" w:cs="Times New Roman"/>
          <w:sz w:val="22"/>
          <w:szCs w:val="22"/>
        </w:rPr>
      </w:pPr>
      <w:r w:rsidRPr="00F25463">
        <w:rPr>
          <w:rFonts w:hAnsi="Times New Roman" w:cs="Times New Roman"/>
          <w:sz w:val="22"/>
          <w:szCs w:val="22"/>
        </w:rPr>
        <w:t>-Un État doit non seulement s’abstenir de toute forme d’intervention armée contre l’intégrité territoriale, l’indépendance politique d’un autre État mais il doit aussi s’abstenir d’organiser, d’aider, de formuler, de financer, d’encourager ou de tolérer sur son propre territoire des activités armées subversives ou terroristes destinées à changer par la violence le régime politique d’un autre État.  En d’autres mots, le territoire de l’État ne doit pas devenir une base d’opération contre un État étranger.</w:t>
      </w:r>
    </w:p>
    <w:p w14:paraId="0F54EC62" w14:textId="77777777" w:rsidR="00EC0180" w:rsidRPr="00F25463" w:rsidRDefault="00EC0180">
      <w:pPr>
        <w:pStyle w:val="BodyText"/>
        <w:tabs>
          <w:tab w:val="clear" w:pos="36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7FD26CB" w14:textId="77777777" w:rsidR="00EC0180" w:rsidRPr="00F25463" w:rsidRDefault="004270F6">
      <w:pPr>
        <w:pStyle w:val="BodyText"/>
        <w:tabs>
          <w:tab w:val="clear" w:pos="36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II. Dimension physique de la compétence territoriale</w:t>
      </w:r>
    </w:p>
    <w:p w14:paraId="55C6269E"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DC45251"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-L’extension des compétences territoriales sur le plateau continental (espace sous-marin). Elle permet d’exploiter les richesses naturelles sur et sous son territoire. L’État a compétence sur les individus et les choses se trouvant sur son territoire. Le fait d’être présent sur le territoire est la caractéristique principale d’identification. L’État a la compétence d’exploiter les ressources naturelles se trouvant sur son territoire (ce principe est inaliénable).</w:t>
      </w:r>
    </w:p>
    <w:p w14:paraId="5F96BBE0" w14:textId="77777777" w:rsidR="00EC0180" w:rsidRPr="00F25463" w:rsidRDefault="00EC0180">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4B26109" w14:textId="77777777" w:rsidR="00EC0180" w:rsidRPr="00F25463" w:rsidRDefault="004270F6">
      <w:pPr>
        <w:pStyle w:val="BodyText"/>
        <w:tabs>
          <w:tab w:val="clear" w:pos="360"/>
          <w:tab w:val="left" w:pos="72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Principe : de la souveraineté permettent des richesses naturelles ; principe inaliénable. </w:t>
      </w:r>
    </w:p>
    <w:p w14:paraId="3A4155E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788A11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Avec le temps les État ont étendu à d’autre territoire maritime, p.103</w:t>
      </w:r>
    </w:p>
    <w:p w14:paraId="4F99792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DC8A54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Lire </w:t>
      </w:r>
      <w:proofErr w:type="spellStart"/>
      <w:r w:rsidRPr="00F25463">
        <w:rPr>
          <w:rFonts w:hAnsi="Times New Roman" w:cs="Times New Roman"/>
          <w:sz w:val="22"/>
          <w:szCs w:val="22"/>
        </w:rPr>
        <w:t>Arbour</w:t>
      </w:r>
      <w:proofErr w:type="spellEnd"/>
      <w:r w:rsidRPr="00F25463">
        <w:rPr>
          <w:rFonts w:hAnsi="Times New Roman" w:cs="Times New Roman"/>
          <w:sz w:val="22"/>
          <w:szCs w:val="22"/>
        </w:rPr>
        <w:t> : plateau continental, zone contigu, zone économique exclusive avec la p. 181 du recueil.</w:t>
      </w:r>
    </w:p>
    <w:p w14:paraId="2578864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États peuvent étendre leur dimension physique sur des nouveaux territoire maritimes (compétence territorial de l’État) comme le plateau plateau continental (p.181 du polycopié)</w:t>
      </w:r>
    </w:p>
    <w:p w14:paraId="1BC43F9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2C7551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4196FF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EE9FBB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169E41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2660D71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C28942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6BC86D3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Dimension physique (p.103)</w:t>
      </w:r>
    </w:p>
    <w:p w14:paraId="0313ABA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4AE090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Recueil p.181 (graphique) </w:t>
      </w:r>
    </w:p>
    <w:p w14:paraId="439E259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514277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Plateau continental : c’est la plate forme qui borde le continent sous la mer qui rejoint les fonds marins. C’est sol et le sous-sol des régions sous-marines adjacentes aux côtes et au-delà de la mer territoriale jusqu’à la limite extérieure de la marge continentale, qui comprend le talus continental. </w:t>
      </w:r>
    </w:p>
    <w:p w14:paraId="113A900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EB4B5F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L’addition du plateau continental et  de la pente continentale forme la marge continentale.  Ces régions sont très riches en pétrole.</w:t>
      </w:r>
    </w:p>
    <w:p w14:paraId="45B6630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0102059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Définitions de 1958 et 1982 (pas encore du droit coutumier)</w:t>
      </w:r>
    </w:p>
    <w:p w14:paraId="459E64D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88ED81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Plateau continental en 1958 :</w:t>
      </w:r>
    </w:p>
    <w:p w14:paraId="4B0566D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9480B1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Désigne le lit (sol) de la mer et le sous-sol des régions sous-marines adjacentes aux côtes mais situées en dehors de la mer territoriale jusqu’à uns profondeur de 200 mètre ou, au-delà de cette limite, jusqu’à un point où la profondeur des eaux subjacentes permet l’exploitation des ressources naturelles desdites régions.  Ceci pose un problème car il n’impose aucune limite.  À cette convention, on ne considérait pas la notion du plateau continental comme étant du droit coutumier.</w:t>
      </w:r>
    </w:p>
    <w:p w14:paraId="4BDD82C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BEE48C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F6B079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Plateau continental en 1982</w:t>
      </w:r>
      <w:r w:rsidRPr="00F25463">
        <w:rPr>
          <w:rFonts w:hAnsi="Times New Roman" w:cs="Times New Roman"/>
          <w:sz w:val="22"/>
          <w:szCs w:val="22"/>
        </w:rPr>
        <w:t> (nouvelle définition qui est devenu le droit coutumier applicable): art. 76 (1)</w:t>
      </w:r>
    </w:p>
    <w:p w14:paraId="580FB52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DA6607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Le plateau continental d’un État côtier comprend les fonds marins et leur sous-sol au-delà de sa mer territorial, sur toute l’étendue du prolongement naturel du territoire terrestre de cet État jusqu’au rebord externe de la marge continentale, ceci comprend la pente continentale ou si plus de 200 milles, le max sera de 350 milles marins. Si la marge continentale de l’État est inférieure à 200 miles, cet État a droit à 150 miles de plus. Si la marge continentale de l’État est </w:t>
      </w:r>
      <w:proofErr w:type="gramStart"/>
      <w:r w:rsidRPr="00F25463">
        <w:rPr>
          <w:rFonts w:hAnsi="Times New Roman" w:cs="Times New Roman"/>
          <w:sz w:val="22"/>
          <w:szCs w:val="22"/>
        </w:rPr>
        <w:t>supérieur</w:t>
      </w:r>
      <w:proofErr w:type="gramEnd"/>
      <w:r w:rsidRPr="00F25463">
        <w:rPr>
          <w:rFonts w:hAnsi="Times New Roman" w:cs="Times New Roman"/>
          <w:sz w:val="22"/>
          <w:szCs w:val="22"/>
        </w:rPr>
        <w:t xml:space="preserve"> à 200 miles, il peut pas aller plus loin que 350 miles même si géologiquement son plateau est plus grand que 350 miles. Il faut que ça arrête à 350 </w:t>
      </w:r>
      <w:proofErr w:type="gramStart"/>
      <w:r w:rsidRPr="00F25463">
        <w:rPr>
          <w:rFonts w:hAnsi="Times New Roman" w:cs="Times New Roman"/>
          <w:sz w:val="22"/>
          <w:szCs w:val="22"/>
        </w:rPr>
        <w:t>miles..</w:t>
      </w:r>
      <w:proofErr w:type="gramEnd"/>
      <w:r w:rsidRPr="00F25463">
        <w:rPr>
          <w:rFonts w:hAnsi="Times New Roman" w:cs="Times New Roman"/>
          <w:sz w:val="22"/>
          <w:szCs w:val="22"/>
        </w:rPr>
        <w:t xml:space="preserve"> Parce que le plateau est extrêmement riche en ressources naturelles. Ça veut dire que cet état perd une partie de son plateau géologique .Ou jusqu’à 200 milles marins des lignes de base à partir desquelles est mesurée la largeur de la mer territoriale, lorsque le rebord externe de la marge continentale se trouve à distance inférieure.  À cette convention, on considère la notion comme droit coutumier. </w:t>
      </w:r>
    </w:p>
    <w:p w14:paraId="22CF2B9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0C7230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DONC,</w:t>
      </w:r>
    </w:p>
    <w:p w14:paraId="7297BD1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23D739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ab/>
        <w:t xml:space="preserve">Si la marge continentale est égale ou inférieur à 200 miles : l’État à un plateau continental de 200 miles. Pas plus et même si a moins peu avoir 200 miles aussi. Si supérieur à 200 miles : l’État a droit d’avoir sa limite de pas plus de 350 miles. Risque de perte si plus de 350 miles. Les îles peuvent avoir un plateau continental si elles sont capables de vie économique et humaine (article 121 de la convention de 1982).  </w:t>
      </w:r>
    </w:p>
    <w:p w14:paraId="4A877C2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B3F03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Les Îles ont droit à un plateau continental (naturel) : article 121 de la convention de 1982. A la condition que l’île soit capable de vie humaine ou économique. Si c’est un rocher pas le droit parce que personne peut vivre dessus. Mais les rochers ont une mer territoriale. </w:t>
      </w:r>
    </w:p>
    <w:p w14:paraId="741433D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615BD9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L’extension  des compétences territoriales au-delà du territoire maritime de l’État côtier</w:t>
      </w:r>
    </w:p>
    <w:p w14:paraId="4B16EE5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49C2916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Zone économique exclusive (ZEE)</w:t>
      </w:r>
    </w:p>
    <w:p w14:paraId="48517B7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8FAEDB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56 C. 1982</w:t>
      </w:r>
      <w:r w:rsidRPr="00F25463">
        <w:rPr>
          <w:rFonts w:hAnsi="Times New Roman" w:cs="Times New Roman"/>
          <w:sz w:val="22"/>
          <w:szCs w:val="22"/>
        </w:rPr>
        <w:t xml:space="preserve"> : Le concept de ZEE comprend le sol, le sous-sol et les eaux au-dessus aux fonds marins jusqu’à une distance maximale de 200 miles à partir des lignes de base. La zone économique exclusive est constituée du sol, du sous-sol mais aussi de la mer. La raison pour laquelle on a conservé le principe de plateau continental (alors que la zone économique exclusive l’englobe) est que le plateau continental est de plein droit alors que la zone économique exclusive n’est pas de plein droit et un État n’est pas obligé de déclarer une zone économique exclusive. On peut aller pêcher librement sur la ZEE. </w:t>
      </w:r>
    </w:p>
    <w:p w14:paraId="4D7E124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890A37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Régime juridique de la ZEE</w:t>
      </w:r>
    </w:p>
    <w:p w14:paraId="5FDC968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2C8781C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56 C. 1982</w:t>
      </w:r>
      <w:r w:rsidRPr="00F25463">
        <w:rPr>
          <w:rFonts w:hAnsi="Times New Roman" w:cs="Times New Roman"/>
          <w:sz w:val="22"/>
          <w:szCs w:val="22"/>
        </w:rPr>
        <w:t xml:space="preserve"> : Dans sa zone économique exclusive, L’État côtier jouit de </w:t>
      </w:r>
      <w:r w:rsidRPr="00F25463">
        <w:rPr>
          <w:rFonts w:hAnsi="Times New Roman" w:cs="Times New Roman"/>
          <w:b/>
          <w:bCs/>
          <w:sz w:val="22"/>
          <w:szCs w:val="22"/>
        </w:rPr>
        <w:t xml:space="preserve">droits souverains aux fins d’exploitations et d’exploration, de conservation et de gestion des ressources biologiques et non-biologique qui s’y trouvent tel le sol, le sous-sol et les eaux </w:t>
      </w:r>
      <w:proofErr w:type="spellStart"/>
      <w:r w:rsidRPr="00F25463">
        <w:rPr>
          <w:rFonts w:hAnsi="Times New Roman" w:cs="Times New Roman"/>
          <w:b/>
          <w:bCs/>
          <w:sz w:val="22"/>
          <w:szCs w:val="22"/>
        </w:rPr>
        <w:t>sur-jacentes</w:t>
      </w:r>
      <w:proofErr w:type="spellEnd"/>
      <w:r w:rsidRPr="00F25463">
        <w:rPr>
          <w:rFonts w:hAnsi="Times New Roman" w:cs="Times New Roman"/>
          <w:b/>
          <w:bCs/>
          <w:sz w:val="22"/>
          <w:szCs w:val="22"/>
        </w:rPr>
        <w:t>.</w:t>
      </w:r>
    </w:p>
    <w:p w14:paraId="658B574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D9F6B4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dans la ZEE, il y a liberté de navigation aérienne ou maritime.  On peut aussi y poser des câbles sous-marins.</w:t>
      </w:r>
    </w:p>
    <w:p w14:paraId="57E23BC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1C571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Cependant, la liberté de l’État côtier dans la définition de sa politique des pêches n’est pas absolue.  Sa politique des pêches doit de conformer aux dispositions de la convention de 1982 :</w:t>
      </w:r>
    </w:p>
    <w:p w14:paraId="6345519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556DD1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61 C. 1982 :</w:t>
      </w:r>
      <w:r w:rsidRPr="00F25463">
        <w:rPr>
          <w:rFonts w:hAnsi="Times New Roman" w:cs="Times New Roman"/>
          <w:sz w:val="22"/>
          <w:szCs w:val="22"/>
        </w:rPr>
        <w:t xml:space="preserve"> L’État côtier, pour assurer conservation, doit d’abord fixer le volume max admissible des captures (cette obligation est sanctionnée en cas de non-respect)</w:t>
      </w:r>
    </w:p>
    <w:p w14:paraId="206CF57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F122AA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62 C. 1982</w:t>
      </w:r>
      <w:r w:rsidRPr="00F25463">
        <w:rPr>
          <w:rFonts w:hAnsi="Times New Roman" w:cs="Times New Roman"/>
          <w:sz w:val="22"/>
          <w:szCs w:val="22"/>
        </w:rPr>
        <w:t> : Il détermine ensuite sa propre capacité d’exploitation :</w:t>
      </w:r>
    </w:p>
    <w:p w14:paraId="46FB20A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Et si cette capacité est inférieure à l’ensemble du volume admissible des captures, il autorise, par voix d’accord (de traité), d’autres États a pêcher l’excédent (L’État côtier ne peut pas, en vertu de ses pouvoirs souverains, s’abstenir totalement d’exploiter les ressources de sa ZEE et de refuser en même temps aux étrangers l’accès à ses ressources)</w:t>
      </w:r>
    </w:p>
    <w:p w14:paraId="2B1FCA2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D9A47A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297 (3)b) C. 1982</w:t>
      </w:r>
      <w:r w:rsidRPr="00F25463">
        <w:rPr>
          <w:rFonts w:hAnsi="Times New Roman" w:cs="Times New Roman"/>
          <w:sz w:val="22"/>
          <w:szCs w:val="22"/>
        </w:rPr>
        <w:t xml:space="preserve">: Si un État refuse arbitrairement de fixer le volume admissible des captures à la demande d’un État tiers qui est intéressé à pêcher dans sa ZEE, </w:t>
      </w:r>
      <w:r w:rsidRPr="00F25463">
        <w:rPr>
          <w:rFonts w:hAnsi="Times New Roman" w:cs="Times New Roman"/>
          <w:b/>
          <w:bCs/>
          <w:sz w:val="22"/>
          <w:szCs w:val="22"/>
        </w:rPr>
        <w:t>la conciliation obligatoire internationale est prévue</w:t>
      </w:r>
    </w:p>
    <w:p w14:paraId="22BCA31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9C8C0A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Les États tiers qui peuvent pêcher sont</w:t>
      </w:r>
      <w:r w:rsidRPr="00F25463">
        <w:rPr>
          <w:rFonts w:hAnsi="Times New Roman" w:cs="Times New Roman"/>
          <w:sz w:val="22"/>
          <w:szCs w:val="22"/>
        </w:rPr>
        <w:t> :</w:t>
      </w:r>
    </w:p>
    <w:p w14:paraId="6594B69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pays en voie de développement</w:t>
      </w:r>
    </w:p>
    <w:p w14:paraId="152CACF9"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États du littoral et des sous-régions</w:t>
      </w:r>
    </w:p>
    <w:p w14:paraId="6DF48D3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États qui traditionnellement pêchent dans ces régions</w:t>
      </w:r>
    </w:p>
    <w:p w14:paraId="59D98E9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les États qui ont contribué à l’identification et à la recherche des sortes de poissons (par leurs activités)</w:t>
      </w:r>
    </w:p>
    <w:p w14:paraId="0A40A94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DA9C70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Note : Il y a un droit de poursuite dans la ZEE.</w:t>
      </w:r>
    </w:p>
    <w:p w14:paraId="25453C0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
    <w:p w14:paraId="6C1C7BF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b/>
          <w:bCs/>
          <w:sz w:val="22"/>
          <w:szCs w:val="22"/>
        </w:rPr>
      </w:pPr>
      <w:r w:rsidRPr="00F25463">
        <w:rPr>
          <w:rFonts w:hAnsi="Times New Roman" w:cs="Times New Roman"/>
          <w:b/>
          <w:bCs/>
          <w:sz w:val="22"/>
          <w:szCs w:val="22"/>
        </w:rPr>
        <w:t>DONC,</w:t>
      </w:r>
    </w:p>
    <w:p w14:paraId="1BCD49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TOUT ÉTAT A UN PLATEAU CONTINENTAL AUTOMATIQUEMENT. Ses droits sur ce plateau sont exclusifs (comprennent le sol et le sous-sol). Ces droits portent sur les ressources minérales du sol et du sous-sol. Portent aussi sur les organismes vivants appartenant aux espèces sédentaires </w:t>
      </w:r>
      <w:proofErr w:type="gramStart"/>
      <w:r w:rsidRPr="00F25463">
        <w:rPr>
          <w:rFonts w:hAnsi="Times New Roman" w:cs="Times New Roman"/>
          <w:sz w:val="22"/>
          <w:szCs w:val="22"/>
        </w:rPr>
        <w:t>( espèces</w:t>
      </w:r>
      <w:proofErr w:type="gramEnd"/>
      <w:r w:rsidRPr="00F25463">
        <w:rPr>
          <w:rFonts w:hAnsi="Times New Roman" w:cs="Times New Roman"/>
          <w:sz w:val="22"/>
          <w:szCs w:val="22"/>
        </w:rPr>
        <w:t xml:space="preserve"> immobiles sur le sol ou incapable de se déplacer ou sauf toujours en  restant attaché au sol. </w:t>
      </w:r>
    </w:p>
    <w:p w14:paraId="2D7CA93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273D44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0A498D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Quel sont les droit de l’État sur son plateau</w:t>
      </w:r>
    </w:p>
    <w:p w14:paraId="558753A7"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exclusif</w:t>
      </w:r>
    </w:p>
    <w:p w14:paraId="43A123A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existe de plein droit.</w:t>
      </w:r>
    </w:p>
    <w:p w14:paraId="17E2A74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D37F2D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-Lui seul peut exploiter et explorer son plateau.  Aucun autre État ne peut le faire sans la permission.  Occupation effective de l’État riverain.</w:t>
      </w:r>
    </w:p>
    <w:p w14:paraId="166BBD6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E4D109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 n’est pas le cas de la ZEE.</w:t>
      </w:r>
    </w:p>
    <w:p w14:paraId="2D81A52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-Porte sur les ressources minérales situer dans le sol et sous-sol. </w:t>
      </w:r>
    </w:p>
    <w:p w14:paraId="61AA9E0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-Plateau ne couvre pas les eaux.</w:t>
      </w:r>
    </w:p>
    <w:p w14:paraId="697CE42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749B12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-Il a un droit sur les espèces sédentaires (espèce immobile sur le sol, le lit du plateau. Ou ce sont les espèces qui sont incapable de se déplacer sauf si toujours en contact avec le sol) </w:t>
      </w:r>
    </w:p>
    <w:p w14:paraId="611E81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w:t>
      </w:r>
      <w:proofErr w:type="spellStart"/>
      <w:r w:rsidRPr="00F25463">
        <w:rPr>
          <w:rFonts w:hAnsi="Times New Roman" w:cs="Times New Roman"/>
          <w:sz w:val="22"/>
          <w:szCs w:val="22"/>
        </w:rPr>
        <w:t>coreau</w:t>
      </w:r>
      <w:proofErr w:type="spellEnd"/>
      <w:r w:rsidRPr="00F25463">
        <w:rPr>
          <w:rFonts w:hAnsi="Times New Roman" w:cs="Times New Roman"/>
          <w:sz w:val="22"/>
          <w:szCs w:val="22"/>
        </w:rPr>
        <w:t>, éponge, huitre</w:t>
      </w:r>
    </w:p>
    <w:p w14:paraId="6A6A7F9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2AE9E2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Espèce controversé : crustacé (langouste, crabe et homard....money money !). Si on ne les considère pas comme des espèces sédentaires, tout le monde pourra venir pêcher les crustacées. </w:t>
      </w:r>
    </w:p>
    <w:p w14:paraId="4FF6ECA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E1A75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pas sédentaire : les autres États peuvent venir les pêcher.</w:t>
      </w:r>
    </w:p>
    <w:p w14:paraId="41DEC62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une marge supérieur à 200 miles : les crustacé non-sédentaire si proclame la ZEE, au delà du 200 miles, peuvent venir pêcher dans les eaux au dessus du plateau continentale.</w:t>
      </w:r>
    </w:p>
    <w:p w14:paraId="1A64631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83A478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Autre droit : Droit de poursuite</w:t>
      </w:r>
    </w:p>
    <w:p w14:paraId="0ED75F5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À partir de son plateau continental,  pour violation des règlementations de l’État. (Des lois que l’État </w:t>
      </w:r>
      <w:proofErr w:type="spellStart"/>
      <w:r w:rsidRPr="00F25463">
        <w:rPr>
          <w:rFonts w:hAnsi="Times New Roman" w:cs="Times New Roman"/>
          <w:sz w:val="22"/>
          <w:szCs w:val="22"/>
        </w:rPr>
        <w:t>reverain</w:t>
      </w:r>
      <w:proofErr w:type="spellEnd"/>
      <w:r w:rsidRPr="00F25463">
        <w:rPr>
          <w:rFonts w:hAnsi="Times New Roman" w:cs="Times New Roman"/>
          <w:sz w:val="22"/>
          <w:szCs w:val="22"/>
        </w:rPr>
        <w:t xml:space="preserve"> peut adopter à propos de son plateau continental). Plus on s’éloigne des côtés</w:t>
      </w:r>
    </w:p>
    <w:p w14:paraId="777136C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S’il y a violation par un navire sur les lois applicables dans le plateau continental, il y a un droit de poursuite </w:t>
      </w:r>
      <w:proofErr w:type="gramStart"/>
      <w:r w:rsidRPr="00F25463">
        <w:rPr>
          <w:rFonts w:hAnsi="Times New Roman" w:cs="Times New Roman"/>
          <w:sz w:val="22"/>
          <w:szCs w:val="22"/>
        </w:rPr>
        <w:t>( qui</w:t>
      </w:r>
      <w:proofErr w:type="gramEnd"/>
      <w:r w:rsidRPr="00F25463">
        <w:rPr>
          <w:rFonts w:hAnsi="Times New Roman" w:cs="Times New Roman"/>
          <w:sz w:val="22"/>
          <w:szCs w:val="22"/>
        </w:rPr>
        <w:t xml:space="preserve"> s’arrête quand le navire se déplace dans la mer territoriale d’un autre État. </w:t>
      </w:r>
    </w:p>
    <w:p w14:paraId="4D4FC75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89F141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Les obligations de l’État riverain dans son plateau</w:t>
      </w:r>
      <w:r w:rsidRPr="00F25463">
        <w:rPr>
          <w:rFonts w:hAnsi="Times New Roman" w:cs="Times New Roman"/>
          <w:sz w:val="22"/>
          <w:szCs w:val="22"/>
        </w:rPr>
        <w:t> :</w:t>
      </w:r>
    </w:p>
    <w:p w14:paraId="59D1CA9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05694D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L’État a obligation de ne pas porter atteinte au régime des eaux qui sont au dessus de son plateau continental, qui est de la haute mer si ce n’est pas déclaré ZEE. </w:t>
      </w:r>
    </w:p>
    <w:p w14:paraId="7499EC7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l’État ne se déclare pas ZEE de 200 miles : retrouve sous convention de 1958 ou ZEE n’existait pas. Il doit respecter toutes les grandes libertés de la Haute mer au-dessus du plateau continental ; doit respecter les 4 libertés de la</w:t>
      </w:r>
    </w:p>
    <w:p w14:paraId="5010F5E2" w14:textId="77777777" w:rsidR="00EC0180" w:rsidRPr="00F25463" w:rsidRDefault="004270F6" w:rsidP="004270F6">
      <w:pPr>
        <w:pStyle w:val="BodyText"/>
        <w:numPr>
          <w:ilvl w:val="0"/>
          <w:numId w:val="14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liberté de la pêche</w:t>
      </w:r>
    </w:p>
    <w:p w14:paraId="35B5AD8D" w14:textId="77777777" w:rsidR="00EC0180" w:rsidRPr="00F25463" w:rsidRDefault="004270F6" w:rsidP="004270F6">
      <w:pPr>
        <w:pStyle w:val="BodyText"/>
        <w:numPr>
          <w:ilvl w:val="0"/>
          <w:numId w:val="14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liberté de faire de la recherche océanographique scientifique</w:t>
      </w:r>
    </w:p>
    <w:p w14:paraId="15CFDAE2" w14:textId="77777777" w:rsidR="00EC0180" w:rsidRPr="00F25463" w:rsidRDefault="004270F6" w:rsidP="004270F6">
      <w:pPr>
        <w:pStyle w:val="BodyText"/>
        <w:numPr>
          <w:ilvl w:val="0"/>
          <w:numId w:val="14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liberté de poser des câbles et pipelines sous-marins</w:t>
      </w:r>
    </w:p>
    <w:p w14:paraId="620CCFB7" w14:textId="77777777" w:rsidR="00EC0180" w:rsidRPr="00F25463" w:rsidRDefault="004270F6" w:rsidP="004270F6">
      <w:pPr>
        <w:pStyle w:val="BodyText"/>
        <w:numPr>
          <w:ilvl w:val="0"/>
          <w:numId w:val="144"/>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b/>
          <w:bCs/>
          <w:sz w:val="22"/>
          <w:szCs w:val="22"/>
        </w:rPr>
      </w:pPr>
      <w:r w:rsidRPr="00F25463">
        <w:rPr>
          <w:rFonts w:hAnsi="Times New Roman" w:cs="Times New Roman"/>
          <w:b/>
          <w:bCs/>
          <w:sz w:val="22"/>
          <w:szCs w:val="22"/>
        </w:rPr>
        <w:t>liberté de navigation</w:t>
      </w:r>
    </w:p>
    <w:p w14:paraId="2089817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639625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Ne doit pas gêner ses 4 libertés envers les autres État dans la haute-mer.</w:t>
      </w:r>
    </w:p>
    <w:p w14:paraId="727F6E5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Article 78 et 79 de la convention de 1982</w:t>
      </w:r>
    </w:p>
    <w:p w14:paraId="1DB8D04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l’État se déclare ZEE, entre dans la convention 1982 :</w:t>
      </w:r>
    </w:p>
    <w:p w14:paraId="561C0BF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 ce moment dans la ZEE, l’État riverain à compétence au point 1 et 2.</w:t>
      </w:r>
    </w:p>
    <w:p w14:paraId="0D02DA9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 xml:space="preserve">Ne doit pas gêner les point 3 et 4. </w:t>
      </w:r>
    </w:p>
    <w:p w14:paraId="4188BBF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5A05FF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convention de 1982 à rajouter des obligations des États de protéger les milieux marins contre la pollution.</w:t>
      </w:r>
    </w:p>
    <w:p w14:paraId="648DF05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449947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Au Canada qui peut exploiter le plateau :</w:t>
      </w:r>
    </w:p>
    <w:p w14:paraId="05D0894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C2FDEB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1967 : on dit que le fédéral peut légiférer.</w:t>
      </w:r>
    </w:p>
    <w:p w14:paraId="437FA52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Quand T-N entre avec le Canada, veut garder son plateau. En 1984 (renvoi sur la propriété du plateau) CS a dit que T-N a pas renter en 1949 au Canada avec son plateau. Le plateau continental n’était pas considéré comme coutumier.</w:t>
      </w:r>
    </w:p>
    <w:p w14:paraId="12EF125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plateau continental appartient au fédéral car il est un état et c’est lui donc qui prend les décisions en relations avec ce plateau. Le droit d’exploiter et de légiférer sur le plateau continental appartient EXCLUSIVEMENT au fédéral.</w:t>
      </w:r>
    </w:p>
    <w:p w14:paraId="789EAF2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AB1489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 xml:space="preserve">Concept de zone </w:t>
      </w:r>
      <w:proofErr w:type="spellStart"/>
      <w:r w:rsidRPr="00F25463">
        <w:rPr>
          <w:rFonts w:hAnsi="Times New Roman" w:cs="Times New Roman"/>
          <w:b/>
          <w:bCs/>
          <w:sz w:val="22"/>
          <w:szCs w:val="22"/>
        </w:rPr>
        <w:t>contigue</w:t>
      </w:r>
      <w:proofErr w:type="spellEnd"/>
      <w:r w:rsidRPr="00F25463">
        <w:rPr>
          <w:rFonts w:hAnsi="Times New Roman" w:cs="Times New Roman"/>
          <w:b/>
          <w:bCs/>
          <w:sz w:val="22"/>
          <w:szCs w:val="22"/>
        </w:rPr>
        <w:t xml:space="preserve"> et zone économique exclusive (p. 106)</w:t>
      </w:r>
    </w:p>
    <w:p w14:paraId="7E3A033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29B6B9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Zone contiguë : (p. 108)</w:t>
      </w:r>
    </w:p>
    <w:p w14:paraId="6F7C5D3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Art 24 C. 1958 avec Art 33 C. 1982:</w:t>
      </w:r>
    </w:p>
    <w:p w14:paraId="1112135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D7D390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La zone </w:t>
      </w:r>
      <w:proofErr w:type="spellStart"/>
      <w:r w:rsidRPr="00F25463">
        <w:rPr>
          <w:rFonts w:hAnsi="Times New Roman" w:cs="Times New Roman"/>
          <w:sz w:val="22"/>
          <w:szCs w:val="22"/>
        </w:rPr>
        <w:t>contigue</w:t>
      </w:r>
      <w:proofErr w:type="spellEnd"/>
      <w:r w:rsidRPr="00F25463">
        <w:rPr>
          <w:rFonts w:hAnsi="Times New Roman" w:cs="Times New Roman"/>
          <w:sz w:val="22"/>
          <w:szCs w:val="22"/>
        </w:rPr>
        <w:t xml:space="preserve"> est un concept de droit coutumier qui crée une zone tampon entre la mer territorial et la haute-mer.  La zone contiguë sert à fonder, en droit international, la compétence territoriale de l’État riverain (pouvoir de type fonctionnel) en vue de réprimer les infractions à ses lois douanières, fiscales, sanitaires ou d’immigration commises sur son territoire ou dans sa mer territoriale.  La convention de 1982 pose la limite extérieure de cette zone de 24 milles marins à partir des lignes de base. L’État riverain conserve des pouvoirs de type fonctionnel </w:t>
      </w:r>
      <w:proofErr w:type="gramStart"/>
      <w:r w:rsidRPr="00F25463">
        <w:rPr>
          <w:rFonts w:hAnsi="Times New Roman" w:cs="Times New Roman"/>
          <w:sz w:val="22"/>
          <w:szCs w:val="22"/>
        </w:rPr>
        <w:t xml:space="preserve">( </w:t>
      </w:r>
      <w:proofErr w:type="spellStart"/>
      <w:r w:rsidRPr="00F25463">
        <w:rPr>
          <w:rFonts w:hAnsi="Times New Roman" w:cs="Times New Roman"/>
          <w:sz w:val="22"/>
          <w:szCs w:val="22"/>
        </w:rPr>
        <w:t>extention</w:t>
      </w:r>
      <w:proofErr w:type="spellEnd"/>
      <w:proofErr w:type="gramEnd"/>
      <w:r w:rsidRPr="00F25463">
        <w:rPr>
          <w:rFonts w:hAnsi="Times New Roman" w:cs="Times New Roman"/>
          <w:sz w:val="22"/>
          <w:szCs w:val="22"/>
        </w:rPr>
        <w:t xml:space="preserve"> des pouvoirs qu’il a dans sa mer territoriale. Transition entre la mer territoriale et la haute-mer. Dans cette zone, l’État conserve des pouvoirs fonctionnels qui visent un but de sécurité de l’État (douanière, fiscales, sanitaires, et d’</w:t>
      </w:r>
      <w:proofErr w:type="spellStart"/>
      <w:r w:rsidRPr="00F25463">
        <w:rPr>
          <w:rFonts w:hAnsi="Times New Roman" w:cs="Times New Roman"/>
          <w:sz w:val="22"/>
          <w:szCs w:val="22"/>
        </w:rPr>
        <w:t>immigtration</w:t>
      </w:r>
      <w:proofErr w:type="spellEnd"/>
      <w:r w:rsidRPr="00F25463">
        <w:rPr>
          <w:rFonts w:hAnsi="Times New Roman" w:cs="Times New Roman"/>
          <w:sz w:val="22"/>
          <w:szCs w:val="22"/>
        </w:rPr>
        <w:t>.</w:t>
      </w:r>
    </w:p>
    <w:p w14:paraId="48020A3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14E312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Doc 15a. Convention de 1958 sur la mer territoriale</w:t>
      </w:r>
    </w:p>
    <w:p w14:paraId="7FC06AD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p>
    <w:p w14:paraId="13D0043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Art 24 C. 1958 : Sur une zone de haute-mer contiguë à sa mer territoriale, l’État riverain peut exercer le contrôle nécessaire en vue :</w:t>
      </w:r>
    </w:p>
    <w:p w14:paraId="2E3D7AEF" w14:textId="77777777" w:rsidR="00EC0180" w:rsidRPr="00F25463" w:rsidRDefault="004270F6" w:rsidP="004270F6">
      <w:pPr>
        <w:pStyle w:val="BodyText"/>
        <w:numPr>
          <w:ilvl w:val="3"/>
          <w:numId w:val="145"/>
        </w:numPr>
        <w:tabs>
          <w:tab w:val="clear" w:pos="360"/>
          <w:tab w:val="clear" w:pos="4410"/>
          <w:tab w:val="num" w:pos="4440"/>
          <w:tab w:val="left" w:pos="4956"/>
          <w:tab w:val="left" w:pos="5664"/>
          <w:tab w:val="left" w:pos="6372"/>
          <w:tab w:val="left" w:pos="7080"/>
          <w:tab w:val="left" w:pos="7788"/>
          <w:tab w:val="left" w:pos="8496"/>
          <w:tab w:val="left" w:pos="9204"/>
          <w:tab w:val="left" w:pos="9472"/>
        </w:tabs>
        <w:ind w:left="4440" w:hanging="360"/>
        <w:rPr>
          <w:rFonts w:hAnsi="Times New Roman" w:cs="Times New Roman"/>
          <w:sz w:val="22"/>
          <w:szCs w:val="22"/>
        </w:rPr>
      </w:pPr>
      <w:r w:rsidRPr="00F25463">
        <w:rPr>
          <w:rFonts w:hAnsi="Times New Roman" w:cs="Times New Roman"/>
          <w:sz w:val="22"/>
          <w:szCs w:val="22"/>
        </w:rPr>
        <w:t>de prévenir les contraventions à ses lois de police douanière, fiscale, sanitaire ou d’immigration sur son territoire ou dans sa mer territorial</w:t>
      </w:r>
    </w:p>
    <w:p w14:paraId="07A1DFF8" w14:textId="77777777" w:rsidR="00EC0180" w:rsidRPr="00F25463" w:rsidRDefault="004270F6" w:rsidP="004270F6">
      <w:pPr>
        <w:pStyle w:val="BodyText"/>
        <w:numPr>
          <w:ilvl w:val="3"/>
          <w:numId w:val="145"/>
        </w:numPr>
        <w:tabs>
          <w:tab w:val="clear" w:pos="360"/>
          <w:tab w:val="clear" w:pos="4410"/>
          <w:tab w:val="num" w:pos="4440"/>
          <w:tab w:val="left" w:pos="4956"/>
          <w:tab w:val="left" w:pos="5664"/>
          <w:tab w:val="left" w:pos="6372"/>
          <w:tab w:val="left" w:pos="7080"/>
          <w:tab w:val="left" w:pos="7788"/>
          <w:tab w:val="left" w:pos="8496"/>
          <w:tab w:val="left" w:pos="9204"/>
          <w:tab w:val="left" w:pos="9472"/>
        </w:tabs>
        <w:ind w:left="4440" w:hanging="360"/>
        <w:rPr>
          <w:rFonts w:hAnsi="Times New Roman" w:cs="Times New Roman"/>
          <w:sz w:val="22"/>
          <w:szCs w:val="22"/>
        </w:rPr>
      </w:pPr>
      <w:r w:rsidRPr="00F25463">
        <w:rPr>
          <w:rFonts w:hAnsi="Times New Roman" w:cs="Times New Roman"/>
          <w:sz w:val="22"/>
          <w:szCs w:val="22"/>
        </w:rPr>
        <w:t xml:space="preserve">de réprimer les contraventions à ces même lois, </w:t>
      </w:r>
      <w:proofErr w:type="spellStart"/>
      <w:r w:rsidRPr="00F25463">
        <w:rPr>
          <w:rFonts w:hAnsi="Times New Roman" w:cs="Times New Roman"/>
          <w:sz w:val="22"/>
          <w:szCs w:val="22"/>
        </w:rPr>
        <w:t>commisent</w:t>
      </w:r>
      <w:proofErr w:type="spellEnd"/>
      <w:r w:rsidRPr="00F25463">
        <w:rPr>
          <w:rFonts w:hAnsi="Times New Roman" w:cs="Times New Roman"/>
          <w:sz w:val="22"/>
          <w:szCs w:val="22"/>
        </w:rPr>
        <w:t xml:space="preserve"> sur son territoire ou dans sa mer territoriale.</w:t>
      </w:r>
    </w:p>
    <w:p w14:paraId="6819E8F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0B043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Application de l’article 33</w:t>
      </w:r>
    </w:p>
    <w:p w14:paraId="52ADFD4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7D9C52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33 (1)d) C. 1982</w:t>
      </w:r>
      <w:r w:rsidRPr="00F25463">
        <w:rPr>
          <w:rFonts w:hAnsi="Times New Roman" w:cs="Times New Roman"/>
          <w:sz w:val="22"/>
          <w:szCs w:val="22"/>
        </w:rPr>
        <w:t>: Un navire privé ou public commercial qui vient de sortir de la mer territoriale et qui se trouve en zone contiguë (après avoir contrevenu aux disposition mentionnées) peut-être réprimé par l’État côtier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arrêté et ramené à l’un des ports pour juger les responsables, </w:t>
      </w:r>
      <w:proofErr w:type="spellStart"/>
      <w:r w:rsidRPr="00F25463">
        <w:rPr>
          <w:rFonts w:hAnsi="Times New Roman" w:cs="Times New Roman"/>
          <w:sz w:val="22"/>
          <w:szCs w:val="22"/>
        </w:rPr>
        <w:t>etc</w:t>
      </w:r>
      <w:proofErr w:type="spellEnd"/>
      <w:r w:rsidRPr="00F25463">
        <w:rPr>
          <w:rFonts w:hAnsi="Times New Roman" w:cs="Times New Roman"/>
          <w:sz w:val="22"/>
          <w:szCs w:val="22"/>
        </w:rPr>
        <w:t>). L’État peut l’arrêter dans la zone contiguë et le ramener au port. Ce n’est pas le droit de poursuite. Permet à l’État d’arrêter le navire sur 12 miles de plus. .. Mais seulement dans les cas de violation de lois d’ordre fiscale, douanière, sanitaires et d’immigration.</w:t>
      </w:r>
    </w:p>
    <w:p w14:paraId="786D9D3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03559C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33 (1) a) C. 1982</w:t>
      </w:r>
      <w:r w:rsidRPr="00F25463">
        <w:rPr>
          <w:rFonts w:hAnsi="Times New Roman" w:cs="Times New Roman"/>
          <w:sz w:val="22"/>
          <w:szCs w:val="22"/>
        </w:rPr>
        <w:t>: Si un navire est en zone contiguë et se dirige vers la mer territoriale, l’État peut prévenir les contraventions (i.e. vérifier la cargaison et le but du voyage car selon la pratique ça répond aux conditions techniques applicables à la mer territoriale).  S’il constate une violation, L’État peut mettre en garde l’autorité du navire et/ou interdire son entrée en mer territoriale.  Pouvoir de contrôle et de surveillance dans la zone contiguë.</w:t>
      </w:r>
    </w:p>
    <w:p w14:paraId="39C187C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081988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Note : L’Art 33 (1)b) C. 1958 a donné lieu à une controverse parce que certains auteurs ont voulu lui donné une interprétation large.  Ils allèguent que puisque les États ont adoptés des lois s’appliquant à la zone contiguë, ils </w:t>
      </w:r>
      <w:r w:rsidRPr="00F25463">
        <w:rPr>
          <w:rFonts w:hAnsi="Times New Roman" w:cs="Times New Roman"/>
          <w:sz w:val="22"/>
          <w:szCs w:val="22"/>
        </w:rPr>
        <w:lastRenderedPageBreak/>
        <w:t>ont nécessairement la compétence nécessaire pour réprimer (</w:t>
      </w:r>
      <w:proofErr w:type="spellStart"/>
      <w:r w:rsidRPr="00F25463">
        <w:rPr>
          <w:rFonts w:hAnsi="Times New Roman" w:cs="Times New Roman"/>
          <w:sz w:val="22"/>
          <w:szCs w:val="22"/>
        </w:rPr>
        <w:t>i.e</w:t>
      </w:r>
      <w:proofErr w:type="spellEnd"/>
      <w:r w:rsidRPr="00F25463">
        <w:rPr>
          <w:rFonts w:hAnsi="Times New Roman" w:cs="Times New Roman"/>
          <w:sz w:val="22"/>
          <w:szCs w:val="22"/>
        </w:rPr>
        <w:t xml:space="preserve"> arrêter).  De plus, ils allèguent que dans la pratique, la prévention a évolué de telle sorte qu’elle leur permet d’arrêter.  Quant aux opposants, ils allèguent simplement que prévenir n’équivaut pas à réprimer.  C’est l’application stricte.</w:t>
      </w:r>
    </w:p>
    <w:p w14:paraId="16C573B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FF448C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99907A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Controverse sur l’art 33 1. a.</w:t>
      </w:r>
      <w:proofErr w:type="gramStart"/>
      <w:r w:rsidRPr="00F25463">
        <w:rPr>
          <w:rFonts w:hAnsi="Times New Roman" w:cs="Times New Roman"/>
          <w:sz w:val="22"/>
          <w:szCs w:val="22"/>
        </w:rPr>
        <w:t>):</w:t>
      </w:r>
      <w:proofErr w:type="gramEnd"/>
      <w:r w:rsidRPr="00F25463">
        <w:rPr>
          <w:rFonts w:hAnsi="Times New Roman" w:cs="Times New Roman"/>
          <w:sz w:val="22"/>
          <w:szCs w:val="22"/>
        </w:rPr>
        <w:t xml:space="preserve"> </w:t>
      </w:r>
    </w:p>
    <w:p w14:paraId="0EC8950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00ACA5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w:t>
      </w:r>
      <w:proofErr w:type="spellStart"/>
      <w:r w:rsidRPr="00F25463">
        <w:rPr>
          <w:rFonts w:hAnsi="Times New Roman" w:cs="Times New Roman"/>
          <w:sz w:val="22"/>
          <w:szCs w:val="22"/>
        </w:rPr>
        <w:t>Fistmoris</w:t>
      </w:r>
      <w:proofErr w:type="spellEnd"/>
      <w:r w:rsidRPr="00F25463">
        <w:rPr>
          <w:rFonts w:hAnsi="Times New Roman" w:cs="Times New Roman"/>
          <w:sz w:val="22"/>
          <w:szCs w:val="22"/>
        </w:rPr>
        <w:t xml:space="preserve"> (auteur) : est-ce que l’État peut adopter des lois douanière qui s’appliquerait jusque dans la zone contigu (arrêterai pas dans la mer territoriale) Lui, dit non, parce que sert à prévenir sous cet article. Peut pas adopter des lois qui s’appliquerait dans la ZC. </w:t>
      </w:r>
    </w:p>
    <w:p w14:paraId="79017BC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8F5FA5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w:t>
      </w:r>
      <w:proofErr w:type="spellStart"/>
      <w:r w:rsidRPr="00F25463">
        <w:rPr>
          <w:rFonts w:hAnsi="Times New Roman" w:cs="Times New Roman"/>
          <w:sz w:val="22"/>
          <w:szCs w:val="22"/>
        </w:rPr>
        <w:t>Brownlie</w:t>
      </w:r>
      <w:proofErr w:type="spellEnd"/>
      <w:r w:rsidRPr="00F25463">
        <w:rPr>
          <w:rFonts w:hAnsi="Times New Roman" w:cs="Times New Roman"/>
          <w:sz w:val="22"/>
          <w:szCs w:val="22"/>
        </w:rPr>
        <w:t xml:space="preserve"> (auteur): dit oui, peut adopter des lois. Peut s’appliquer jusque dans la limite </w:t>
      </w:r>
      <w:proofErr w:type="gramStart"/>
      <w:r w:rsidRPr="00F25463">
        <w:rPr>
          <w:rFonts w:hAnsi="Times New Roman" w:cs="Times New Roman"/>
          <w:sz w:val="22"/>
          <w:szCs w:val="22"/>
        </w:rPr>
        <w:t>de la zone contigu</w:t>
      </w:r>
      <w:proofErr w:type="gramEnd"/>
    </w:p>
    <w:p w14:paraId="1F91203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8CA9B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pratique des États a donné raison à </w:t>
      </w:r>
      <w:proofErr w:type="spellStart"/>
      <w:r w:rsidRPr="00F25463">
        <w:rPr>
          <w:rFonts w:hAnsi="Times New Roman" w:cs="Times New Roman"/>
          <w:sz w:val="22"/>
          <w:szCs w:val="22"/>
        </w:rPr>
        <w:t>Brownlie</w:t>
      </w:r>
      <w:proofErr w:type="spellEnd"/>
      <w:r w:rsidRPr="00F25463">
        <w:rPr>
          <w:rFonts w:hAnsi="Times New Roman" w:cs="Times New Roman"/>
          <w:sz w:val="22"/>
          <w:szCs w:val="22"/>
        </w:rPr>
        <w:t xml:space="preserve"> : s’applique aussi dans la zone </w:t>
      </w:r>
      <w:proofErr w:type="spellStart"/>
      <w:r w:rsidRPr="00F25463">
        <w:rPr>
          <w:rFonts w:hAnsi="Times New Roman" w:cs="Times New Roman"/>
          <w:sz w:val="22"/>
          <w:szCs w:val="22"/>
        </w:rPr>
        <w:t>contigue</w:t>
      </w:r>
      <w:proofErr w:type="spellEnd"/>
      <w:r w:rsidRPr="00F25463">
        <w:rPr>
          <w:rFonts w:hAnsi="Times New Roman" w:cs="Times New Roman"/>
          <w:sz w:val="22"/>
          <w:szCs w:val="22"/>
        </w:rPr>
        <w:t xml:space="preserve"> : donc peut arrêter dans cette </w:t>
      </w:r>
      <w:proofErr w:type="gramStart"/>
      <w:r w:rsidRPr="00F25463">
        <w:rPr>
          <w:rFonts w:hAnsi="Times New Roman" w:cs="Times New Roman"/>
          <w:sz w:val="22"/>
          <w:szCs w:val="22"/>
        </w:rPr>
        <w:t>zone .</w:t>
      </w:r>
      <w:proofErr w:type="gramEnd"/>
      <w:r w:rsidRPr="00F25463">
        <w:rPr>
          <w:rFonts w:hAnsi="Times New Roman" w:cs="Times New Roman"/>
          <w:sz w:val="22"/>
          <w:szCs w:val="22"/>
        </w:rPr>
        <w:t xml:space="preserve"> Un navire qui viole ces lois dans la zone contiguë va pouvoir être arrêter et jugé.</w:t>
      </w:r>
    </w:p>
    <w:p w14:paraId="3857372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Coutume qui est venu </w:t>
      </w:r>
      <w:proofErr w:type="spellStart"/>
      <w:r w:rsidRPr="00F25463">
        <w:rPr>
          <w:rFonts w:hAnsi="Times New Roman" w:cs="Times New Roman"/>
          <w:sz w:val="22"/>
          <w:szCs w:val="22"/>
        </w:rPr>
        <w:t>amander</w:t>
      </w:r>
      <w:proofErr w:type="spellEnd"/>
      <w:r w:rsidRPr="00F25463">
        <w:rPr>
          <w:rFonts w:hAnsi="Times New Roman" w:cs="Times New Roman"/>
          <w:sz w:val="22"/>
          <w:szCs w:val="22"/>
        </w:rPr>
        <w:t xml:space="preserve"> l’art 33 1 a. </w:t>
      </w:r>
    </w:p>
    <w:p w14:paraId="04ECC2E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9FE77B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 partir de la zone contigu peut avoir poursuite si violation des règles. La poursuite peut se continuer jusqu’à ce que le navire arrive dans une mer territoriale d’un autre État</w:t>
      </w:r>
    </w:p>
    <w:p w14:paraId="024409E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73D2CB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ZEE : donne pouvoir économique : pouvoir sur la pêche, ressource naturel</w:t>
      </w:r>
    </w:p>
    <w:p w14:paraId="50E8AEF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ZC : vise à protéger l’État riverain</w:t>
      </w:r>
    </w:p>
    <w:p w14:paraId="098C0AD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îles ont droit à une zone contiguë en autant qu’elle soit capable de vie humaine</w:t>
      </w:r>
    </w:p>
    <w:p w14:paraId="5C88A69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L’État doit se proclamer une zone contiguë. CETTE ZONE N’EST PAS DE PLEIN DROIT.</w:t>
      </w:r>
    </w:p>
    <w:p w14:paraId="016C739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89BDF5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Coexistence de la zone économique exclusive et de la zone contiguë (ne fait pas double emploi)</w:t>
      </w:r>
    </w:p>
    <w:p w14:paraId="4ED40B3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7BFE10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On peut se demander comment le concept de la ZEE et celui ZC peuvent coexister parallèlement.</w:t>
      </w:r>
    </w:p>
    <w:p w14:paraId="57298AE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FC2E8A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-Leur coexistence est due au fait que ces 2 concepts ont une finalité différente :</w:t>
      </w:r>
    </w:p>
    <w:p w14:paraId="236450F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ZEE vise l’économie</w:t>
      </w:r>
    </w:p>
    <w:p w14:paraId="5A830F2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ZC vise la protection (sécurité) de l’État.</w:t>
      </w:r>
    </w:p>
    <w:p w14:paraId="70E891C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52D2D8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Les 2 zones ont un rôle à jouer pour l’état</w:t>
      </w:r>
    </w:p>
    <w:p w14:paraId="51384A5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7789C61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Zone économique exclusive : (p.109)</w:t>
      </w:r>
    </w:p>
    <w:p w14:paraId="7B809D2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01970F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 concept est développer sous la convention de 1982 sous la pression des pays en voie de développement et aider par le Canada (</w:t>
      </w:r>
      <w:proofErr w:type="spellStart"/>
      <w:r w:rsidRPr="00F25463">
        <w:rPr>
          <w:rFonts w:hAnsi="Times New Roman" w:cs="Times New Roman"/>
          <w:sz w:val="22"/>
          <w:szCs w:val="22"/>
        </w:rPr>
        <w:t>pcq</w:t>
      </w:r>
      <w:proofErr w:type="spellEnd"/>
      <w:r w:rsidRPr="00F25463">
        <w:rPr>
          <w:rFonts w:hAnsi="Times New Roman" w:cs="Times New Roman"/>
          <w:sz w:val="22"/>
          <w:szCs w:val="22"/>
        </w:rPr>
        <w:t xml:space="preserve"> intérêt similaire) </w:t>
      </w:r>
    </w:p>
    <w:p w14:paraId="3B100D3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Ce concept est devenu très vite droit coutumier. C’est devenu du droit coutumier même avant que la convention de 1982 entre en vigueur. Les articles 55 et suivant de C. 1982, la CIJ a dit que ces art. étaient devenus du droit coutumier.</w:t>
      </w:r>
    </w:p>
    <w:p w14:paraId="71D90F5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F2E543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Dans l’affaire du golf du Maine : limite de USA et Canada (tout les disposition de 1982 sont devenu coutumier)</w:t>
      </w:r>
    </w:p>
    <w:p w14:paraId="1F60E90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Zone sur 200 miles à partir des lignes de base. </w:t>
      </w:r>
    </w:p>
    <w:p w14:paraId="63D90D8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-Tout État peut se déclarer une ZEE, peut avoir un maximum de 200 miles, peut déclarer une seule zone de pêche donc le reste des libertés est  libre à tout le monde. Il peut se déclarer une zone de pêche </w:t>
      </w:r>
      <w:proofErr w:type="spellStart"/>
      <w:r w:rsidRPr="00F25463">
        <w:rPr>
          <w:rFonts w:hAnsi="Times New Roman" w:cs="Times New Roman"/>
          <w:sz w:val="22"/>
          <w:szCs w:val="22"/>
        </w:rPr>
        <w:t>seulemenet</w:t>
      </w:r>
      <w:proofErr w:type="spellEnd"/>
      <w:r w:rsidRPr="00F25463">
        <w:rPr>
          <w:rFonts w:hAnsi="Times New Roman" w:cs="Times New Roman"/>
          <w:sz w:val="22"/>
          <w:szCs w:val="22"/>
        </w:rPr>
        <w:t>. Il peut aussi s’en établir une ZEE inférieure à 200 miles. (</w:t>
      </w:r>
      <w:proofErr w:type="gramStart"/>
      <w:r w:rsidRPr="00F25463">
        <w:rPr>
          <w:rFonts w:hAnsi="Times New Roman" w:cs="Times New Roman"/>
          <w:sz w:val="22"/>
          <w:szCs w:val="22"/>
        </w:rPr>
        <w:t>pk</w:t>
      </w:r>
      <w:proofErr w:type="gramEnd"/>
      <w:r w:rsidRPr="00F25463">
        <w:rPr>
          <w:rFonts w:hAnsi="Times New Roman" w:cs="Times New Roman"/>
          <w:sz w:val="22"/>
          <w:szCs w:val="22"/>
        </w:rPr>
        <w:t> ? c’est que la ZEE donne des obligations à l’État—l’État doit s’assurer d’une bonne gestion dans leur ZEE et des États n’ont pas la capacité économique et technologique pour exécuter cette obligation).</w:t>
      </w:r>
    </w:p>
    <w:p w14:paraId="18E8FFA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DA3D2E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Îles aussi peuvent avoir ;</w:t>
      </w:r>
    </w:p>
    <w:p w14:paraId="50DEB4B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            -Pas les îles incapables de vie humaine ou économique.</w:t>
      </w:r>
    </w:p>
    <w:p w14:paraId="0AC7D7A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FA8EF3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ZEE différente de la mer territoriale (MT) :</w:t>
      </w:r>
    </w:p>
    <w:p w14:paraId="7EEE111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w:t>
      </w:r>
      <w:proofErr w:type="spellStart"/>
      <w:r w:rsidRPr="00F25463">
        <w:rPr>
          <w:rFonts w:hAnsi="Times New Roman" w:cs="Times New Roman"/>
          <w:sz w:val="22"/>
          <w:szCs w:val="22"/>
        </w:rPr>
        <w:t>Parceque</w:t>
      </w:r>
      <w:proofErr w:type="spellEnd"/>
      <w:r w:rsidRPr="00F25463">
        <w:rPr>
          <w:rFonts w:hAnsi="Times New Roman" w:cs="Times New Roman"/>
          <w:sz w:val="22"/>
          <w:szCs w:val="22"/>
        </w:rPr>
        <w:t xml:space="preserve"> dans la ZEE il y a liberté de navigation maritime et aérienne et poser des pipelines et câbles sous-marin et pas dans la MT.</w:t>
      </w:r>
    </w:p>
    <w:p w14:paraId="0E1329E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03A53F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ZEE : différent de la haute-mer parce que dans la ZEE les tiers peuvent pas venir pêcher librement et faire des recherches scientifique.</w:t>
      </w:r>
    </w:p>
    <w:p w14:paraId="28B3D93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69FD19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Droits et obligations  de l’État dans la ZEE : (p.106)</w:t>
      </w:r>
    </w:p>
    <w:p w14:paraId="0C386ED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l’État doit se proclamer ZEE.</w:t>
      </w:r>
    </w:p>
    <w:p w14:paraId="6BFFFD0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Art 56 convention 1982</w:t>
      </w:r>
      <w:r w:rsidRPr="00F25463">
        <w:rPr>
          <w:rFonts w:hAnsi="Times New Roman" w:cs="Times New Roman"/>
          <w:sz w:val="22"/>
          <w:szCs w:val="22"/>
        </w:rPr>
        <w:t xml:space="preserve"> : État riverain a des droits souverains à des fins d’exploration, de la conservation, gestion exploitation de l’ensemble des ressources naturelles et biologiques et non biologiques dans le sol et sous-sol et les eaux </w:t>
      </w:r>
      <w:proofErr w:type="spellStart"/>
      <w:r w:rsidRPr="00F25463">
        <w:rPr>
          <w:rFonts w:hAnsi="Times New Roman" w:cs="Times New Roman"/>
          <w:sz w:val="22"/>
          <w:szCs w:val="22"/>
        </w:rPr>
        <w:t>sur-jacentes</w:t>
      </w:r>
      <w:proofErr w:type="spellEnd"/>
      <w:r w:rsidRPr="00F25463">
        <w:rPr>
          <w:rFonts w:hAnsi="Times New Roman" w:cs="Times New Roman"/>
          <w:sz w:val="22"/>
          <w:szCs w:val="22"/>
        </w:rPr>
        <w:t xml:space="preserve">. </w:t>
      </w:r>
    </w:p>
    <w:p w14:paraId="569BAD3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Donc englobe le plateau continental.</w:t>
      </w:r>
    </w:p>
    <w:p w14:paraId="2D52155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Les droits de l’État, une fois l’État  proclamé ZEE, sont exclusifs SAUF en matière de pêche.</w:t>
      </w:r>
    </w:p>
    <w:p w14:paraId="4109811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Dans sa ZEE, si déclarer, les droit son exclusif sauf en matière de droit de pêche ou les tiers conservent certains droits de pêche mais à certaines conditions. </w:t>
      </w:r>
    </w:p>
    <w:p w14:paraId="24A980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Comment déterminer les droits des États tiers en matière de pêche (les conditions à respecter par les tiers) :</w:t>
      </w:r>
    </w:p>
    <w:p w14:paraId="15C3174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Art 61, 62 et 70 : L’État riverain fixe le max. de prises possibles dans sa ZEE (X tonnes de turbo, morue, etc.)</w:t>
      </w:r>
    </w:p>
    <w:p w14:paraId="7861C8B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Ensuite, l’État fixe aussi sa propre capacité d’exploitation (variable Z tonnes). S’il y a une excédent (X-Z= Q), il va inviter les tiers à pêcher l’excédent (Q) après entente mais sans qu’on dépasse les quotas. Les tiers pouvant avoir le privilège pêcher l’excédent peuvent être des pays en développement de la région et /ou des états qui n’ont pas de littoral mais surtout les États qui ont aidé à la découverte des stocks de poisson ou qui avait traditionnellement des droits de pêcher.</w:t>
      </w:r>
    </w:p>
    <w:p w14:paraId="5A5D722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Canada fixe la prise max de poisson (morue) dans </w:t>
      </w:r>
      <w:proofErr w:type="gramStart"/>
      <w:r w:rsidRPr="00F25463">
        <w:rPr>
          <w:rFonts w:hAnsi="Times New Roman" w:cs="Times New Roman"/>
          <w:sz w:val="22"/>
          <w:szCs w:val="22"/>
        </w:rPr>
        <w:t>un soucis</w:t>
      </w:r>
      <w:proofErr w:type="gramEnd"/>
      <w:r w:rsidRPr="00F25463">
        <w:rPr>
          <w:rFonts w:hAnsi="Times New Roman" w:cs="Times New Roman"/>
          <w:sz w:val="22"/>
          <w:szCs w:val="22"/>
        </w:rPr>
        <w:t xml:space="preserve"> de conservation, éviter la </w:t>
      </w:r>
      <w:proofErr w:type="spellStart"/>
      <w:r w:rsidRPr="00F25463">
        <w:rPr>
          <w:rFonts w:hAnsi="Times New Roman" w:cs="Times New Roman"/>
          <w:sz w:val="22"/>
          <w:szCs w:val="22"/>
        </w:rPr>
        <w:t>sur-exploitation</w:t>
      </w:r>
      <w:proofErr w:type="spellEnd"/>
      <w:r w:rsidRPr="00F25463">
        <w:rPr>
          <w:rFonts w:hAnsi="Times New Roman" w:cs="Times New Roman"/>
          <w:sz w:val="22"/>
          <w:szCs w:val="22"/>
        </w:rPr>
        <w:t>. Fixe la prise max total, ensuite fixe sa propre capacité à lui.</w:t>
      </w:r>
    </w:p>
    <w:p w14:paraId="4DF187E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5F7902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100 miles tonne de morue de prise max. et propre prise est 50 miles tonnes.  Il reste 50 miles excédents, cet </w:t>
      </w:r>
      <w:proofErr w:type="spellStart"/>
      <w:r w:rsidRPr="00F25463">
        <w:rPr>
          <w:rFonts w:hAnsi="Times New Roman" w:cs="Times New Roman"/>
          <w:sz w:val="22"/>
          <w:szCs w:val="22"/>
        </w:rPr>
        <w:t>exédent</w:t>
      </w:r>
      <w:proofErr w:type="spellEnd"/>
      <w:r w:rsidRPr="00F25463">
        <w:rPr>
          <w:rFonts w:hAnsi="Times New Roman" w:cs="Times New Roman"/>
          <w:sz w:val="22"/>
          <w:szCs w:val="22"/>
        </w:rPr>
        <w:t xml:space="preserve"> que les tiers on accès. Les tiers ont droit à l’excès seulement après avoir prit des ententes avec le Canada. </w:t>
      </w:r>
    </w:p>
    <w:p w14:paraId="4562A70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Quel sont les tiers article cité </w:t>
      </w:r>
      <w:proofErr w:type="spellStart"/>
      <w:r w:rsidRPr="00F25463">
        <w:rPr>
          <w:rFonts w:hAnsi="Times New Roman" w:cs="Times New Roman"/>
          <w:sz w:val="22"/>
          <w:szCs w:val="22"/>
        </w:rPr>
        <w:t>plsu</w:t>
      </w:r>
      <w:proofErr w:type="spellEnd"/>
      <w:r w:rsidRPr="00F25463">
        <w:rPr>
          <w:rFonts w:hAnsi="Times New Roman" w:cs="Times New Roman"/>
          <w:sz w:val="22"/>
          <w:szCs w:val="22"/>
        </w:rPr>
        <w:t xml:space="preserve"> haute le dit : pays en développement, État tiers qui traditionnellement on pêcher dans les eaux en question.  Avant la liberté de pêcher et maintenant </w:t>
      </w:r>
      <w:proofErr w:type="spellStart"/>
      <w:r w:rsidRPr="00F25463">
        <w:rPr>
          <w:rFonts w:hAnsi="Times New Roman" w:cs="Times New Roman"/>
          <w:sz w:val="22"/>
          <w:szCs w:val="22"/>
        </w:rPr>
        <w:t>cotat</w:t>
      </w:r>
      <w:proofErr w:type="spellEnd"/>
      <w:r w:rsidRPr="00F25463">
        <w:rPr>
          <w:rFonts w:hAnsi="Times New Roman" w:cs="Times New Roman"/>
          <w:sz w:val="22"/>
          <w:szCs w:val="22"/>
        </w:rPr>
        <w:t xml:space="preserve">, si </w:t>
      </w:r>
      <w:proofErr w:type="spellStart"/>
      <w:r w:rsidRPr="00F25463">
        <w:rPr>
          <w:rFonts w:hAnsi="Times New Roman" w:cs="Times New Roman"/>
          <w:sz w:val="22"/>
          <w:szCs w:val="22"/>
        </w:rPr>
        <w:t>pechait</w:t>
      </w:r>
      <w:proofErr w:type="spellEnd"/>
      <w:r w:rsidRPr="00F25463">
        <w:rPr>
          <w:rFonts w:hAnsi="Times New Roman" w:cs="Times New Roman"/>
          <w:sz w:val="22"/>
          <w:szCs w:val="22"/>
        </w:rPr>
        <w:t xml:space="preserve"> avant peut avoir entente avec le Canada.</w:t>
      </w:r>
    </w:p>
    <w:p w14:paraId="74AD7B9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E6C6DA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Les droits des État tiers dans ces excédents dépendent de la bonne volonté de l’État riverain. </w:t>
      </w:r>
    </w:p>
    <w:p w14:paraId="60B8B43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État tiers peut demander conciliation : partage d’excédent.</w:t>
      </w:r>
    </w:p>
    <w:p w14:paraId="28E622B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FCF32B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Donne beaucoup d’autonomie à l’État riverain</w:t>
      </w:r>
    </w:p>
    <w:p w14:paraId="6AD9FEC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80F359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Droit de poursuite à partir de la ZEE contre le navire privé qui violerait les règles de l’état riverain. </w:t>
      </w:r>
    </w:p>
    <w:p w14:paraId="0A88997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574EE8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ZE et MT vont </w:t>
      </w:r>
      <w:proofErr w:type="gramStart"/>
      <w:r w:rsidRPr="00F25463">
        <w:rPr>
          <w:rFonts w:hAnsi="Times New Roman" w:cs="Times New Roman"/>
          <w:sz w:val="22"/>
          <w:szCs w:val="22"/>
        </w:rPr>
        <w:t>coïncidé</w:t>
      </w:r>
      <w:proofErr w:type="gramEnd"/>
      <w:r w:rsidRPr="00F25463">
        <w:rPr>
          <w:rFonts w:hAnsi="Times New Roman" w:cs="Times New Roman"/>
          <w:sz w:val="22"/>
          <w:szCs w:val="22"/>
        </w:rPr>
        <w:t xml:space="preserve"> sur 200 miles</w:t>
      </w:r>
    </w:p>
    <w:p w14:paraId="61EFB1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plus de 200 miles, entre 200 et 350 : plateau continental.</w:t>
      </w:r>
    </w:p>
    <w:p w14:paraId="438C4E4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8A35D3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L’État peut se déclarer une ZEE inférieur à 200 miles ou juste une zone de pêche. </w:t>
      </w:r>
    </w:p>
    <w:p w14:paraId="2E3D0BD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6FCC5F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 110</w:t>
      </w:r>
    </w:p>
    <w:p w14:paraId="5A43AD2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 Canada, dans les dernière lois, depuis 1996, loi sur les océan, a une zone contiguë de 24 miles et zone qui a une finalité (4) qui couvre les 4 domaines (douaniers, sanitaires.. etc.)  </w:t>
      </w:r>
      <w:proofErr w:type="gramStart"/>
      <w:r w:rsidRPr="00F25463">
        <w:rPr>
          <w:rFonts w:hAnsi="Times New Roman" w:cs="Times New Roman"/>
          <w:sz w:val="22"/>
          <w:szCs w:val="22"/>
        </w:rPr>
        <w:t>et</w:t>
      </w:r>
      <w:proofErr w:type="gramEnd"/>
      <w:r w:rsidRPr="00F25463">
        <w:rPr>
          <w:rFonts w:hAnsi="Times New Roman" w:cs="Times New Roman"/>
          <w:sz w:val="22"/>
          <w:szCs w:val="22"/>
        </w:rPr>
        <w:t xml:space="preserve"> qui correspond à </w:t>
      </w:r>
      <w:proofErr w:type="spellStart"/>
      <w:r w:rsidRPr="00F25463">
        <w:rPr>
          <w:rFonts w:hAnsi="Times New Roman" w:cs="Times New Roman"/>
          <w:sz w:val="22"/>
          <w:szCs w:val="22"/>
        </w:rPr>
        <w:t>l.interprétation</w:t>
      </w:r>
      <w:proofErr w:type="spellEnd"/>
      <w:r w:rsidRPr="00F25463">
        <w:rPr>
          <w:rFonts w:hAnsi="Times New Roman" w:cs="Times New Roman"/>
          <w:sz w:val="22"/>
          <w:szCs w:val="22"/>
        </w:rPr>
        <w:t xml:space="preserve"> de </w:t>
      </w:r>
      <w:proofErr w:type="spellStart"/>
      <w:r w:rsidRPr="00F25463">
        <w:rPr>
          <w:rFonts w:hAnsi="Times New Roman" w:cs="Times New Roman"/>
          <w:sz w:val="22"/>
          <w:szCs w:val="22"/>
        </w:rPr>
        <w:t>Brownlie</w:t>
      </w:r>
      <w:proofErr w:type="spellEnd"/>
      <w:r w:rsidRPr="00F25463">
        <w:rPr>
          <w:rFonts w:hAnsi="Times New Roman" w:cs="Times New Roman"/>
          <w:sz w:val="22"/>
          <w:szCs w:val="22"/>
        </w:rPr>
        <w:t xml:space="preserve"> et respecter parfaitement la convention de 1982.</w:t>
      </w:r>
    </w:p>
    <w:p w14:paraId="7155DCD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A décider de transformer sa zone de pêche en ZEE de 200 miles. </w:t>
      </w:r>
    </w:p>
    <w:p w14:paraId="060749F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 : État conclu accord avec le Canada au niveau de cotât :</w:t>
      </w:r>
    </w:p>
    <w:p w14:paraId="60ACE1B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Pologne, Russie, Espagne, cuba, Danemark etc.</w:t>
      </w:r>
    </w:p>
    <w:p w14:paraId="635B2B2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B93479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b/>
          <w:bCs/>
          <w:sz w:val="22"/>
          <w:szCs w:val="22"/>
        </w:rPr>
        <w:t>Problème  des</w:t>
      </w:r>
      <w:proofErr w:type="gramEnd"/>
      <w:r w:rsidRPr="00F25463">
        <w:rPr>
          <w:rFonts w:hAnsi="Times New Roman" w:cs="Times New Roman"/>
          <w:b/>
          <w:bCs/>
          <w:sz w:val="22"/>
          <w:szCs w:val="22"/>
        </w:rPr>
        <w:t xml:space="preserve"> espèce des stock chevauchements</w:t>
      </w:r>
      <w:r w:rsidRPr="00F25463">
        <w:rPr>
          <w:rFonts w:hAnsi="Times New Roman" w:cs="Times New Roman"/>
          <w:sz w:val="22"/>
          <w:szCs w:val="22"/>
        </w:rPr>
        <w:t> :  se promène de frontière en frontière. A la fois à l’intérieur ZEE et de l’autre côté dans la haute-</w:t>
      </w:r>
      <w:proofErr w:type="gramStart"/>
      <w:r w:rsidRPr="00F25463">
        <w:rPr>
          <w:rFonts w:hAnsi="Times New Roman" w:cs="Times New Roman"/>
          <w:sz w:val="22"/>
          <w:szCs w:val="22"/>
        </w:rPr>
        <w:t>mer(</w:t>
      </w:r>
      <w:proofErr w:type="gramEnd"/>
      <w:r w:rsidRPr="00F25463">
        <w:rPr>
          <w:rFonts w:hAnsi="Times New Roman" w:cs="Times New Roman"/>
          <w:sz w:val="22"/>
          <w:szCs w:val="22"/>
        </w:rPr>
        <w:t>4 libertés).</w:t>
      </w:r>
    </w:p>
    <w:p w14:paraId="1C2D5BB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Il y a des bateau qui viennent s’installer proche de la limite et prennent les poissons qui traverse la ligne. </w:t>
      </w:r>
    </w:p>
    <w:p w14:paraId="1323833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46DE71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-Même chose pour les espèce migratrices : saumons, anguilles.</w:t>
      </w:r>
    </w:p>
    <w:p w14:paraId="17473ED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Il y a des organisation qui ont été former pour établir des cotât des </w:t>
      </w:r>
      <w:proofErr w:type="spellStart"/>
      <w:r w:rsidRPr="00F25463">
        <w:rPr>
          <w:rFonts w:hAnsi="Times New Roman" w:cs="Times New Roman"/>
          <w:sz w:val="22"/>
          <w:szCs w:val="22"/>
        </w:rPr>
        <w:t>immigrateurs</w:t>
      </w:r>
      <w:proofErr w:type="spellEnd"/>
      <w:r w:rsidRPr="00F25463">
        <w:rPr>
          <w:rFonts w:hAnsi="Times New Roman" w:cs="Times New Roman"/>
          <w:sz w:val="22"/>
          <w:szCs w:val="22"/>
        </w:rPr>
        <w:t xml:space="preserve"> (espèces)</w:t>
      </w:r>
    </w:p>
    <w:p w14:paraId="23427DA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8DAFDF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 Canada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décider de provoquer une convention international sur les stock chevauchement et les immigrations. Pour limitation de la pêche. La canada a eu la permission d’aller arrêter les navires qui ne respectaient pas les quotas en Haute-Mer. En 1994, il a avait adopté une loi là-dessus. En avril 1995, le Canada a justement arrêté un navire en haute-mer qui pêchait près des frontières canadiennes alors que les quotas étaient épuisés. L’Espagne a poursuivi le Canada en CIJ. Et a dit que le Canada ne pouvait intervenir en Haute-Mer. </w:t>
      </w:r>
    </w:p>
    <w:p w14:paraId="144E544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C034C2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Dans la convention de New York de1995 dit : que les États côtiers et les État pêchant en Haute-Mer, font en sorte de diversifier la pêche. Pour assurer la protection des stocks. Les États s’engageaient à appliquer le principe de précaution (prévention) en s’appuyant sur des données scientifiques. Que les mesures adoptées  en Haute-Mer et en ZEE aient des quotas compatibles. Cette convention englobe les organisations. </w:t>
      </w:r>
      <w:r w:rsidRPr="00F25463">
        <w:rPr>
          <w:rFonts w:hAnsi="Times New Roman" w:cs="Times New Roman"/>
          <w:b/>
          <w:bCs/>
          <w:sz w:val="22"/>
          <w:szCs w:val="22"/>
          <w:u w:val="single"/>
        </w:rPr>
        <w:t xml:space="preserve">Elle permet que les États qui sont membres d’une organisation de pêche d’aller arrêter et inspecter un navire d’un État membre de l’organisation pour vérifier s’il respecte les quotas de pêche. </w:t>
      </w:r>
      <w:r w:rsidRPr="00F25463">
        <w:rPr>
          <w:rFonts w:hAnsi="Times New Roman" w:cs="Times New Roman"/>
          <w:sz w:val="22"/>
          <w:szCs w:val="22"/>
        </w:rPr>
        <w:t>L’accord de New York réserve le droit de pêcher aux membres de l’organisation  (seuls les États membres de l’organisation peuvent pêcher dans la région).</w:t>
      </w:r>
    </w:p>
    <w:p w14:paraId="458D6EC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Ces organisations fixent les stocks de poissons pour les États membres de ces conventions pour qu’il n’y aie pas d’épuisement et que pour que tout le monde respecte les stocks. Elles ont été créées pour protéger. </w:t>
      </w:r>
    </w:p>
    <w:p w14:paraId="5DDE9BE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lang w:val="en-CA"/>
        </w:rPr>
      </w:pPr>
      <w:r w:rsidRPr="00F25463">
        <w:rPr>
          <w:rFonts w:hAnsi="Times New Roman" w:cs="Times New Roman"/>
          <w:sz w:val="22"/>
          <w:szCs w:val="22"/>
          <w:u w:val="single"/>
        </w:rPr>
        <w:t xml:space="preserve">Les stocks gérés sous le principe de précaution, prendre </w:t>
      </w:r>
      <w:proofErr w:type="gramStart"/>
      <w:r w:rsidRPr="00F25463">
        <w:rPr>
          <w:rFonts w:hAnsi="Times New Roman" w:cs="Times New Roman"/>
          <w:sz w:val="22"/>
          <w:szCs w:val="22"/>
          <w:u w:val="single"/>
        </w:rPr>
        <w:t>des décision</w:t>
      </w:r>
      <w:proofErr w:type="gramEnd"/>
      <w:r w:rsidRPr="00F25463">
        <w:rPr>
          <w:rFonts w:hAnsi="Times New Roman" w:cs="Times New Roman"/>
          <w:sz w:val="22"/>
          <w:szCs w:val="22"/>
          <w:u w:val="single"/>
        </w:rPr>
        <w:t xml:space="preserve"> sous des donnée scientifique</w:t>
      </w:r>
      <w:r w:rsidRPr="00F25463">
        <w:rPr>
          <w:rFonts w:hAnsi="Times New Roman" w:cs="Times New Roman"/>
          <w:sz w:val="22"/>
          <w:szCs w:val="22"/>
        </w:rPr>
        <w:t xml:space="preserve">. Pour ne plus retrouver des bateaux qui se poste à </w:t>
      </w:r>
      <w:proofErr w:type="spellStart"/>
      <w:r w:rsidRPr="00F25463">
        <w:rPr>
          <w:rFonts w:hAnsi="Times New Roman" w:cs="Times New Roman"/>
          <w:sz w:val="22"/>
          <w:szCs w:val="22"/>
        </w:rPr>
        <w:t>côter</w:t>
      </w:r>
      <w:proofErr w:type="spellEnd"/>
      <w:r w:rsidRPr="00F25463">
        <w:rPr>
          <w:rFonts w:hAnsi="Times New Roman" w:cs="Times New Roman"/>
          <w:sz w:val="22"/>
          <w:szCs w:val="22"/>
        </w:rPr>
        <w:t xml:space="preserve"> des frontières pour capturer </w:t>
      </w:r>
      <w:proofErr w:type="gramStart"/>
      <w:r w:rsidRPr="00F25463">
        <w:rPr>
          <w:rFonts w:hAnsi="Times New Roman" w:cs="Times New Roman"/>
          <w:sz w:val="22"/>
          <w:szCs w:val="22"/>
        </w:rPr>
        <w:t>les poisson</w:t>
      </w:r>
      <w:proofErr w:type="gramEnd"/>
      <w:r w:rsidRPr="00F25463">
        <w:rPr>
          <w:rFonts w:hAnsi="Times New Roman" w:cs="Times New Roman"/>
          <w:sz w:val="22"/>
          <w:szCs w:val="22"/>
        </w:rPr>
        <w:t xml:space="preserve"> venant de la ZEE des État riverain.  </w:t>
      </w:r>
      <w:r w:rsidRPr="00F25463">
        <w:rPr>
          <w:rFonts w:hAnsi="Times New Roman" w:cs="Times New Roman"/>
          <w:sz w:val="22"/>
          <w:szCs w:val="22"/>
          <w:lang w:val="en-CA"/>
        </w:rPr>
        <w:t>Spain is allowed to intervene, as they will be notified, thus Canada can take action if Spain does nothing.</w:t>
      </w:r>
    </w:p>
    <w:p w14:paraId="400F08A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Tout État côtier partie d’un organisme, en vertu de la convention 1995, peuvent aller arrêter un État parti de la convention si suit pas les quotas de prise en haute-mer. </w:t>
      </w:r>
    </w:p>
    <w:p w14:paraId="1BCC3A4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p.30 : vice de consentement économique pas une bonne raison, seulement militaire. </w:t>
      </w:r>
    </w:p>
    <w:p w14:paraId="04E3709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lang w:val="en-CA"/>
        </w:rPr>
      </w:pPr>
      <w:r w:rsidRPr="00F25463">
        <w:rPr>
          <w:rFonts w:hAnsi="Times New Roman" w:cs="Times New Roman"/>
          <w:sz w:val="22"/>
          <w:szCs w:val="22"/>
        </w:rPr>
        <w:t xml:space="preserve">p.25 : 21 (3) et 21 (1) CVDT en bas de la page, rajoute. </w:t>
      </w:r>
      <w:r w:rsidRPr="00F25463">
        <w:rPr>
          <w:rFonts w:hAnsi="Times New Roman" w:cs="Times New Roman"/>
          <w:sz w:val="22"/>
          <w:szCs w:val="22"/>
          <w:lang w:val="en-CA"/>
        </w:rPr>
        <w:t xml:space="preserve">Objection de la </w:t>
      </w:r>
      <w:proofErr w:type="spellStart"/>
      <w:r w:rsidRPr="00F25463">
        <w:rPr>
          <w:rFonts w:hAnsi="Times New Roman" w:cs="Times New Roman"/>
          <w:sz w:val="22"/>
          <w:szCs w:val="22"/>
          <w:lang w:val="en-CA"/>
        </w:rPr>
        <w:t>réserve</w:t>
      </w:r>
      <w:proofErr w:type="spellEnd"/>
      <w:r w:rsidRPr="00F25463">
        <w:rPr>
          <w:rFonts w:hAnsi="Times New Roman" w:cs="Times New Roman"/>
          <w:sz w:val="22"/>
          <w:szCs w:val="22"/>
          <w:lang w:val="en-CA"/>
        </w:rPr>
        <w:t>.</w:t>
      </w:r>
    </w:p>
    <w:p w14:paraId="2462DAF9"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lang w:val="en-CA"/>
        </w:rPr>
      </w:pPr>
    </w:p>
    <w:p w14:paraId="7F7749E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lang w:val="en-CA"/>
        </w:rPr>
      </w:pPr>
      <w:r w:rsidRPr="00F25463">
        <w:rPr>
          <w:rFonts w:hAnsi="Times New Roman" w:cs="Times New Roman"/>
          <w:sz w:val="22"/>
          <w:szCs w:val="22"/>
          <w:lang w:val="en-CA"/>
        </w:rPr>
        <w:t xml:space="preserve">What happens if a state is not a member? Think of Antarctica, Only a Few members, yet it applies </w:t>
      </w:r>
      <w:proofErr w:type="spellStart"/>
      <w:r w:rsidRPr="00F25463">
        <w:rPr>
          <w:rFonts w:hAnsi="Times New Roman" w:cs="Times New Roman"/>
          <w:sz w:val="22"/>
          <w:szCs w:val="22"/>
          <w:lang w:val="en-CA"/>
        </w:rPr>
        <w:t>erga</w:t>
      </w:r>
      <w:proofErr w:type="spellEnd"/>
      <w:r w:rsidRPr="00F25463">
        <w:rPr>
          <w:rFonts w:hAnsi="Times New Roman" w:cs="Times New Roman"/>
          <w:sz w:val="22"/>
          <w:szCs w:val="22"/>
          <w:lang w:val="en-CA"/>
        </w:rPr>
        <w:t xml:space="preserve"> </w:t>
      </w:r>
      <w:proofErr w:type="spellStart"/>
      <w:r w:rsidRPr="00F25463">
        <w:rPr>
          <w:rFonts w:hAnsi="Times New Roman" w:cs="Times New Roman"/>
          <w:sz w:val="22"/>
          <w:szCs w:val="22"/>
          <w:lang w:val="en-CA"/>
        </w:rPr>
        <w:t>omnes</w:t>
      </w:r>
      <w:proofErr w:type="spellEnd"/>
      <w:r w:rsidRPr="00F25463">
        <w:rPr>
          <w:rFonts w:hAnsi="Times New Roman" w:cs="Times New Roman"/>
          <w:sz w:val="22"/>
          <w:szCs w:val="22"/>
          <w:lang w:val="en-CA"/>
        </w:rPr>
        <w:t xml:space="preserve">, meaning that only those who are </w:t>
      </w:r>
      <w:proofErr w:type="spellStart"/>
      <w:r w:rsidRPr="00F25463">
        <w:rPr>
          <w:rFonts w:hAnsi="Times New Roman" w:cs="Times New Roman"/>
          <w:sz w:val="22"/>
          <w:szCs w:val="22"/>
          <w:lang w:val="en-CA"/>
        </w:rPr>
        <w:t>membres</w:t>
      </w:r>
      <w:proofErr w:type="spellEnd"/>
      <w:r w:rsidRPr="00F25463">
        <w:rPr>
          <w:rFonts w:hAnsi="Times New Roman" w:cs="Times New Roman"/>
          <w:sz w:val="22"/>
          <w:szCs w:val="22"/>
          <w:lang w:val="en-CA"/>
        </w:rPr>
        <w:t xml:space="preserve"> may fish in these zones.</w:t>
      </w:r>
    </w:p>
    <w:p w14:paraId="1E5C60F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lang w:val="en-CA"/>
        </w:rPr>
      </w:pPr>
    </w:p>
    <w:p w14:paraId="5900C96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Terminer la dimension physique Maintenant, </w:t>
      </w:r>
    </w:p>
    <w:p w14:paraId="0E3B874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CC1893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La compétence territoriale</w:t>
      </w:r>
    </w:p>
    <w:p w14:paraId="47BA7F7D"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8B9BD3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Dimension humaine de la compétence territoriale :</w:t>
      </w:r>
    </w:p>
    <w:p w14:paraId="689BF86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L’État qui exerce sur son </w:t>
      </w:r>
      <w:proofErr w:type="spellStart"/>
      <w:r w:rsidRPr="00F25463">
        <w:rPr>
          <w:rFonts w:hAnsi="Times New Roman" w:cs="Times New Roman"/>
          <w:sz w:val="22"/>
          <w:szCs w:val="22"/>
        </w:rPr>
        <w:t>terr</w:t>
      </w:r>
      <w:proofErr w:type="spellEnd"/>
      <w:r w:rsidRPr="00F25463">
        <w:rPr>
          <w:rFonts w:hAnsi="Times New Roman" w:cs="Times New Roman"/>
          <w:sz w:val="22"/>
          <w:szCs w:val="22"/>
        </w:rPr>
        <w:t xml:space="preserve">. Des pouvoir souverain sur la population, et sur la propriété des individus (immigrant et </w:t>
      </w:r>
      <w:proofErr w:type="gramStart"/>
      <w:r w:rsidRPr="00F25463">
        <w:rPr>
          <w:rFonts w:hAnsi="Times New Roman" w:cs="Times New Roman"/>
          <w:sz w:val="22"/>
          <w:szCs w:val="22"/>
        </w:rPr>
        <w:t>personne restant</w:t>
      </w:r>
      <w:proofErr w:type="gramEnd"/>
      <w:r w:rsidRPr="00F25463">
        <w:rPr>
          <w:rFonts w:hAnsi="Times New Roman" w:cs="Times New Roman"/>
          <w:sz w:val="22"/>
          <w:szCs w:val="22"/>
        </w:rPr>
        <w:t>)</w:t>
      </w:r>
    </w:p>
    <w:p w14:paraId="4294C3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Compétence sur ses citoyens et des étrangers se trouvant sur son territoire ainsi que sur leur propriété</w:t>
      </w:r>
    </w:p>
    <w:p w14:paraId="602C823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Compétence absolue très grande sur ses citoyens sauf pour le respect des droits de la personne.</w:t>
      </w:r>
    </w:p>
    <w:p w14:paraId="268D014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A77C81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Quel sont </w:t>
      </w:r>
      <w:proofErr w:type="gramStart"/>
      <w:r w:rsidRPr="00F25463">
        <w:rPr>
          <w:rFonts w:hAnsi="Times New Roman" w:cs="Times New Roman"/>
          <w:sz w:val="22"/>
          <w:szCs w:val="22"/>
        </w:rPr>
        <w:t>les compétence</w:t>
      </w:r>
      <w:proofErr w:type="gramEnd"/>
      <w:r w:rsidRPr="00F25463">
        <w:rPr>
          <w:rFonts w:hAnsi="Times New Roman" w:cs="Times New Roman"/>
          <w:sz w:val="22"/>
          <w:szCs w:val="22"/>
        </w:rPr>
        <w:t xml:space="preserve"> sur les Étrangers ?</w:t>
      </w:r>
    </w:p>
    <w:p w14:paraId="304390B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Suivre droit de la personne</w:t>
      </w:r>
    </w:p>
    <w:p w14:paraId="2B129F9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Sauf convention contraire, en vertu du droit coutumier,  un État peu à sa discrétion refuser ou conditionner l’entrée et le séjour des étrangers sur son territoire. (réfugié et apatride) </w:t>
      </w:r>
    </w:p>
    <w:p w14:paraId="0480E35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Peu reconduire à la frontière un étranger qui se trouve sur le </w:t>
      </w:r>
      <w:proofErr w:type="spellStart"/>
      <w:r w:rsidRPr="00F25463">
        <w:rPr>
          <w:rFonts w:hAnsi="Times New Roman" w:cs="Times New Roman"/>
          <w:sz w:val="22"/>
          <w:szCs w:val="22"/>
        </w:rPr>
        <w:t>terr</w:t>
      </w:r>
      <w:proofErr w:type="spellEnd"/>
      <w:r w:rsidRPr="00F25463">
        <w:rPr>
          <w:rFonts w:hAnsi="Times New Roman" w:cs="Times New Roman"/>
          <w:sz w:val="22"/>
          <w:szCs w:val="22"/>
        </w:rPr>
        <w:t xml:space="preserve">. Sans permit. </w:t>
      </w:r>
    </w:p>
    <w:p w14:paraId="5F9E034D"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lastRenderedPageBreak/>
        <w:t>Etranger légalement admis sur le territoire de l’État, le droit coutumier limite la discrétion de l’État de l’expulser et ce à 2 niveaux (2 façons) :</w:t>
      </w:r>
    </w:p>
    <w:p w14:paraId="4BF18F7E"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i/>
          <w:iCs/>
          <w:sz w:val="22"/>
          <w:szCs w:val="22"/>
        </w:rPr>
        <w:t>condition d’expulsion</w:t>
      </w:r>
      <w:r w:rsidRPr="00F25463">
        <w:rPr>
          <w:rFonts w:hAnsi="Times New Roman" w:cs="Times New Roman"/>
          <w:sz w:val="22"/>
          <w:szCs w:val="22"/>
        </w:rPr>
        <w:t xml:space="preserve"> (ne peut pas faire d’expulsion arbitraire.. comme par ex. admis sous de fausses déclarations, si l’étranger présente une menace pour la sécurité du pays)</w:t>
      </w:r>
    </w:p>
    <w:p w14:paraId="0D1AAB8B" w14:textId="77777777" w:rsidR="00EC0180" w:rsidRPr="00F25463" w:rsidRDefault="004270F6" w:rsidP="004270F6">
      <w:pPr>
        <w:pStyle w:val="BodyText"/>
        <w:numPr>
          <w:ilvl w:val="1"/>
          <w:numId w:val="30"/>
        </w:numPr>
        <w:tabs>
          <w:tab w:val="clear" w:pos="360"/>
          <w:tab w:val="clear" w:pos="1758"/>
          <w:tab w:val="num" w:pos="1788"/>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788" w:hanging="360"/>
        <w:rPr>
          <w:rFonts w:hAnsi="Times New Roman" w:cs="Times New Roman"/>
          <w:sz w:val="22"/>
          <w:szCs w:val="22"/>
        </w:rPr>
      </w:pPr>
      <w:r w:rsidRPr="00F25463">
        <w:rPr>
          <w:rFonts w:hAnsi="Times New Roman" w:cs="Times New Roman"/>
          <w:i/>
          <w:iCs/>
          <w:sz w:val="22"/>
          <w:szCs w:val="22"/>
        </w:rPr>
        <w:t>modalités d’expulsion</w:t>
      </w:r>
      <w:r w:rsidRPr="00F25463">
        <w:rPr>
          <w:rFonts w:hAnsi="Times New Roman" w:cs="Times New Roman"/>
          <w:sz w:val="22"/>
          <w:szCs w:val="22"/>
        </w:rPr>
        <w:t xml:space="preserve"> (même si l’État est justifié d’expulser un </w:t>
      </w:r>
      <w:proofErr w:type="spellStart"/>
      <w:r w:rsidRPr="00F25463">
        <w:rPr>
          <w:rFonts w:hAnsi="Times New Roman" w:cs="Times New Roman"/>
          <w:sz w:val="22"/>
          <w:szCs w:val="22"/>
        </w:rPr>
        <w:t>indiv</w:t>
      </w:r>
      <w:proofErr w:type="spellEnd"/>
      <w:r w:rsidRPr="00F25463">
        <w:rPr>
          <w:rFonts w:hAnsi="Times New Roman" w:cs="Times New Roman"/>
          <w:sz w:val="22"/>
          <w:szCs w:val="22"/>
        </w:rPr>
        <w:t xml:space="preserve">. L’État ne peut faire une expulsion brutale et rapide—doit donner la possibilité à l’étranger de protéger ses biens, de choisir son pays d’expulsion (sa destination) et ne peut non plus utiliser une force trop grande et brutale… voir </w:t>
      </w:r>
      <w:proofErr w:type="spellStart"/>
      <w:r w:rsidRPr="00F25463">
        <w:rPr>
          <w:rFonts w:hAnsi="Times New Roman" w:cs="Times New Roman"/>
          <w:sz w:val="22"/>
          <w:szCs w:val="22"/>
        </w:rPr>
        <w:t>ci-bas</w:t>
      </w:r>
      <w:proofErr w:type="spellEnd"/>
    </w:p>
    <w:p w14:paraId="5333B40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18D99A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on veut expulser un individu :</w:t>
      </w:r>
    </w:p>
    <w:p w14:paraId="304B745B" w14:textId="77777777" w:rsidR="00EC0180" w:rsidRPr="00F25463" w:rsidRDefault="004270F6" w:rsidP="004270F6">
      <w:pPr>
        <w:pStyle w:val="BodyText"/>
        <w:numPr>
          <w:ilvl w:val="0"/>
          <w:numId w:val="146"/>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motif justifiable et non arbitraire. </w:t>
      </w:r>
    </w:p>
    <w:p w14:paraId="59BB89B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t xml:space="preserve">Ex : admit avec fausse déclaration à l’État. Commit des actes criminels,   </w:t>
      </w:r>
    </w:p>
    <w:p w14:paraId="0AA03CB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dangereux</w:t>
      </w:r>
      <w:proofErr w:type="gramEnd"/>
      <w:r w:rsidRPr="00F25463">
        <w:rPr>
          <w:rFonts w:hAnsi="Times New Roman" w:cs="Times New Roman"/>
          <w:sz w:val="22"/>
          <w:szCs w:val="22"/>
        </w:rPr>
        <w:t xml:space="preserve"> pour le peuple.</w:t>
      </w:r>
    </w:p>
    <w:p w14:paraId="40451B6E" w14:textId="77777777" w:rsidR="00EC0180" w:rsidRPr="00F25463" w:rsidRDefault="004270F6" w:rsidP="004270F6">
      <w:pPr>
        <w:pStyle w:val="BodyText"/>
        <w:numPr>
          <w:ilvl w:val="0"/>
          <w:numId w:val="146"/>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une fois un motif justiciable doit le déporter de façon, non brutale, vexatoire, doit employer une force nécessaire, lui donner le droit de protéger sa propriété (raisonnable) puis lui laisser le choix de sa destination.</w:t>
      </w:r>
    </w:p>
    <w:p w14:paraId="363A2F9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1408B8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Si l’État ne respecte pas ces règles et ne suit pas ces conditions de droit coutumier, l’État national peut aller l’aider.  Mais c’est théorique, l’État national ne voudra peut-être pas aider.</w:t>
      </w:r>
    </w:p>
    <w:p w14:paraId="54355B1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DF438E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Sauf convention contraire  que l’État à le pouvoir de refouler, d’admettre les étrangers :</w:t>
      </w:r>
    </w:p>
    <w:p w14:paraId="3D36DA1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C589F3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Convention qui limite : (p.112)</w:t>
      </w:r>
    </w:p>
    <w:p w14:paraId="6EE096B5" w14:textId="77777777" w:rsidR="00EC0180" w:rsidRPr="00F25463" w:rsidRDefault="004270F6" w:rsidP="004270F6">
      <w:pPr>
        <w:pStyle w:val="BodyText"/>
        <w:numPr>
          <w:ilvl w:val="0"/>
          <w:numId w:val="14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convention sur les apatrides : qui dit qu’un État qui prend un apatride doit lui donner un titre de voyage</w:t>
      </w:r>
    </w:p>
    <w:p w14:paraId="390291AB" w14:textId="77777777" w:rsidR="00EC0180" w:rsidRPr="00F25463" w:rsidRDefault="004270F6" w:rsidP="004270F6">
      <w:pPr>
        <w:pStyle w:val="BodyText"/>
        <w:numPr>
          <w:ilvl w:val="0"/>
          <w:numId w:val="14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convention sur les réfugiés : il est interdit pour un État d’expulser ou de refouler un réfugié sur les frontières d’un territoire où sa vie ou sa liberté serait menacé. (droit coutumier) </w:t>
      </w:r>
    </w:p>
    <w:p w14:paraId="329B26F6" w14:textId="77777777" w:rsidR="00EC0180" w:rsidRPr="00F25463" w:rsidRDefault="004270F6" w:rsidP="004270F6">
      <w:pPr>
        <w:pStyle w:val="BodyText"/>
        <w:numPr>
          <w:ilvl w:val="0"/>
          <w:numId w:val="14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liberté de circulation.</w:t>
      </w:r>
    </w:p>
    <w:p w14:paraId="05327D0B" w14:textId="77777777" w:rsidR="00EC0180" w:rsidRPr="00F25463" w:rsidRDefault="004270F6" w:rsidP="004270F6">
      <w:pPr>
        <w:pStyle w:val="BodyText"/>
        <w:numPr>
          <w:ilvl w:val="0"/>
          <w:numId w:val="147"/>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Au Canada, conditions d’admission des immigrants, etc. est compris dans la Loi sur l’Immigration  (les conditions d’admissions sur les apatrides ne sont pas les mêmes que pour les étrangers).</w:t>
      </w:r>
    </w:p>
    <w:p w14:paraId="7CF3C20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E672E6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Concept d’extradition :</w:t>
      </w:r>
    </w:p>
    <w:p w14:paraId="476C178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Acte par lequel un État A livre une personne qui se trouve sur son territoire à un État B qui réclame la personne X. Parce que B accuse X d’avoir commit un </w:t>
      </w:r>
      <w:proofErr w:type="spellStart"/>
      <w:r w:rsidRPr="00F25463">
        <w:rPr>
          <w:rFonts w:hAnsi="Times New Roman" w:cs="Times New Roman"/>
          <w:sz w:val="22"/>
          <w:szCs w:val="22"/>
        </w:rPr>
        <w:t>déli</w:t>
      </w:r>
      <w:proofErr w:type="spellEnd"/>
      <w:r w:rsidRPr="00F25463">
        <w:rPr>
          <w:rFonts w:hAnsi="Times New Roman" w:cs="Times New Roman"/>
          <w:sz w:val="22"/>
          <w:szCs w:val="22"/>
        </w:rPr>
        <w:t xml:space="preserve"> en vertu de ses lois pour le juger ou faire purger la peine qu’Il s’est sauvé de la prison…</w:t>
      </w:r>
    </w:p>
    <w:p w14:paraId="18CFAEC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vertu du droit coutumier, aucun droit d’extrader ou pas un réfugié</w:t>
      </w:r>
    </w:p>
    <w:p w14:paraId="726FB64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ab/>
        <w:t xml:space="preserve">Ex : si X est réclamé par B, et A c’est que B va tuer X sans procès, A ne </w:t>
      </w:r>
    </w:p>
    <w:p w14:paraId="42B0499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doit</w:t>
      </w:r>
      <w:proofErr w:type="gramEnd"/>
      <w:r w:rsidRPr="00F25463">
        <w:rPr>
          <w:rFonts w:hAnsi="Times New Roman" w:cs="Times New Roman"/>
          <w:sz w:val="22"/>
          <w:szCs w:val="22"/>
        </w:rPr>
        <w:t xml:space="preserve"> pas donner X à B.</w:t>
      </w:r>
    </w:p>
    <w:p w14:paraId="0003D52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E146AC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procédure d’extradition varie : qui choisis si </w:t>
      </w:r>
      <w:r w:rsidR="002B618F" w:rsidRPr="00F25463">
        <w:rPr>
          <w:rFonts w:hAnsi="Times New Roman" w:cs="Times New Roman"/>
          <w:sz w:val="22"/>
          <w:szCs w:val="22"/>
        </w:rPr>
        <w:t>extrader</w:t>
      </w:r>
      <w:r w:rsidRPr="00F25463">
        <w:rPr>
          <w:rFonts w:hAnsi="Times New Roman" w:cs="Times New Roman"/>
          <w:sz w:val="22"/>
          <w:szCs w:val="22"/>
        </w:rPr>
        <w:t xml:space="preserve"> X</w:t>
      </w:r>
    </w:p>
    <w:p w14:paraId="6051C7B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certain État c’est l’exécutif</w:t>
      </w:r>
    </w:p>
    <w:p w14:paraId="3C6864B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exécutif et judiciaire pour d’autre</w:t>
      </w:r>
    </w:p>
    <w:p w14:paraId="0BED2B9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4AEB2B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Plein de convention fait entre les États :</w:t>
      </w:r>
    </w:p>
    <w:p w14:paraId="5D0A4B40"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multilatéral</w:t>
      </w:r>
    </w:p>
    <w:p w14:paraId="6EF5C85D"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bilatéral</w:t>
      </w:r>
    </w:p>
    <w:p w14:paraId="66148A2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D03CEA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Dans une convention d’extradition peut dire : * </w:t>
      </w:r>
      <w:r w:rsidRPr="00F25463">
        <w:rPr>
          <w:rFonts w:hAnsi="Times New Roman" w:cs="Times New Roman"/>
          <w:b/>
          <w:bCs/>
          <w:sz w:val="22"/>
          <w:szCs w:val="22"/>
        </w:rPr>
        <w:t>droit conventionnel</w:t>
      </w:r>
      <w:r w:rsidRPr="00F25463">
        <w:rPr>
          <w:rFonts w:hAnsi="Times New Roman" w:cs="Times New Roman"/>
          <w:sz w:val="22"/>
          <w:szCs w:val="22"/>
        </w:rPr>
        <w:t xml:space="preserve"> et </w:t>
      </w:r>
      <w:r w:rsidRPr="00F25463">
        <w:rPr>
          <w:rFonts w:hAnsi="Times New Roman" w:cs="Times New Roman"/>
          <w:b/>
          <w:bCs/>
          <w:sz w:val="22"/>
          <w:szCs w:val="22"/>
        </w:rPr>
        <w:t xml:space="preserve">non </w:t>
      </w:r>
      <w:r w:rsidRPr="00F25463">
        <w:rPr>
          <w:rFonts w:hAnsi="Times New Roman" w:cs="Times New Roman"/>
          <w:sz w:val="22"/>
          <w:szCs w:val="22"/>
        </w:rPr>
        <w:t>coutumier</w:t>
      </w:r>
    </w:p>
    <w:p w14:paraId="561BE57C"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va être prévue qu’un crime commis pour les 2 États, est punissable d’une même peine. Dans certains cas spéciaux. (double criminalité)</w:t>
      </w:r>
    </w:p>
    <w:p w14:paraId="073FB9D1"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pas d’extradition pour élus politiques</w:t>
      </w:r>
    </w:p>
    <w:p w14:paraId="32C82C6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l’individu ne peut être jugé que pour un crime </w:t>
      </w:r>
      <w:proofErr w:type="spellStart"/>
      <w:r w:rsidRPr="00F25463">
        <w:rPr>
          <w:rFonts w:hAnsi="Times New Roman" w:cs="Times New Roman"/>
          <w:sz w:val="22"/>
          <w:szCs w:val="22"/>
        </w:rPr>
        <w:t>commisé</w:t>
      </w:r>
      <w:proofErr w:type="spellEnd"/>
    </w:p>
    <w:p w14:paraId="445BCB4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lastRenderedPageBreak/>
        <w:t>principe que l’individu peut seulement être jugé pour le crime commis dans le pays ou l’extradition  est demandée (a demande X à B, c’est le crime commis dans A qui doit seulement être jugé pas autre chose)</w:t>
      </w:r>
    </w:p>
    <w:p w14:paraId="10921932"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France refuse toute extradition d’un français.</w:t>
      </w:r>
    </w:p>
    <w:p w14:paraId="4FDD41B2"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Le Canada, art 3 de la loi sur l’extradition : dit que toute les conventions que notre pays a conclues font automatiquement parti du droit interne. </w:t>
      </w:r>
    </w:p>
    <w:p w14:paraId="762E1BC8"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Partie II de la loi sur l’extradition permet sous déclaration du gouverneur en conseil que la loi s’applique dans les relations sur la demande de certains pays : ex : Allemagne. De plus, cette partie présente une liste de tous les crimes qui permettent l’extradition.</w:t>
      </w:r>
    </w:p>
    <w:p w14:paraId="61ECCADB"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Loi parallèle : si un criminel se retrouve en </w:t>
      </w:r>
      <w:proofErr w:type="spellStart"/>
      <w:r w:rsidRPr="00F25463">
        <w:rPr>
          <w:rFonts w:hAnsi="Times New Roman" w:cs="Times New Roman"/>
          <w:sz w:val="22"/>
          <w:szCs w:val="22"/>
        </w:rPr>
        <w:t>Angletere</w:t>
      </w:r>
      <w:proofErr w:type="spellEnd"/>
      <w:r w:rsidRPr="00F25463">
        <w:rPr>
          <w:rFonts w:hAnsi="Times New Roman" w:cs="Times New Roman"/>
          <w:sz w:val="22"/>
          <w:szCs w:val="22"/>
        </w:rPr>
        <w:t xml:space="preserve"> ou autre, il s’envoie en vertu de ses lois</w:t>
      </w:r>
    </w:p>
    <w:p w14:paraId="542F0F7F"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Au Canada, principe de la charte doivent être appliqués. p.113</w:t>
      </w:r>
    </w:p>
    <w:p w14:paraId="2C72501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3877F4E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Traitement des étrangers qui sont sur le territoire</w:t>
      </w:r>
    </w:p>
    <w:p w14:paraId="6CFAF44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279D74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En vertu du droit coutumier l’État a la discrétion d’établir la condition des étrangers dans leur bien et intérêt (dans sa personne et dans ses biens). Le droit criminel canadien va s’appliquer pour l’Étranger comme pour un canadien. Mais il y a des lois qui font exception.   Mais la Charte a un rôle à jouer et vient parfois exclure le Canada d’enlever des droits à un étranger.</w:t>
      </w:r>
    </w:p>
    <w:p w14:paraId="474595E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3941B7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Les États, en pratique, applique les mêmes </w:t>
      </w:r>
      <w:proofErr w:type="spellStart"/>
      <w:r w:rsidRPr="00F25463">
        <w:rPr>
          <w:rFonts w:hAnsi="Times New Roman" w:cs="Times New Roman"/>
          <w:sz w:val="22"/>
          <w:szCs w:val="22"/>
        </w:rPr>
        <w:t>droist</w:t>
      </w:r>
      <w:proofErr w:type="spellEnd"/>
      <w:r w:rsidRPr="00F25463">
        <w:rPr>
          <w:rFonts w:hAnsi="Times New Roman" w:cs="Times New Roman"/>
          <w:sz w:val="22"/>
          <w:szCs w:val="22"/>
        </w:rPr>
        <w:t xml:space="preserve"> aux étrangers qu’aux citoyens.</w:t>
      </w:r>
    </w:p>
    <w:p w14:paraId="73EEF46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Mais activité refuser si pas citoyens</w:t>
      </w:r>
    </w:p>
    <w:p w14:paraId="31221E0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 Diplomate a immunité diplomatique (si l’étranger est un étranger): peu pas poursuivre dans l’état qu’Il visite. </w:t>
      </w:r>
    </w:p>
    <w:p w14:paraId="04E5F47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paie pas de ticket ici quand vient </w:t>
      </w:r>
      <w:proofErr w:type="spellStart"/>
      <w:r w:rsidRPr="00F25463">
        <w:rPr>
          <w:rFonts w:hAnsi="Times New Roman" w:cs="Times New Roman"/>
          <w:sz w:val="22"/>
          <w:szCs w:val="22"/>
        </w:rPr>
        <w:t>d’afrique</w:t>
      </w:r>
      <w:proofErr w:type="spellEnd"/>
      <w:r w:rsidRPr="00F25463">
        <w:rPr>
          <w:rFonts w:hAnsi="Times New Roman" w:cs="Times New Roman"/>
          <w:sz w:val="22"/>
          <w:szCs w:val="22"/>
        </w:rPr>
        <w:t xml:space="preserve">. </w:t>
      </w:r>
    </w:p>
    <w:p w14:paraId="04DF51F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65946E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Mais maintenant, il y a des controverse </w:t>
      </w:r>
      <w:proofErr w:type="spellStart"/>
      <w:r w:rsidRPr="00F25463">
        <w:rPr>
          <w:rFonts w:hAnsi="Times New Roman" w:cs="Times New Roman"/>
          <w:sz w:val="22"/>
          <w:szCs w:val="22"/>
        </w:rPr>
        <w:t>pcq</w:t>
      </w:r>
      <w:proofErr w:type="spellEnd"/>
      <w:r w:rsidRPr="00F25463">
        <w:rPr>
          <w:rFonts w:hAnsi="Times New Roman" w:cs="Times New Roman"/>
          <w:sz w:val="22"/>
          <w:szCs w:val="22"/>
        </w:rPr>
        <w:t xml:space="preserve"> il y en a qui abusent. *sur la nature de l’</w:t>
      </w:r>
      <w:proofErr w:type="spellStart"/>
      <w:r w:rsidRPr="00F25463">
        <w:rPr>
          <w:rFonts w:hAnsi="Times New Roman" w:cs="Times New Roman"/>
          <w:sz w:val="22"/>
          <w:szCs w:val="22"/>
        </w:rPr>
        <w:t>imdemnités</w:t>
      </w:r>
      <w:proofErr w:type="spellEnd"/>
      <w:r w:rsidRPr="00F25463">
        <w:rPr>
          <w:rFonts w:hAnsi="Times New Roman" w:cs="Times New Roman"/>
          <w:sz w:val="22"/>
          <w:szCs w:val="22"/>
        </w:rPr>
        <w:t xml:space="preserve"> (pays en développement ou pays </w:t>
      </w:r>
      <w:proofErr w:type="gramStart"/>
      <w:r w:rsidRPr="00F25463">
        <w:rPr>
          <w:rFonts w:hAnsi="Times New Roman" w:cs="Times New Roman"/>
          <w:sz w:val="22"/>
          <w:szCs w:val="22"/>
        </w:rPr>
        <w:t>riches..</w:t>
      </w:r>
      <w:proofErr w:type="gramEnd"/>
      <w:r w:rsidRPr="00F25463">
        <w:rPr>
          <w:rFonts w:hAnsi="Times New Roman" w:cs="Times New Roman"/>
          <w:sz w:val="22"/>
          <w:szCs w:val="22"/>
        </w:rPr>
        <w:t xml:space="preserve"> )</w:t>
      </w:r>
    </w:p>
    <w:p w14:paraId="2A02E12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nationalise les biens d’un étrangers : doit indemniser la personne. Suffisamment qui recouvre le dommage. Doit donner le $ et non des actions ou autres.</w:t>
      </w:r>
    </w:p>
    <w:p w14:paraId="4B840342"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27DEB5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53BB60A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Principe important :</w:t>
      </w:r>
    </w:p>
    <w:p w14:paraId="5678730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5E2F8B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Étrangers doivent être traités selon un standard international minimum en vertu du droit coutumier</w:t>
      </w:r>
    </w:p>
    <w:p w14:paraId="4F6C5E6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Même si les nationaux de l’État ne bénéficient pas de ce standard</w:t>
      </w:r>
    </w:p>
    <w:p w14:paraId="0B6E215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ab/>
        <w:t xml:space="preserve">Ex : un étranger au Mexique dans une prison (petit local, pas de toilette,   </w:t>
      </w:r>
    </w:p>
    <w:p w14:paraId="1B018F2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nourriture</w:t>
      </w:r>
      <w:proofErr w:type="gramEnd"/>
      <w:r w:rsidRPr="00F25463">
        <w:rPr>
          <w:rFonts w:hAnsi="Times New Roman" w:cs="Times New Roman"/>
          <w:sz w:val="22"/>
          <w:szCs w:val="22"/>
        </w:rPr>
        <w:t xml:space="preserve"> pourri) l’État national de l’étranger a chialer, le tribunal a </w:t>
      </w:r>
    </w:p>
    <w:p w14:paraId="25DD736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08"/>
        <w:rPr>
          <w:rFonts w:hAnsi="Times New Roman" w:cs="Times New Roman"/>
          <w:sz w:val="22"/>
          <w:szCs w:val="22"/>
        </w:rPr>
      </w:pPr>
      <w:r w:rsidRPr="00F25463">
        <w:rPr>
          <w:rFonts w:hAnsi="Times New Roman" w:cs="Times New Roman"/>
          <w:sz w:val="22"/>
          <w:szCs w:val="22"/>
        </w:rPr>
        <w:t xml:space="preserve">               </w:t>
      </w:r>
      <w:proofErr w:type="gramStart"/>
      <w:r w:rsidRPr="00F25463">
        <w:rPr>
          <w:rFonts w:hAnsi="Times New Roman" w:cs="Times New Roman"/>
          <w:sz w:val="22"/>
          <w:szCs w:val="22"/>
        </w:rPr>
        <w:t>dit</w:t>
      </w:r>
      <w:proofErr w:type="gramEnd"/>
      <w:r w:rsidRPr="00F25463">
        <w:rPr>
          <w:rFonts w:hAnsi="Times New Roman" w:cs="Times New Roman"/>
          <w:sz w:val="22"/>
          <w:szCs w:val="22"/>
        </w:rPr>
        <w:t xml:space="preserve"> non ;</w:t>
      </w:r>
    </w:p>
    <w:p w14:paraId="3BA12503"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3015C1D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 Mexique peut traiter ses citoyens comme il veut mais l’étranger doit être sous un standard minimum (donc mieux traité)</w:t>
      </w:r>
    </w:p>
    <w:p w14:paraId="4DB99E6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L’étranger devrait avoir accès aux tribunaux nationaux pour obtenir réparation pour préjudice subi sur le territoire.</w:t>
      </w:r>
    </w:p>
    <w:p w14:paraId="64FEE50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L’État doit laisser l’Étranger consulter son ambassade *mais ça c’est plus du droit conventionnel que coutumier</w:t>
      </w:r>
    </w:p>
    <w:p w14:paraId="21A62BC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UN État national a l’obligation de prévenir les dommages raisonnablement prévisibles que l’Étranger pourrait subir du fait d’acte de particuliers ou d’agents de l’État.</w:t>
      </w:r>
    </w:p>
    <w:p w14:paraId="7EEADF3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381297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-La victime ne doit pas être déni de justice, peut avoir un interrogatoire, doit avoir un délai raisonnable. </w:t>
      </w:r>
    </w:p>
    <w:p w14:paraId="5D20FCA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58A13A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Élément intéressant :</w:t>
      </w:r>
    </w:p>
    <w:p w14:paraId="2D218860"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A798B0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État national a l’Obligation en vertu du standard de prévenir </w:t>
      </w:r>
      <w:proofErr w:type="gramStart"/>
      <w:r w:rsidRPr="00F25463">
        <w:rPr>
          <w:rFonts w:hAnsi="Times New Roman" w:cs="Times New Roman"/>
          <w:sz w:val="22"/>
          <w:szCs w:val="22"/>
        </w:rPr>
        <w:t>les dommages raisonnablement prévisible</w:t>
      </w:r>
      <w:proofErr w:type="gramEnd"/>
      <w:r w:rsidRPr="00F25463">
        <w:rPr>
          <w:rFonts w:hAnsi="Times New Roman" w:cs="Times New Roman"/>
          <w:sz w:val="22"/>
          <w:szCs w:val="22"/>
        </w:rPr>
        <w:t xml:space="preserve"> que l’étranger pourrait subir du fait d’acte de particulier ou des agents de l’État. </w:t>
      </w:r>
    </w:p>
    <w:p w14:paraId="23D6DE83"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lastRenderedPageBreak/>
        <w:t xml:space="preserve">Ça veut dire : ex : durant la guerre au </w:t>
      </w:r>
      <w:proofErr w:type="spellStart"/>
      <w:r w:rsidRPr="00F25463">
        <w:rPr>
          <w:rFonts w:hAnsi="Times New Roman" w:cs="Times New Roman"/>
          <w:sz w:val="22"/>
          <w:szCs w:val="22"/>
        </w:rPr>
        <w:t>Pakistant</w:t>
      </w:r>
      <w:proofErr w:type="spellEnd"/>
      <w:r w:rsidRPr="00F25463">
        <w:rPr>
          <w:rFonts w:hAnsi="Times New Roman" w:cs="Times New Roman"/>
          <w:sz w:val="22"/>
          <w:szCs w:val="22"/>
        </w:rPr>
        <w:t xml:space="preserve">, il y avait des émeutes, on a montrer au info tout les journalistes étrangers entourer des </w:t>
      </w:r>
      <w:proofErr w:type="spellStart"/>
      <w:r w:rsidRPr="00F25463">
        <w:rPr>
          <w:rFonts w:hAnsi="Times New Roman" w:cs="Times New Roman"/>
          <w:sz w:val="22"/>
          <w:szCs w:val="22"/>
        </w:rPr>
        <w:t>pakistants</w:t>
      </w:r>
      <w:proofErr w:type="spellEnd"/>
      <w:r w:rsidRPr="00F25463">
        <w:rPr>
          <w:rFonts w:hAnsi="Times New Roman" w:cs="Times New Roman"/>
          <w:sz w:val="22"/>
          <w:szCs w:val="22"/>
        </w:rPr>
        <w:t xml:space="preserve"> dans un </w:t>
      </w:r>
      <w:proofErr w:type="spellStart"/>
      <w:r w:rsidRPr="00F25463">
        <w:rPr>
          <w:rFonts w:hAnsi="Times New Roman" w:cs="Times New Roman"/>
          <w:sz w:val="22"/>
          <w:szCs w:val="22"/>
        </w:rPr>
        <w:t>hotel</w:t>
      </w:r>
      <w:proofErr w:type="spellEnd"/>
      <w:r w:rsidRPr="00F25463">
        <w:rPr>
          <w:rFonts w:hAnsi="Times New Roman" w:cs="Times New Roman"/>
          <w:sz w:val="22"/>
          <w:szCs w:val="22"/>
        </w:rPr>
        <w:t xml:space="preserve"> pour les </w:t>
      </w:r>
      <w:proofErr w:type="spellStart"/>
      <w:r w:rsidRPr="00F25463">
        <w:rPr>
          <w:rFonts w:hAnsi="Times New Roman" w:cs="Times New Roman"/>
          <w:sz w:val="22"/>
          <w:szCs w:val="22"/>
        </w:rPr>
        <w:t>protégers</w:t>
      </w:r>
      <w:proofErr w:type="spellEnd"/>
      <w:r w:rsidRPr="00F25463">
        <w:rPr>
          <w:rFonts w:hAnsi="Times New Roman" w:cs="Times New Roman"/>
          <w:sz w:val="22"/>
          <w:szCs w:val="22"/>
        </w:rPr>
        <w:t xml:space="preserve"> des rebelles. Les autorités </w:t>
      </w:r>
      <w:proofErr w:type="spellStart"/>
      <w:r w:rsidRPr="00F25463">
        <w:rPr>
          <w:rFonts w:hAnsi="Times New Roman" w:cs="Times New Roman"/>
          <w:sz w:val="22"/>
          <w:szCs w:val="22"/>
        </w:rPr>
        <w:t>pakistanaire</w:t>
      </w:r>
      <w:proofErr w:type="spellEnd"/>
      <w:r w:rsidRPr="00F25463">
        <w:rPr>
          <w:rFonts w:hAnsi="Times New Roman" w:cs="Times New Roman"/>
          <w:sz w:val="22"/>
          <w:szCs w:val="22"/>
        </w:rPr>
        <w:t xml:space="preserve"> remplissait obligation international de protection d’étrangers. </w:t>
      </w:r>
    </w:p>
    <w:p w14:paraId="05231B2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ED4D57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Compétence personnelle :</w:t>
      </w:r>
    </w:p>
    <w:p w14:paraId="360F436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Compétence que l’État a sur ses citoyens peut importe où ils se trouvent (ce qui justifie cette compétence est le lien de nationalité).</w:t>
      </w:r>
    </w:p>
    <w:p w14:paraId="029A81B8" w14:textId="77777777" w:rsidR="00EC0180" w:rsidRPr="00F25463" w:rsidRDefault="004270F6" w:rsidP="004270F6">
      <w:pPr>
        <w:pStyle w:val="BodyText"/>
        <w:numPr>
          <w:ilvl w:val="1"/>
          <w:numId w:val="148"/>
        </w:numPr>
        <w:tabs>
          <w:tab w:val="clear" w:pos="360"/>
          <w:tab w:val="clear" w:pos="570"/>
          <w:tab w:val="num" w:pos="600"/>
          <w:tab w:val="left" w:pos="1200"/>
          <w:tab w:val="left" w:pos="1788"/>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hanging="360"/>
        <w:rPr>
          <w:rFonts w:hAnsi="Times New Roman" w:cs="Times New Roman"/>
          <w:sz w:val="22"/>
          <w:szCs w:val="22"/>
        </w:rPr>
      </w:pPr>
      <w:r w:rsidRPr="00F25463">
        <w:rPr>
          <w:rFonts w:hAnsi="Times New Roman" w:cs="Times New Roman"/>
          <w:sz w:val="22"/>
          <w:szCs w:val="22"/>
        </w:rPr>
        <w:t xml:space="preserve">Le lien de nationalité </w:t>
      </w:r>
      <w:proofErr w:type="gramStart"/>
      <w:r w:rsidRPr="00F25463">
        <w:rPr>
          <w:rFonts w:hAnsi="Times New Roman" w:cs="Times New Roman"/>
          <w:sz w:val="22"/>
          <w:szCs w:val="22"/>
        </w:rPr>
        <w:t>( lien</w:t>
      </w:r>
      <w:proofErr w:type="gramEnd"/>
      <w:r w:rsidRPr="00F25463">
        <w:rPr>
          <w:rFonts w:hAnsi="Times New Roman" w:cs="Times New Roman"/>
          <w:sz w:val="22"/>
          <w:szCs w:val="22"/>
        </w:rPr>
        <w:t xml:space="preserve"> juridique liant le citoyen-un </w:t>
      </w:r>
      <w:proofErr w:type="spellStart"/>
      <w:r w:rsidRPr="00F25463">
        <w:rPr>
          <w:rFonts w:hAnsi="Times New Roman" w:cs="Times New Roman"/>
          <w:sz w:val="22"/>
          <w:szCs w:val="22"/>
        </w:rPr>
        <w:t>individi</w:t>
      </w:r>
      <w:proofErr w:type="spellEnd"/>
      <w:r w:rsidRPr="00F25463">
        <w:rPr>
          <w:rFonts w:hAnsi="Times New Roman" w:cs="Times New Roman"/>
          <w:sz w:val="22"/>
          <w:szCs w:val="22"/>
        </w:rPr>
        <w:t>- à son État)comme fondement de la compétence personnelle.</w:t>
      </w:r>
    </w:p>
    <w:p w14:paraId="7C6F3081"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0A4BBB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r w:rsidRPr="00F25463">
        <w:rPr>
          <w:rFonts w:hAnsi="Times New Roman" w:cs="Times New Roman"/>
          <w:sz w:val="22"/>
          <w:szCs w:val="22"/>
        </w:rPr>
        <w:t>En vertu du lien de nationalité, un État peut exercer l’ensemble de ses compétences sur ses propres citoyens où qu’ils se trouvent.  Le lien de nationalité est le fondement de la compétence personnelle et donne lieu à la protection diplomatique et consulaire.</w:t>
      </w:r>
    </w:p>
    <w:p w14:paraId="5AC1B61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600"/>
        <w:rPr>
          <w:rFonts w:hAnsi="Times New Roman" w:cs="Times New Roman"/>
          <w:sz w:val="22"/>
          <w:szCs w:val="22"/>
        </w:rPr>
      </w:pPr>
    </w:p>
    <w:p w14:paraId="5473780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CD199E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Un État sur ses citoyen peu importe ou ils se trouvent (sur son territoire ou à l’étranger) C’est le lien de nationalité qui embarque.</w:t>
      </w:r>
    </w:p>
    <w:p w14:paraId="400A5DE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L’objet n’a pas de statut international propre sauf les navires, les avions et les engins spatiaux ont une nationalité. </w:t>
      </w:r>
    </w:p>
    <w:p w14:paraId="68C1543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BC9828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Nationalité des objets</w:t>
      </w:r>
      <w:r w:rsidRPr="00F25463">
        <w:rPr>
          <w:rFonts w:hAnsi="Times New Roman" w:cs="Times New Roman"/>
          <w:sz w:val="22"/>
          <w:szCs w:val="22"/>
        </w:rPr>
        <w:t> : normalement pas de conditions. Mais il y a des objets dont les navires qui on la nationalité de l’État qui la immatriculé. Si 2 nationalités ce sont des navires pirates. (</w:t>
      </w:r>
      <w:proofErr w:type="gramStart"/>
      <w:r w:rsidRPr="00F25463">
        <w:rPr>
          <w:rFonts w:hAnsi="Times New Roman" w:cs="Times New Roman"/>
          <w:sz w:val="22"/>
          <w:szCs w:val="22"/>
        </w:rPr>
        <w:t>art.</w:t>
      </w:r>
      <w:proofErr w:type="gramEnd"/>
      <w:r w:rsidRPr="00F25463">
        <w:rPr>
          <w:rFonts w:hAnsi="Times New Roman" w:cs="Times New Roman"/>
          <w:sz w:val="22"/>
          <w:szCs w:val="22"/>
        </w:rPr>
        <w:t xml:space="preserve"> de la convention de 1982)</w:t>
      </w:r>
    </w:p>
    <w:p w14:paraId="5CA12AC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DF2841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Quand navire en Haute-mer, le seul qui a compétence sur le navire, c’est l’État du pavillon.  (</w:t>
      </w:r>
      <w:proofErr w:type="gramStart"/>
      <w:r w:rsidRPr="00F25463">
        <w:rPr>
          <w:rFonts w:hAnsi="Times New Roman" w:cs="Times New Roman"/>
          <w:sz w:val="22"/>
          <w:szCs w:val="22"/>
        </w:rPr>
        <w:t>pavillon</w:t>
      </w:r>
      <w:proofErr w:type="gramEnd"/>
      <w:r w:rsidRPr="00F25463">
        <w:rPr>
          <w:rFonts w:hAnsi="Times New Roman" w:cs="Times New Roman"/>
          <w:sz w:val="22"/>
          <w:szCs w:val="22"/>
        </w:rPr>
        <w:t xml:space="preserve"> de complaisance : État qui demande la nationalité de l’État et paie et la législation de l’état qui a été payer pour garder le bateau n’est plus sous la juridiction de l’État national. A encore la nationalité mais pas sous sa garde.)</w:t>
      </w:r>
    </w:p>
    <w:p w14:paraId="4BC2F70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18B544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Les avions : aussi État d’immatriculation a compétence, des infractions commit à bord c’est l’État immatriculé.  Pas de pavillon de complaisance </w:t>
      </w:r>
    </w:p>
    <w:p w14:paraId="292D235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3B1FB5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Les engins spatiaux : compétence de la nationalité de lancement. C’est lui qui a compétence sur le personnel à bord de l’engin spatial. C’est l’État qui doit enregistrer l’engin.</w:t>
      </w:r>
    </w:p>
    <w:p w14:paraId="1E0391D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9FFCF0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 xml:space="preserve">Personne physique : </w:t>
      </w:r>
    </w:p>
    <w:p w14:paraId="35B5660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sz w:val="22"/>
          <w:szCs w:val="22"/>
        </w:rPr>
        <w:t xml:space="preserve">Compagnie : la compagnie à la nationalité de l’état ou elle a son siège statutaire et a été </w:t>
      </w:r>
      <w:proofErr w:type="spellStart"/>
      <w:r w:rsidRPr="00F25463">
        <w:rPr>
          <w:rFonts w:hAnsi="Times New Roman" w:cs="Times New Roman"/>
          <w:sz w:val="22"/>
          <w:szCs w:val="22"/>
        </w:rPr>
        <w:t>bati</w:t>
      </w:r>
      <w:proofErr w:type="spellEnd"/>
      <w:r w:rsidRPr="00F25463">
        <w:rPr>
          <w:rFonts w:hAnsi="Times New Roman" w:cs="Times New Roman"/>
          <w:sz w:val="22"/>
          <w:szCs w:val="22"/>
        </w:rPr>
        <w:t xml:space="preserve"> sur l’État.-  </w:t>
      </w:r>
      <w:r w:rsidRPr="00F25463">
        <w:rPr>
          <w:rFonts w:hAnsi="Times New Roman" w:cs="Times New Roman"/>
          <w:i/>
          <w:iCs/>
          <w:sz w:val="22"/>
          <w:szCs w:val="22"/>
        </w:rPr>
        <w:t xml:space="preserve">Barcelona traction doc 26 </w:t>
      </w:r>
    </w:p>
    <w:p w14:paraId="0B170BE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La Belgique prend fait et cause pour ces actionnaires belges (qui représentent 88% des actionnaires)</w:t>
      </w:r>
    </w:p>
    <w:p w14:paraId="0E2F969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r w:rsidRPr="00F25463">
        <w:rPr>
          <w:rFonts w:hAnsi="Times New Roman" w:cs="Times New Roman"/>
          <w:i/>
          <w:iCs/>
          <w:sz w:val="22"/>
          <w:szCs w:val="22"/>
        </w:rPr>
        <w:t xml:space="preserve">Dans cet arrêt : on se demande si la Belgique a la compétence d’utiliser la protection diplomatique en faveur de ces actionnaires. </w:t>
      </w:r>
      <w:r w:rsidRPr="00F25463">
        <w:rPr>
          <w:rFonts w:hAnsi="Times New Roman" w:cs="Times New Roman"/>
          <w:b/>
          <w:bCs/>
          <w:i/>
          <w:iCs/>
          <w:sz w:val="22"/>
          <w:szCs w:val="22"/>
          <w:u w:val="single"/>
        </w:rPr>
        <w:t>La CIJ a dit que c’était le Canada qui devait être responsable car c’était là où la compagnie avait son siège et qui lui avait accordé sa nationalité</w:t>
      </w:r>
      <w:r w:rsidRPr="00F25463">
        <w:rPr>
          <w:rFonts w:hAnsi="Times New Roman" w:cs="Times New Roman"/>
          <w:i/>
          <w:iCs/>
          <w:sz w:val="22"/>
          <w:szCs w:val="22"/>
        </w:rPr>
        <w:t xml:space="preserve"> (c’est cet État qui avait le contrôle sur cette compagnie). Le droit d’exercer la protection diplomatique qu’à l’État où la compagnie a été créée et où il y avait le siège. Et donc le Canada dans ce cas-</w:t>
      </w:r>
      <w:proofErr w:type="spellStart"/>
      <w:r w:rsidRPr="00F25463">
        <w:rPr>
          <w:rFonts w:hAnsi="Times New Roman" w:cs="Times New Roman"/>
          <w:i/>
          <w:iCs/>
          <w:sz w:val="22"/>
          <w:szCs w:val="22"/>
        </w:rPr>
        <w:t>co.</w:t>
      </w:r>
      <w:proofErr w:type="spellEnd"/>
      <w:r w:rsidRPr="00F25463">
        <w:rPr>
          <w:rFonts w:hAnsi="Times New Roman" w:cs="Times New Roman"/>
          <w:i/>
          <w:iCs/>
          <w:sz w:val="22"/>
          <w:szCs w:val="22"/>
        </w:rPr>
        <w:t xml:space="preserve"> </w:t>
      </w:r>
    </w:p>
    <w:p w14:paraId="52B0451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i/>
          <w:iCs/>
          <w:sz w:val="22"/>
          <w:szCs w:val="22"/>
        </w:rPr>
      </w:pPr>
    </w:p>
    <w:p w14:paraId="4F576C5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Extrait :</w:t>
      </w:r>
    </w:p>
    <w:p w14:paraId="67E3BEB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Lorsqu’il s’agit d’établir un lien entre une société et tel ou tel État aux fins de la protection diplomatique, le droit international se fonde, encore que dans une mesure limitée, sur une analogie avec les règles qui régissent la nationalité des individus.  La règle traditionnelle attribue le droit d’exercer la protection diplomatique d’une société à l’État sous les lois duquel elle s’est constituée et sur le territoire du quel elle a son siège.</w:t>
      </w:r>
    </w:p>
    <w:p w14:paraId="2718310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661E668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Néanmoins, des liens plus étroits ou différents sont parfois considérés comme nécessaires pour qu’un droit de protection existe.  Ainsi, certains États ont pour pratique d’accorder leur protection diplomatique à </w:t>
      </w:r>
      <w:r w:rsidRPr="00F25463">
        <w:rPr>
          <w:rFonts w:hAnsi="Times New Roman" w:cs="Times New Roman"/>
          <w:sz w:val="22"/>
          <w:szCs w:val="22"/>
        </w:rPr>
        <w:lastRenderedPageBreak/>
        <w:t xml:space="preserve">une société </w:t>
      </w:r>
      <w:proofErr w:type="spellStart"/>
      <w:r w:rsidRPr="00F25463">
        <w:rPr>
          <w:rFonts w:hAnsi="Times New Roman" w:cs="Times New Roman"/>
          <w:sz w:val="22"/>
          <w:szCs w:val="22"/>
        </w:rPr>
        <w:t>consituée</w:t>
      </w:r>
      <w:proofErr w:type="spellEnd"/>
      <w:r w:rsidRPr="00F25463">
        <w:rPr>
          <w:rFonts w:hAnsi="Times New Roman" w:cs="Times New Roman"/>
          <w:sz w:val="22"/>
          <w:szCs w:val="22"/>
        </w:rPr>
        <w:t xml:space="preserve"> selon leur loi uniquement lorsque le siège social, la direction ou le centre de contrôle de cette société se trouve sur leur territoire ou lorsque la majorité ou  une partie substantielle des actions appartient à leurs ressortissants.  C’est dans ces cas seulement, a-t-on dit, qu’existe entre la société et l’État en question un lien de rattachement effectif comme celui qui est bien connu dans d’autres domaines du droit international.</w:t>
      </w:r>
    </w:p>
    <w:p w14:paraId="3750730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45ABF66"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Toutefois, sur le plan particulier de la protection diplomatique des personnes morales, aucun lien effectif n’a été accepté de manière générale (dans le droit coutumier) »</w:t>
      </w:r>
    </w:p>
    <w:p w14:paraId="486D6154"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273BB2F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sz w:val="22"/>
          <w:szCs w:val="22"/>
        </w:rPr>
        <w:t xml:space="preserve">Note : </w:t>
      </w:r>
      <w:r w:rsidRPr="00F25463">
        <w:rPr>
          <w:rFonts w:hAnsi="Times New Roman" w:cs="Times New Roman"/>
          <w:b/>
          <w:bCs/>
          <w:sz w:val="22"/>
          <w:szCs w:val="22"/>
        </w:rPr>
        <w:t>C’est donc de droit coutumier que l’État où s’est constitué la personne morale est l’État ayant à exercer la protection diplomatique.</w:t>
      </w:r>
    </w:p>
    <w:p w14:paraId="384DE408"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p>
    <w:p w14:paraId="1F31DE20"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Conséquence de la compétence personnel : protection diplomatique</w:t>
      </w:r>
      <w:r w:rsidRPr="00F25463">
        <w:rPr>
          <w:rFonts w:hAnsi="Times New Roman" w:cs="Times New Roman"/>
          <w:sz w:val="22"/>
          <w:szCs w:val="22"/>
        </w:rPr>
        <w:t> :</w:t>
      </w:r>
    </w:p>
    <w:p w14:paraId="5723359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CCB8BA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Conditions :</w:t>
      </w:r>
    </w:p>
    <w:p w14:paraId="27B9E03C" w14:textId="77777777" w:rsidR="00EC0180" w:rsidRPr="00F25463" w:rsidRDefault="004270F6" w:rsidP="004270F6">
      <w:pPr>
        <w:pStyle w:val="BodyText"/>
        <w:numPr>
          <w:ilvl w:val="0"/>
          <w:numId w:val="14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Citoyens qui bénéficie de l’État A doit avoir la citoyenneté de A </w:t>
      </w:r>
      <w:proofErr w:type="gramStart"/>
      <w:r w:rsidRPr="00F25463">
        <w:rPr>
          <w:rFonts w:hAnsi="Times New Roman" w:cs="Times New Roman"/>
          <w:sz w:val="22"/>
          <w:szCs w:val="22"/>
        </w:rPr>
        <w:t>( un</w:t>
      </w:r>
      <w:proofErr w:type="gramEnd"/>
      <w:r w:rsidRPr="00F25463">
        <w:rPr>
          <w:rFonts w:hAnsi="Times New Roman" w:cs="Times New Roman"/>
          <w:sz w:val="22"/>
          <w:szCs w:val="22"/>
        </w:rPr>
        <w:t xml:space="preserve"> apatride, par exemple, ne peut bénéficier de la protection diplomatique)</w:t>
      </w:r>
      <w:r w:rsidR="0081108E" w:rsidRPr="00F25463">
        <w:rPr>
          <w:rFonts w:hAnsi="Times New Roman" w:cs="Times New Roman"/>
          <w:sz w:val="22"/>
          <w:szCs w:val="22"/>
        </w:rPr>
        <w:t>. Elle doit exister au moment du</w:t>
      </w:r>
      <w:r w:rsidRPr="00F25463">
        <w:rPr>
          <w:rFonts w:hAnsi="Times New Roman" w:cs="Times New Roman"/>
          <w:sz w:val="22"/>
          <w:szCs w:val="22"/>
        </w:rPr>
        <w:t xml:space="preserve"> délit </w:t>
      </w:r>
      <w:proofErr w:type="gramStart"/>
      <w:r w:rsidRPr="00F25463">
        <w:rPr>
          <w:rFonts w:hAnsi="Times New Roman" w:cs="Times New Roman"/>
          <w:sz w:val="22"/>
          <w:szCs w:val="22"/>
        </w:rPr>
        <w:t>( du</w:t>
      </w:r>
      <w:proofErr w:type="gramEnd"/>
      <w:r w:rsidRPr="00F25463">
        <w:rPr>
          <w:rFonts w:hAnsi="Times New Roman" w:cs="Times New Roman"/>
          <w:sz w:val="22"/>
          <w:szCs w:val="22"/>
        </w:rPr>
        <w:t xml:space="preserve"> fait illicite), au moment de l’intro de la réclamation en justice et doit l’être tout au long du procès, jusqu’à la décision final. La protection diplomatique est le fait d’exercer des droits au nom de ses citoyens, c’est de les dé</w:t>
      </w:r>
      <w:r w:rsidR="002B618F" w:rsidRPr="00F25463">
        <w:rPr>
          <w:rFonts w:hAnsi="Times New Roman" w:cs="Times New Roman"/>
          <w:sz w:val="22"/>
          <w:szCs w:val="22"/>
        </w:rPr>
        <w:t>fendre, de les proté</w:t>
      </w:r>
      <w:r w:rsidRPr="00F25463">
        <w:rPr>
          <w:rFonts w:hAnsi="Times New Roman" w:cs="Times New Roman"/>
          <w:sz w:val="22"/>
          <w:szCs w:val="22"/>
        </w:rPr>
        <w:t>ger (pas juste d’aller devant les tribunaux, ça comprend plus que ça. Les tribunaux c’est le cas le plus « extrême », c’est le dernier recours).</w:t>
      </w:r>
    </w:p>
    <w:p w14:paraId="20DC31C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proofErr w:type="gramStart"/>
      <w:r w:rsidRPr="00F25463">
        <w:rPr>
          <w:rFonts w:hAnsi="Times New Roman" w:cs="Times New Roman"/>
          <w:sz w:val="22"/>
          <w:szCs w:val="22"/>
        </w:rPr>
        <w:t>si</w:t>
      </w:r>
      <w:proofErr w:type="gramEnd"/>
      <w:r w:rsidRPr="00F25463">
        <w:rPr>
          <w:rFonts w:hAnsi="Times New Roman" w:cs="Times New Roman"/>
          <w:sz w:val="22"/>
          <w:szCs w:val="22"/>
        </w:rPr>
        <w:t xml:space="preserve"> pendant l’instance, l’État se sépare, c’est imprévisible donc continue</w:t>
      </w:r>
    </w:p>
    <w:p w14:paraId="3A6F03FA"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-Dans les cas de 2 : plus effective</w:t>
      </w:r>
    </w:p>
    <w:p w14:paraId="4FF84F62" w14:textId="77777777" w:rsidR="00EC0180" w:rsidRPr="00F25463" w:rsidRDefault="004270F6" w:rsidP="004270F6">
      <w:pPr>
        <w:pStyle w:val="BodyText"/>
        <w:numPr>
          <w:ilvl w:val="0"/>
          <w:numId w:val="14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Violation du droit international envers l’État : cause dommage à un citoyen cause dommage à l’État national. Barcelona Traction en est un exemple. L’Espagne avait causé des dommages à un citoyen Canadien. Il y a une règle de droit coutumier qui dit qu’un État ne peut causer des dommages à une personne d’un autre État. L’état de cette personne pourra alors exercer la protection diplomatique. Il y a aussi une règle de droit international qui dit qu’un État ne peut pas causer de tort aux actionnaires d’une compagnie d’un autre État.</w:t>
      </w:r>
    </w:p>
    <w:p w14:paraId="040A39F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ab/>
        <w:t xml:space="preserve">Ex : causer des dommages à une compagnie canadienne cause une  </w:t>
      </w:r>
    </w:p>
    <w:p w14:paraId="175EB0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rPr>
          <w:rFonts w:hAnsi="Times New Roman" w:cs="Times New Roman"/>
          <w:sz w:val="22"/>
          <w:szCs w:val="22"/>
        </w:rPr>
      </w:pPr>
      <w:r w:rsidRPr="00F25463">
        <w:rPr>
          <w:rFonts w:hAnsi="Times New Roman" w:cs="Times New Roman"/>
          <w:sz w:val="22"/>
          <w:szCs w:val="22"/>
        </w:rPr>
        <w:t xml:space="preserve">                violation au Canada. La CIJ a dit qu’il y avait un cas que : si le dommage de la compagnie qui avait causé un dommage à la compagnie. Comme dans ce cas, si le Canada avait causé des dommages à Barcelona traction, ben là la Belgique aurait pu exercer la protection diplomatique</w:t>
      </w:r>
    </w:p>
    <w:p w14:paraId="26B8C835" w14:textId="77777777" w:rsidR="00EC0180" w:rsidRPr="00F25463" w:rsidRDefault="004270F6" w:rsidP="004270F6">
      <w:pPr>
        <w:pStyle w:val="BodyText"/>
        <w:numPr>
          <w:ilvl w:val="0"/>
          <w:numId w:val="149"/>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Épuisement des recours interne : individu qui veut la protection diplomatique doit avoir épuiser tous les recours interne devant les tribunaux de l’État où il se trouve </w:t>
      </w:r>
      <w:proofErr w:type="gramStart"/>
      <w:r w:rsidRPr="00F25463">
        <w:rPr>
          <w:rFonts w:hAnsi="Times New Roman" w:cs="Times New Roman"/>
          <w:sz w:val="22"/>
          <w:szCs w:val="22"/>
        </w:rPr>
        <w:t>( moyens</w:t>
      </w:r>
      <w:proofErr w:type="gramEnd"/>
      <w:r w:rsidRPr="00F25463">
        <w:rPr>
          <w:rFonts w:hAnsi="Times New Roman" w:cs="Times New Roman"/>
          <w:sz w:val="22"/>
          <w:szCs w:val="22"/>
        </w:rPr>
        <w:t xml:space="preserve"> judiciaires, ordinaires, extraordinaires, etc.). Il faut vraiment que l’individu montre qu’</w:t>
      </w:r>
      <w:r w:rsidR="0081108E" w:rsidRPr="00F25463">
        <w:rPr>
          <w:rFonts w:hAnsi="Times New Roman" w:cs="Times New Roman"/>
          <w:sz w:val="22"/>
          <w:szCs w:val="22"/>
        </w:rPr>
        <w:t>il ait</w:t>
      </w:r>
      <w:r w:rsidRPr="00F25463">
        <w:rPr>
          <w:rFonts w:hAnsi="Times New Roman" w:cs="Times New Roman"/>
          <w:sz w:val="22"/>
          <w:szCs w:val="22"/>
        </w:rPr>
        <w:t xml:space="preserve"> vraiment voulu gagner devant les tribunaux. L’Étranger qui va ailleurs faire affaire accepte implicitement de suivre le droit de l’état ou il se trouve. Ce n’est que lorsque les recours sont épuisés qu’il peut appeler son État national.  Mais il faut évidemment que la protection diplomatique existe dans l’État pour qu’elle soit exercée. Sauf si sur le territoire où il se trouve sont illusoire les recours parce que contre une personne comme la reine.  Si courant jurisprudentielle fait en sorte que jamais sous la même cause la personne à gagner, bien peut aller tout de suite à mon État national ou si le délai est vraiment trop long. </w:t>
      </w:r>
    </w:p>
    <w:p w14:paraId="19E55B1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0EE55AC7"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Modalités d’exercice de la protection diplomatique</w:t>
      </w:r>
    </w:p>
    <w:p w14:paraId="0FD845B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6F6FA2E"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Discrétionnaire : peu avoir des considérations politiques, avoir des intérêts à ne pas se mettre à dos le pays en question donc le pays national aide pas. Un État en DIP peut décider de ne pas accorder sa protection diplomatique comme par exemple des considérations d’ordre public.</w:t>
      </w:r>
    </w:p>
    <w:p w14:paraId="7BE8B736"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 xml:space="preserve">Droit d’exercer protection est un droit propre à l’État, c’est un droit qui appartient à l’État. </w:t>
      </w:r>
    </w:p>
    <w:p w14:paraId="29C9803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200"/>
        <w:rPr>
          <w:rFonts w:hAnsi="Times New Roman" w:cs="Times New Roman"/>
          <w:sz w:val="22"/>
          <w:szCs w:val="22"/>
        </w:rPr>
      </w:pPr>
      <w:r w:rsidRPr="00F25463">
        <w:rPr>
          <w:rFonts w:hAnsi="Times New Roman" w:cs="Times New Roman"/>
          <w:sz w:val="22"/>
          <w:szCs w:val="22"/>
        </w:rPr>
        <w:t xml:space="preserve">Clause </w:t>
      </w:r>
      <w:proofErr w:type="spellStart"/>
      <w:r w:rsidRPr="00F25463">
        <w:rPr>
          <w:rFonts w:hAnsi="Times New Roman" w:cs="Times New Roman"/>
          <w:sz w:val="22"/>
          <w:szCs w:val="22"/>
        </w:rPr>
        <w:t>calvo</w:t>
      </w:r>
      <w:proofErr w:type="spellEnd"/>
      <w:r w:rsidRPr="00F25463">
        <w:rPr>
          <w:rFonts w:hAnsi="Times New Roman" w:cs="Times New Roman"/>
          <w:sz w:val="22"/>
          <w:szCs w:val="22"/>
        </w:rPr>
        <w:t> : illégale, refuse la protection diplomatique de l’état par un citoyen de son État national. Le droit d’exercer la protection diplomatique appartient à l’État et non à l’individu. Et donc l’individu ne peut renoncer à la protection diplomatique à l’avance où m’importe quand car ce droit ne lui appartient pas.</w:t>
      </w:r>
    </w:p>
    <w:p w14:paraId="3249741C"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6F828B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Pas seulement un acte judiciaire : art 3 CNU peut être utiliser pour protection diplomatique. </w:t>
      </w:r>
    </w:p>
    <w:p w14:paraId="393FE14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Ex : quand le Canada a été détenu et se plaignait de mauvais traitement, finalement quand le Canada </w:t>
      </w:r>
      <w:proofErr w:type="gramStart"/>
      <w:r w:rsidRPr="00F25463">
        <w:rPr>
          <w:rFonts w:hAnsi="Times New Roman" w:cs="Times New Roman"/>
          <w:sz w:val="22"/>
          <w:szCs w:val="22"/>
        </w:rPr>
        <w:t>a</w:t>
      </w:r>
      <w:proofErr w:type="gramEnd"/>
      <w:r w:rsidRPr="00F25463">
        <w:rPr>
          <w:rFonts w:hAnsi="Times New Roman" w:cs="Times New Roman"/>
          <w:sz w:val="22"/>
          <w:szCs w:val="22"/>
        </w:rPr>
        <w:t xml:space="preserve"> parler pour lui, c’est la protection diplomatique.</w:t>
      </w:r>
    </w:p>
    <w:p w14:paraId="62B356D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5171FFE"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protection consulaire : celle que les diplomates accordent lorsqu’on est à l’étranger comme citoyen de mon État national. Les Ambassades peuvent vous dépanner. Maladie, vol à l’étranger, etc. C’est eux qui aident. C’est eux qui enregistrent les naissances à l’étranger ??</w:t>
      </w:r>
    </w:p>
    <w:p w14:paraId="33331B5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AAD41DB"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Compétence Universelle</w:t>
      </w:r>
      <w:r w:rsidRPr="00F25463">
        <w:rPr>
          <w:rFonts w:hAnsi="Times New Roman" w:cs="Times New Roman"/>
          <w:sz w:val="22"/>
          <w:szCs w:val="22"/>
        </w:rPr>
        <w:t> :</w:t>
      </w:r>
    </w:p>
    <w:p w14:paraId="73C4598E"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4EAC851C"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La compétence que l’État (pouvoir) d’inclure dans son droit interne (pénal) des dispositions qui vont lui permettre d’arrêter et de poursuivre et de punir l’auteur (un individu) de certaines des infractions commise à l’étranger (même si individu étranger et se trouve à l’étranger) par un auteur de certain crime (criminelle) très grave (crime de guerre, crime contre l’humanité, crime de piraterie traditionnelle, détournement d’avion, </w:t>
      </w:r>
      <w:proofErr w:type="spellStart"/>
      <w:r w:rsidRPr="00F25463">
        <w:rPr>
          <w:rFonts w:hAnsi="Times New Roman" w:cs="Times New Roman"/>
          <w:sz w:val="22"/>
          <w:szCs w:val="22"/>
        </w:rPr>
        <w:t>etc</w:t>
      </w:r>
      <w:proofErr w:type="spellEnd"/>
      <w:r w:rsidRPr="00F25463">
        <w:rPr>
          <w:rFonts w:hAnsi="Times New Roman" w:cs="Times New Roman"/>
          <w:sz w:val="22"/>
          <w:szCs w:val="22"/>
        </w:rPr>
        <w:t>). Et ce sur la seule base qu’il a arrêté l’individu, peu importe la nationalité, l’endroit ou l’acte a été commis. Il faut qu’il détienne le gars, qu’</w:t>
      </w:r>
      <w:proofErr w:type="spellStart"/>
      <w:r w:rsidRPr="00F25463">
        <w:rPr>
          <w:rFonts w:hAnsi="Times New Roman" w:cs="Times New Roman"/>
          <w:sz w:val="22"/>
          <w:szCs w:val="22"/>
        </w:rPr>
        <w:t>il’aie</w:t>
      </w:r>
      <w:proofErr w:type="spellEnd"/>
      <w:r w:rsidRPr="00F25463">
        <w:rPr>
          <w:rFonts w:hAnsi="Times New Roman" w:cs="Times New Roman"/>
          <w:sz w:val="22"/>
          <w:szCs w:val="22"/>
        </w:rPr>
        <w:t xml:space="preserve"> entre les mains. Il u a une multitude de convention qui octroient de façon conventionnelle le droit d’incorporer par les États des lois qui ont compétence universelle. La Belgique a adopté une loi pour poursuivre ces criminels même s’ils se trouvent sur un autre territoire. La convention de  Rome que le Canada a signé lui permet seulement d’émettre un mandat d’arrestation de DIP si l’individu est sur son territoire. Toute cette question n’est pas réglée, ça va se préciser avec la pratique et ce que la CIJ va dire et trancher dans le futur à savoir si on peut arrêter et poursuivre criminels se trouvant sur d’autres territoires.</w:t>
      </w:r>
    </w:p>
    <w:p w14:paraId="4B7B6BFF"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58EAF3E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Elle vient soit du droit coutumier </w:t>
      </w:r>
    </w:p>
    <w:p w14:paraId="489B855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ab/>
        <w:t xml:space="preserve">- convention sur les narcotiques </w:t>
      </w:r>
    </w:p>
    <w:p w14:paraId="11580D37"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9FFB4F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parmi</w:t>
      </w:r>
      <w:proofErr w:type="gramEnd"/>
      <w:r w:rsidRPr="00F25463">
        <w:rPr>
          <w:rFonts w:hAnsi="Times New Roman" w:cs="Times New Roman"/>
          <w:sz w:val="22"/>
          <w:szCs w:val="22"/>
        </w:rPr>
        <w:t xml:space="preserve"> ces conventions, il y en a eu qui sont devenu du droit coutumier</w:t>
      </w:r>
    </w:p>
    <w:p w14:paraId="61CD8A12"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Art 15 C. 1958 : crime de piraterie : universelle (un navire Vs un navire à des fin de vol)</w:t>
      </w:r>
    </w:p>
    <w:p w14:paraId="2536AC95"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détournement d’avion</w:t>
      </w:r>
    </w:p>
    <w:p w14:paraId="3D879404" w14:textId="77777777" w:rsidR="00EC0180" w:rsidRPr="00F25463" w:rsidRDefault="004270F6" w:rsidP="004270F6">
      <w:pPr>
        <w:pStyle w:val="BodyText"/>
        <w:numPr>
          <w:ilvl w:val="0"/>
          <w:numId w:val="26"/>
        </w:numPr>
        <w:tabs>
          <w:tab w:val="clear" w:pos="360"/>
          <w:tab w:val="clear" w:pos="1038"/>
          <w:tab w:val="num" w:pos="1068"/>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1068" w:hanging="360"/>
        <w:rPr>
          <w:rFonts w:hAnsi="Times New Roman" w:cs="Times New Roman"/>
        </w:rPr>
      </w:pPr>
      <w:r w:rsidRPr="00F25463">
        <w:rPr>
          <w:rFonts w:hAnsi="Times New Roman" w:cs="Times New Roman"/>
          <w:sz w:val="22"/>
          <w:szCs w:val="22"/>
        </w:rPr>
        <w:t>crime de guerre</w:t>
      </w:r>
    </w:p>
    <w:p w14:paraId="154626A9"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limites</w:t>
      </w:r>
      <w:proofErr w:type="gramEnd"/>
      <w:r w:rsidRPr="00F25463">
        <w:rPr>
          <w:rFonts w:hAnsi="Times New Roman" w:cs="Times New Roman"/>
          <w:sz w:val="22"/>
          <w:szCs w:val="22"/>
        </w:rPr>
        <w:t xml:space="preserve"> de compétence de </w:t>
      </w:r>
      <w:proofErr w:type="spellStart"/>
      <w:r w:rsidRPr="00F25463">
        <w:rPr>
          <w:rFonts w:hAnsi="Times New Roman" w:cs="Times New Roman"/>
          <w:sz w:val="22"/>
          <w:szCs w:val="22"/>
        </w:rPr>
        <w:t>l,État</w:t>
      </w:r>
      <w:proofErr w:type="spellEnd"/>
      <w:r w:rsidRPr="00F25463">
        <w:rPr>
          <w:rFonts w:hAnsi="Times New Roman" w:cs="Times New Roman"/>
          <w:sz w:val="22"/>
          <w:szCs w:val="22"/>
        </w:rPr>
        <w:t> : la haute-mer</w:t>
      </w:r>
    </w:p>
    <w:p w14:paraId="3F45E6A1"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exception</w:t>
      </w:r>
      <w:proofErr w:type="gramEnd"/>
      <w:r w:rsidRPr="00F25463">
        <w:rPr>
          <w:rFonts w:hAnsi="Times New Roman" w:cs="Times New Roman"/>
          <w:sz w:val="22"/>
          <w:szCs w:val="22"/>
        </w:rPr>
        <w:t xml:space="preserve"> : droit de poursuite. Liberté de </w:t>
      </w:r>
      <w:proofErr w:type="spellStart"/>
      <w:r w:rsidRPr="00F25463">
        <w:rPr>
          <w:rFonts w:hAnsi="Times New Roman" w:cs="Times New Roman"/>
          <w:sz w:val="22"/>
          <w:szCs w:val="22"/>
        </w:rPr>
        <w:t>naviguation</w:t>
      </w:r>
      <w:proofErr w:type="spellEnd"/>
      <w:r w:rsidRPr="00F25463">
        <w:rPr>
          <w:rFonts w:hAnsi="Times New Roman" w:cs="Times New Roman"/>
          <w:sz w:val="22"/>
          <w:szCs w:val="22"/>
        </w:rPr>
        <w:t> : compétence exclusive de L’état de pavillon</w:t>
      </w:r>
    </w:p>
    <w:p w14:paraId="77AD820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roofErr w:type="gramStart"/>
      <w:r w:rsidRPr="00F25463">
        <w:rPr>
          <w:rFonts w:hAnsi="Times New Roman" w:cs="Times New Roman"/>
          <w:sz w:val="22"/>
          <w:szCs w:val="22"/>
        </w:rPr>
        <w:t>liberté</w:t>
      </w:r>
      <w:proofErr w:type="gramEnd"/>
      <w:r w:rsidRPr="00F25463">
        <w:rPr>
          <w:rFonts w:hAnsi="Times New Roman" w:cs="Times New Roman"/>
          <w:sz w:val="22"/>
          <w:szCs w:val="22"/>
        </w:rPr>
        <w:t xml:space="preserve"> de survoler la haute-mer</w:t>
      </w:r>
    </w:p>
    <w:p w14:paraId="56625B0D"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 xml:space="preserve">Art 75 dans le code </w:t>
      </w:r>
      <w:proofErr w:type="spellStart"/>
      <w:r w:rsidRPr="00F25463">
        <w:rPr>
          <w:rFonts w:hAnsi="Times New Roman" w:cs="Times New Roman"/>
          <w:b/>
          <w:bCs/>
          <w:sz w:val="22"/>
          <w:szCs w:val="22"/>
        </w:rPr>
        <w:t>cr</w:t>
      </w:r>
      <w:proofErr w:type="spellEnd"/>
      <w:r w:rsidRPr="00F25463">
        <w:rPr>
          <w:rFonts w:hAnsi="Times New Roman" w:cs="Times New Roman"/>
          <w:b/>
          <w:bCs/>
          <w:sz w:val="22"/>
          <w:szCs w:val="22"/>
        </w:rPr>
        <w:t>. Canadien</w:t>
      </w:r>
      <w:r w:rsidRPr="00F25463">
        <w:rPr>
          <w:rFonts w:hAnsi="Times New Roman" w:cs="Times New Roman"/>
          <w:sz w:val="22"/>
          <w:szCs w:val="22"/>
        </w:rPr>
        <w:t> : matière de piraterie, loi contre le crime contre l’humanité</w:t>
      </w:r>
    </w:p>
    <w:p w14:paraId="164BDC2A"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749F3F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b/>
          <w:bCs/>
          <w:sz w:val="22"/>
          <w:szCs w:val="22"/>
        </w:rPr>
        <w:t>Révision de plus haut</w:t>
      </w:r>
      <w:r w:rsidRPr="00F25463">
        <w:rPr>
          <w:rFonts w:hAnsi="Times New Roman" w:cs="Times New Roman"/>
          <w:sz w:val="22"/>
          <w:szCs w:val="22"/>
        </w:rPr>
        <w:t xml:space="preserve"> : </w:t>
      </w:r>
    </w:p>
    <w:p w14:paraId="6B20900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La Haute-mer : l’État perd ses compétences : 4 libertés en haute-mer</w:t>
      </w:r>
    </w:p>
    <w:p w14:paraId="5B43871C" w14:textId="77777777" w:rsidR="00EC0180" w:rsidRPr="00F25463" w:rsidRDefault="004270F6" w:rsidP="004270F6">
      <w:pPr>
        <w:pStyle w:val="BodyText"/>
        <w:numPr>
          <w:ilvl w:val="0"/>
          <w:numId w:val="15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liberté (en temps de guerre peut se battre) de naviguer (aussi en ZEE) en surface, sous-marine pour tout les États. Un navire qui se trouve en haute-mer, l’État du pavillon </w:t>
      </w:r>
      <w:proofErr w:type="gramStart"/>
      <w:r w:rsidRPr="00F25463">
        <w:rPr>
          <w:rFonts w:hAnsi="Times New Roman" w:cs="Times New Roman"/>
          <w:sz w:val="22"/>
          <w:szCs w:val="22"/>
        </w:rPr>
        <w:t>à le</w:t>
      </w:r>
      <w:proofErr w:type="gramEnd"/>
      <w:r w:rsidRPr="00F25463">
        <w:rPr>
          <w:rFonts w:hAnsi="Times New Roman" w:cs="Times New Roman"/>
          <w:sz w:val="22"/>
          <w:szCs w:val="22"/>
        </w:rPr>
        <w:t xml:space="preserve"> contrôle sur lui. (</w:t>
      </w:r>
      <w:proofErr w:type="gramStart"/>
      <w:r w:rsidRPr="00F25463">
        <w:rPr>
          <w:rFonts w:hAnsi="Times New Roman" w:cs="Times New Roman"/>
          <w:sz w:val="22"/>
          <w:szCs w:val="22"/>
        </w:rPr>
        <w:t>sur</w:t>
      </w:r>
      <w:proofErr w:type="gramEnd"/>
      <w:r w:rsidRPr="00F25463">
        <w:rPr>
          <w:rFonts w:hAnsi="Times New Roman" w:cs="Times New Roman"/>
          <w:sz w:val="22"/>
          <w:szCs w:val="22"/>
        </w:rPr>
        <w:t xml:space="preserve"> toute les personnes) les navire de guerres des États étranger peut seulement d’hisser son pavillon…</w:t>
      </w:r>
    </w:p>
    <w:p w14:paraId="48A31A28"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t xml:space="preserve">Mais exception : </w:t>
      </w:r>
    </w:p>
    <w:p w14:paraId="342F5A55"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t>1. droit de poursuite</w:t>
      </w:r>
    </w:p>
    <w:p w14:paraId="17A934A4"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360"/>
        <w:rPr>
          <w:rFonts w:hAnsi="Times New Roman" w:cs="Times New Roman"/>
          <w:sz w:val="22"/>
          <w:szCs w:val="22"/>
        </w:rPr>
      </w:pPr>
      <w:r w:rsidRPr="00F25463">
        <w:rPr>
          <w:rFonts w:hAnsi="Times New Roman" w:cs="Times New Roman"/>
          <w:sz w:val="22"/>
          <w:szCs w:val="22"/>
        </w:rPr>
        <w:tab/>
        <w:t xml:space="preserve">2. </w:t>
      </w:r>
      <w:proofErr w:type="spellStart"/>
      <w:r w:rsidRPr="00F25463">
        <w:rPr>
          <w:rFonts w:hAnsi="Times New Roman" w:cs="Times New Roman"/>
          <w:sz w:val="22"/>
          <w:szCs w:val="22"/>
        </w:rPr>
        <w:t>arreter</w:t>
      </w:r>
      <w:proofErr w:type="spellEnd"/>
      <w:r w:rsidRPr="00F25463">
        <w:rPr>
          <w:rFonts w:hAnsi="Times New Roman" w:cs="Times New Roman"/>
          <w:sz w:val="22"/>
          <w:szCs w:val="22"/>
        </w:rPr>
        <w:t xml:space="preserve"> pirate</w:t>
      </w:r>
    </w:p>
    <w:p w14:paraId="51552F2D" w14:textId="77777777" w:rsidR="00EC0180" w:rsidRPr="00F25463" w:rsidRDefault="004270F6" w:rsidP="004270F6">
      <w:pPr>
        <w:pStyle w:val="BodyText"/>
        <w:numPr>
          <w:ilvl w:val="0"/>
          <w:numId w:val="15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liberté de recherche scientifique (n’existe pas ZEE, appartient à l’État riverai)</w:t>
      </w:r>
    </w:p>
    <w:p w14:paraId="4BFFA2A5" w14:textId="77777777" w:rsidR="00EC0180" w:rsidRPr="00F25463" w:rsidRDefault="004270F6" w:rsidP="004270F6">
      <w:pPr>
        <w:pStyle w:val="BodyText"/>
        <w:numPr>
          <w:ilvl w:val="0"/>
          <w:numId w:val="15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 xml:space="preserve">peut poser des </w:t>
      </w:r>
      <w:proofErr w:type="spellStart"/>
      <w:r w:rsidRPr="00F25463">
        <w:rPr>
          <w:rFonts w:hAnsi="Times New Roman" w:cs="Times New Roman"/>
          <w:sz w:val="22"/>
          <w:szCs w:val="22"/>
        </w:rPr>
        <w:t>cable</w:t>
      </w:r>
      <w:proofErr w:type="spellEnd"/>
      <w:r w:rsidRPr="00F25463">
        <w:rPr>
          <w:rFonts w:hAnsi="Times New Roman" w:cs="Times New Roman"/>
          <w:sz w:val="22"/>
          <w:szCs w:val="22"/>
        </w:rPr>
        <w:t xml:space="preserve"> et pipeline (peu passer avec avion)</w:t>
      </w:r>
    </w:p>
    <w:p w14:paraId="290F70DB" w14:textId="77777777" w:rsidR="00EC0180" w:rsidRPr="00F25463" w:rsidRDefault="004270F6" w:rsidP="004270F6">
      <w:pPr>
        <w:pStyle w:val="BodyText"/>
        <w:numPr>
          <w:ilvl w:val="0"/>
          <w:numId w:val="150"/>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hAnsi="Times New Roman" w:cs="Times New Roman"/>
          <w:sz w:val="22"/>
          <w:szCs w:val="22"/>
        </w:rPr>
      </w:pPr>
      <w:r w:rsidRPr="00F25463">
        <w:rPr>
          <w:rFonts w:hAnsi="Times New Roman" w:cs="Times New Roman"/>
          <w:sz w:val="22"/>
          <w:szCs w:val="22"/>
        </w:rPr>
        <w:t>liberté de la pêche</w:t>
      </w:r>
    </w:p>
    <w:p w14:paraId="50693E06"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707D5C6B"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p>
    <w:p w14:paraId="144F78D3"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b/>
          <w:bCs/>
          <w:sz w:val="22"/>
          <w:szCs w:val="22"/>
        </w:rPr>
      </w:pPr>
      <w:r w:rsidRPr="00F25463">
        <w:rPr>
          <w:rFonts w:hAnsi="Times New Roman" w:cs="Times New Roman"/>
          <w:b/>
          <w:bCs/>
          <w:sz w:val="22"/>
          <w:szCs w:val="22"/>
        </w:rPr>
        <w:t>Normes extraterritoriales (suite) voir polycopié p.266.</w:t>
      </w:r>
    </w:p>
    <w:p w14:paraId="47DAE52F"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t xml:space="preserve">On parle de la théorie de l’effet (quand une loi sur un territoire(créée par un État) qui a des effets juridiques à l’étranger et qui affecte même des conventions conclues à l’étrangers avec plein d’autres États. </w:t>
      </w:r>
    </w:p>
    <w:p w14:paraId="33970E32" w14:textId="77777777" w:rsidR="00EC0180" w:rsidRPr="00F25463" w:rsidRDefault="004270F6">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2"/>
          <w:szCs w:val="22"/>
        </w:rPr>
      </w:pPr>
      <w:r w:rsidRPr="00F25463">
        <w:rPr>
          <w:rFonts w:hAnsi="Times New Roman" w:cs="Times New Roman"/>
          <w:sz w:val="22"/>
          <w:szCs w:val="22"/>
        </w:rPr>
        <w:lastRenderedPageBreak/>
        <w:t>Savoir aussi distinguer compétence personnelle ou compétence territoriale qui s’applique dans les exemples des pages 266-267.</w:t>
      </w:r>
    </w:p>
    <w:p w14:paraId="45087100" w14:textId="77777777" w:rsidR="00EC0180" w:rsidRPr="00F25463" w:rsidRDefault="004270F6" w:rsidP="004270F6">
      <w:pPr>
        <w:pStyle w:val="BodyText"/>
        <w:numPr>
          <w:ilvl w:val="0"/>
          <w:numId w:val="15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L’État a le droit de légiférer pour protéger ou légiférer dans ses ambassades à l’étranger.</w:t>
      </w:r>
    </w:p>
    <w:p w14:paraId="6FE3E8DC" w14:textId="77777777" w:rsidR="00EC0180" w:rsidRPr="00F25463" w:rsidRDefault="004270F6" w:rsidP="004270F6">
      <w:pPr>
        <w:pStyle w:val="BodyText"/>
        <w:numPr>
          <w:ilvl w:val="0"/>
          <w:numId w:val="15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 xml:space="preserve">On ne peut pas aller signifier des ordres de comparaître et actions judiciaires à une personne se trouvant dans un autre État à cause de la souveraineté de l’État. MAIS il y a plusieurs conventions d’entraide judiciaire qui font qu’on a le droit de le faire (par exemple entre le Canada et les É-U. </w:t>
      </w:r>
    </w:p>
    <w:p w14:paraId="1569344A" w14:textId="77777777" w:rsidR="00EC0180" w:rsidRPr="00F25463" w:rsidRDefault="004270F6" w:rsidP="004270F6">
      <w:pPr>
        <w:pStyle w:val="BodyText"/>
        <w:numPr>
          <w:ilvl w:val="0"/>
          <w:numId w:val="15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 xml:space="preserve">Le Canada peut empêcher de se soumettre sur une loi extraterritoriale américaine en créant des lois de compétence territoriale </w:t>
      </w:r>
      <w:proofErr w:type="gramStart"/>
      <w:r w:rsidRPr="00F25463">
        <w:rPr>
          <w:rFonts w:hAnsi="Times New Roman" w:cs="Times New Roman"/>
          <w:sz w:val="22"/>
          <w:szCs w:val="22"/>
        </w:rPr>
        <w:t>( justifié</w:t>
      </w:r>
      <w:proofErr w:type="gramEnd"/>
      <w:r w:rsidRPr="00F25463">
        <w:rPr>
          <w:rFonts w:hAnsi="Times New Roman" w:cs="Times New Roman"/>
          <w:sz w:val="22"/>
          <w:szCs w:val="22"/>
        </w:rPr>
        <w:t xml:space="preserve"> pas la compétence territoriale). La procureur général peut défendre à </w:t>
      </w:r>
      <w:proofErr w:type="gramStart"/>
      <w:r w:rsidRPr="00F25463">
        <w:rPr>
          <w:rFonts w:hAnsi="Times New Roman" w:cs="Times New Roman"/>
          <w:sz w:val="22"/>
          <w:szCs w:val="22"/>
        </w:rPr>
        <w:t>B(</w:t>
      </w:r>
      <w:proofErr w:type="gramEnd"/>
      <w:r w:rsidRPr="00F25463">
        <w:rPr>
          <w:rFonts w:hAnsi="Times New Roman" w:cs="Times New Roman"/>
          <w:sz w:val="22"/>
          <w:szCs w:val="22"/>
        </w:rPr>
        <w:t>succursales de compagnie américaines) de se conformer à la loi américaine. Cependant, il peut arriver des conflits de compétences. Le tribunal ordonne à la succursale aux É-U provenant du Canada de produire des documents se trouvant au Canada. Si elle ne répond pas, elle subira des dommages. Canada, par arrêté en conseil, lui défend aussi à cette même compagnie de ne pas répondre à la loi américaine et ne pas produire les documents par crainte de dommages si elle ne le fait pas. Laquelle des compétences va prévaloir ? la jurisprudence américaine dit qu’il faut examiner les 2 compétences et juge laquelle s’appliquera selon les circonstances.  Mais en DIP, on ne donne pas importance ou priorité à ni l’une ni l’autre.</w:t>
      </w:r>
    </w:p>
    <w:p w14:paraId="0007B1CF" w14:textId="77777777" w:rsidR="00EC0180" w:rsidRPr="00F25463" w:rsidRDefault="004270F6" w:rsidP="004270F6">
      <w:pPr>
        <w:pStyle w:val="BodyText"/>
        <w:numPr>
          <w:ilvl w:val="0"/>
          <w:numId w:val="151"/>
        </w:numPr>
        <w:tabs>
          <w:tab w:val="clear" w:pos="360"/>
          <w:tab w:val="clear" w:pos="690"/>
          <w:tab w:val="num" w:pos="72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ind w:left="720" w:hanging="360"/>
        <w:rPr>
          <w:rFonts w:eastAsia="Times" w:hAnsi="Times New Roman" w:cs="Times New Roman"/>
          <w:sz w:val="22"/>
          <w:szCs w:val="22"/>
        </w:rPr>
      </w:pPr>
      <w:r w:rsidRPr="00F25463">
        <w:rPr>
          <w:rFonts w:hAnsi="Times New Roman" w:cs="Times New Roman"/>
          <w:sz w:val="22"/>
          <w:szCs w:val="22"/>
        </w:rPr>
        <w:t>La troisième compétences que les États ont : c’est la compétence universelle.</w:t>
      </w:r>
    </w:p>
    <w:p w14:paraId="423D0B2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sz w:val="20"/>
          <w:szCs w:val="20"/>
        </w:rPr>
      </w:pPr>
    </w:p>
    <w:p w14:paraId="3AE16615" w14:textId="77777777" w:rsidR="00EC0180" w:rsidRPr="00F25463" w:rsidRDefault="00EC0180">
      <w:pPr>
        <w:pStyle w:val="BodyText"/>
        <w:tabs>
          <w:tab w:val="clear" w:pos="360"/>
          <w:tab w:val="left" w:pos="1200"/>
          <w:tab w:val="left" w:pos="1920"/>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rFonts w:hAnsi="Times New Roman" w:cs="Times New Roman"/>
        </w:rPr>
      </w:pPr>
    </w:p>
    <w:sectPr w:rsidR="00EC0180" w:rsidRPr="00F25463">
      <w:headerReference w:type="even" r:id="rId8"/>
      <w:headerReference w:type="default" r:id="rId9"/>
      <w:footerReference w:type="even" r:id="rId10"/>
      <w:footerReference w:type="default" r:id="rId11"/>
      <w:pgSz w:w="12240" w:h="15840"/>
      <w:pgMar w:top="1134" w:right="1134" w:bottom="1134" w:left="1134" w:header="709"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7B720" w14:textId="77777777" w:rsidR="006801CA" w:rsidRDefault="006801CA">
      <w:r>
        <w:separator/>
      </w:r>
    </w:p>
  </w:endnote>
  <w:endnote w:type="continuationSeparator" w:id="0">
    <w:p w14:paraId="7E00CC97" w14:textId="77777777" w:rsidR="006801CA" w:rsidRDefault="00680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imes">
    <w:panose1 w:val="00000000000000000000"/>
    <w:charset w:val="4D"/>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C07E7" w14:textId="77777777" w:rsidR="00854C0C" w:rsidRDefault="00854C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sz w:val="20"/>
        <w:szCs w:val="2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427FA" w14:textId="77777777" w:rsidR="00854C0C" w:rsidRDefault="00854C0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72"/>
      </w:tabs>
      <w:rPr>
        <w:sz w:val="20"/>
        <w:szCs w:val="2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21CC2A" w14:textId="77777777" w:rsidR="006801CA" w:rsidRDefault="006801CA">
      <w:r>
        <w:separator/>
      </w:r>
    </w:p>
  </w:footnote>
  <w:footnote w:type="continuationSeparator" w:id="0">
    <w:p w14:paraId="4BA7C23A" w14:textId="77777777" w:rsidR="006801CA" w:rsidRDefault="006801C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6186B" w14:textId="77777777" w:rsidR="00854C0C" w:rsidRDefault="00854C0C">
    <w:pPr>
      <w:pStyle w:val="En-tteA"/>
      <w:tabs>
        <w:tab w:val="left" w:pos="9112"/>
      </w:tabs>
      <w:ind w:right="360"/>
    </w:pPr>
    <w:r>
      <w:rPr>
        <w:noProof/>
        <w:lang w:val="en-US" w:eastAsia="en-US"/>
      </w:rPr>
      <mc:AlternateContent>
        <mc:Choice Requires="wps">
          <w:drawing>
            <wp:anchor distT="57150" distB="57150" distL="57150" distR="57150" simplePos="0" relativeHeight="251657216" behindDoc="1" locked="0" layoutInCell="1" allowOverlap="1" wp14:anchorId="597AAD09" wp14:editId="524D1DB7">
              <wp:simplePos x="0" y="0"/>
              <wp:positionH relativeFrom="page">
                <wp:posOffset>7183119</wp:posOffset>
              </wp:positionH>
              <wp:positionV relativeFrom="page">
                <wp:posOffset>450850</wp:posOffset>
              </wp:positionV>
              <wp:extent cx="88900" cy="174625"/>
              <wp:effectExtent l="0" t="0" r="0" b="0"/>
              <wp:wrapNone/>
              <wp:docPr id="5" name="officeArt object"/>
              <wp:cNvGraphicFramePr/>
              <a:graphic xmlns:a="http://schemas.openxmlformats.org/drawingml/2006/main">
                <a:graphicData uri="http://schemas.microsoft.com/office/word/2010/wordprocessingShape">
                  <wps:wsp>
                    <wps:cNvSpPr/>
                    <wps:spPr>
                      <a:xfrm>
                        <a:off x="0" y="0"/>
                        <a:ext cx="88900" cy="17462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599"/>
                            </a:lnTo>
                            <a:lnTo>
                              <a:pt x="0" y="21599"/>
                            </a:lnTo>
                            <a:close/>
                          </a:path>
                        </a:pathLst>
                      </a:custGeom>
                      <a:solidFill>
                        <a:srgbClr val="FFFFFF">
                          <a:alpha val="0"/>
                        </a:srgbClr>
                      </a:solidFill>
                      <a:ln>
                        <a:noFill/>
                      </a:ln>
                      <a:effectLst/>
                      <a:extLst/>
                    </wps:spPr>
                    <wps:style>
                      <a:lnRef idx="1">
                        <a:schemeClr val="accent1"/>
                      </a:lnRef>
                      <a:fillRef idx="3">
                        <a:schemeClr val="accent1"/>
                      </a:fillRef>
                      <a:effectRef idx="2">
                        <a:schemeClr val="accent1"/>
                      </a:effectRef>
                      <a:fontRef idx="minor">
                        <a:schemeClr val="tx1"/>
                      </a:fontRef>
                    </wps:style>
                    <wps:txbx>
                      <w:txbxContent>
                        <w:p w14:paraId="60E6FEA3" w14:textId="77777777" w:rsidR="00854C0C" w:rsidRDefault="00854C0C">
                          <w:pPr>
                            <w:pStyle w:val="En-tteA"/>
                          </w:pPr>
                          <w:r>
                            <w:fldChar w:fldCharType="begin"/>
                          </w:r>
                          <w:r>
                            <w:instrText xml:space="preserve"> PAGE </w:instrText>
                          </w:r>
                          <w:r>
                            <w:fldChar w:fldCharType="separate"/>
                          </w:r>
                          <w:r w:rsidR="003B2392">
                            <w:rPr>
                              <w:noProof/>
                            </w:rPr>
                            <w:t>70</w:t>
                          </w:r>
                          <w:r>
                            <w:fldChar w:fldCharType="end"/>
                          </w: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30" style="position:absolute;margin-left:565.6pt;margin-top:35.5pt;width:7pt;height:13.75pt;z-index:-251659264;visibility:visible;mso-wrap-style:square;mso-wrap-distance-left:4.5pt;mso-wrap-distance-top:4.5pt;mso-wrap-distance-right:4.5pt;mso-wrap-distance-bottom:4.5pt;mso-position-horizontal:absolute;mso-position-horizontal-relative:page;mso-position-vertical:absolute;mso-position-vertical-relative:page;v-text-anchor:top" coordsize="21600,216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" adj="-11796480,,5400" path="m0,0l21600,,21600,21599,,21599,,0xe" stroked="f">
              <v:fill opacity="0"/>
              <v:stroke joinstyle="miter"/>
              <v:formulas/>
              <v:path arrowok="t" o:extrusionok="f" o:connecttype="custom" o:connectlocs="44450,87313;44450,87313;44450,87313;44450,87313" o:connectangles="0,90,180,270" textboxrect="0,0,21600,21600"/>
              <v:textbox inset="0,0,0,0">
                <w:txbxContent>
                  <w:p w14:paraId="60E6FEA3" w14:textId="77777777" w:rsidR="00854C0C" w:rsidRDefault="00854C0C">
                    <w:pPr>
                      <w:pStyle w:val="En-tteA"/>
                    </w:pPr>
                    <w:r>
                      <w:fldChar w:fldCharType="begin"/>
                    </w:r>
                    <w:r>
                      <w:instrText xml:space="preserve"> PAGE </w:instrText>
                    </w:r>
                    <w:r>
                      <w:fldChar w:fldCharType="separate"/>
                    </w:r>
                    <w:r w:rsidR="003830A4">
                      <w:rPr>
                        <w:noProof/>
                      </w:rPr>
                      <w:t>82</w:t>
                    </w:r>
                    <w:r>
                      <w:fldChar w:fldCharType="end"/>
                    </w:r>
                  </w:p>
                </w:txbxContent>
              </v:textbox>
              <w10:wrap anchorx="page" anchory="page"/>
            </v:shape>
          </w:pict>
        </mc:Fallback>
      </mc:AlternateContent>
    </w:r>
    <w:r>
      <w:t xml:space="preserve"> </w:t>
    </w:r>
    <w:r>
      <w:br/>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B26DF" w14:textId="77777777" w:rsidR="00854C0C" w:rsidRDefault="00854C0C">
    <w:pPr>
      <w:pStyle w:val="En-tteA"/>
      <w:tabs>
        <w:tab w:val="left" w:pos="9112"/>
      </w:tabs>
      <w:ind w:right="360"/>
    </w:pPr>
    <w:r>
      <w:rPr>
        <w:noProof/>
        <w:lang w:val="en-US" w:eastAsia="en-US"/>
      </w:rPr>
      <mc:AlternateContent>
        <mc:Choice Requires="wps">
          <w:drawing>
            <wp:anchor distT="57150" distB="57150" distL="57150" distR="57150" simplePos="0" relativeHeight="251658240" behindDoc="1" locked="0" layoutInCell="1" allowOverlap="1" wp14:anchorId="7379E173" wp14:editId="25CAEF2A">
              <wp:simplePos x="0" y="0"/>
              <wp:positionH relativeFrom="page">
                <wp:posOffset>7183119</wp:posOffset>
              </wp:positionH>
              <wp:positionV relativeFrom="page">
                <wp:posOffset>450850</wp:posOffset>
              </wp:positionV>
              <wp:extent cx="88900" cy="174625"/>
              <wp:effectExtent l="0" t="0" r="0" b="0"/>
              <wp:wrapNone/>
              <wp:docPr id="6" name="officeArt object"/>
              <wp:cNvGraphicFramePr/>
              <a:graphic xmlns:a="http://schemas.openxmlformats.org/drawingml/2006/main">
                <a:graphicData uri="http://schemas.microsoft.com/office/word/2010/wordprocessingShape">
                  <wps:wsp>
                    <wps:cNvSpPr/>
                    <wps:spPr>
                      <a:xfrm>
                        <a:off x="0" y="0"/>
                        <a:ext cx="88900" cy="17462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599"/>
                            </a:lnTo>
                            <a:lnTo>
                              <a:pt x="0" y="21599"/>
                            </a:lnTo>
                            <a:close/>
                          </a:path>
                        </a:pathLst>
                      </a:custGeom>
                      <a:solidFill>
                        <a:srgbClr val="FFFFFF">
                          <a:alpha val="0"/>
                        </a:srgbClr>
                      </a:solidFill>
                      <a:ln>
                        <a:noFill/>
                      </a:ln>
                      <a:effectLst/>
                      <a:extLst/>
                    </wps:spPr>
                    <wps:style>
                      <a:lnRef idx="1">
                        <a:schemeClr val="accent1"/>
                      </a:lnRef>
                      <a:fillRef idx="3">
                        <a:schemeClr val="accent1"/>
                      </a:fillRef>
                      <a:effectRef idx="2">
                        <a:schemeClr val="accent1"/>
                      </a:effectRef>
                      <a:fontRef idx="minor">
                        <a:schemeClr val="tx1"/>
                      </a:fontRef>
                    </wps:style>
                    <wps:txbx>
                      <w:txbxContent>
                        <w:p w14:paraId="2642A77E" w14:textId="77777777" w:rsidR="00854C0C" w:rsidRDefault="00854C0C">
                          <w:pPr>
                            <w:pStyle w:val="En-tteA"/>
                          </w:pPr>
                          <w:r>
                            <w:fldChar w:fldCharType="begin"/>
                          </w:r>
                          <w:r>
                            <w:instrText xml:space="preserve"> PAGE </w:instrText>
                          </w:r>
                          <w:r>
                            <w:fldChar w:fldCharType="separate"/>
                          </w:r>
                          <w:r w:rsidR="003B2392">
                            <w:rPr>
                              <w:noProof/>
                            </w:rPr>
                            <w:t>69</w:t>
                          </w:r>
                          <w:r>
                            <w:fldChar w:fldCharType="end"/>
                          </w: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31" style="position:absolute;margin-left:565.6pt;margin-top:35.5pt;width:7pt;height:13.75pt;z-index:-251658240;visibility:visible;mso-wrap-style:square;mso-wrap-distance-left:4.5pt;mso-wrap-distance-top:4.5pt;mso-wrap-distance-right:4.5pt;mso-wrap-distance-bottom:4.5pt;mso-position-horizontal:absolute;mso-position-horizontal-relative:page;mso-position-vertical:absolute;mso-position-vertical-relative:page;v-text-anchor:top" coordsize="21600,216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" adj="-11796480,,5400" path="m0,0l21600,,21600,21599,,21599,,0xe" stroked="f">
              <v:fill opacity="0"/>
              <v:stroke joinstyle="miter"/>
              <v:formulas/>
              <v:path arrowok="t" o:extrusionok="f" o:connecttype="custom" o:connectlocs="44450,87313;44450,87313;44450,87313;44450,87313" o:connectangles="0,90,180,270" textboxrect="0,0,21600,21600"/>
              <v:textbox inset="0,0,0,0">
                <w:txbxContent>
                  <w:p w14:paraId="2642A77E" w14:textId="77777777" w:rsidR="00854C0C" w:rsidRDefault="00854C0C">
                    <w:pPr>
                      <w:pStyle w:val="En-tteA"/>
                    </w:pPr>
                    <w:r>
                      <w:fldChar w:fldCharType="begin"/>
                    </w:r>
                    <w:r>
                      <w:instrText xml:space="preserve"> PAGE </w:instrText>
                    </w:r>
                    <w:r>
                      <w:fldChar w:fldCharType="separate"/>
                    </w:r>
                    <w:r w:rsidR="003830A4">
                      <w:rPr>
                        <w:noProof/>
                      </w:rPr>
                      <w:t>83</w:t>
                    </w:r>
                    <w:r>
                      <w:fldChar w:fldCharType="end"/>
                    </w:r>
                  </w:p>
                </w:txbxContent>
              </v:textbox>
              <w10:wrap anchorx="page" anchory="page"/>
            </v:shape>
          </w:pict>
        </mc:Fallback>
      </mc:AlternateContent>
    </w:r>
    <w:r>
      <w:b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9223E"/>
    <w:multiLevelType w:val="multilevel"/>
    <w:tmpl w:val="B3900B7C"/>
    <w:styleLink w:val="List92"/>
    <w:lvl w:ilvl="0">
      <w:start w:val="1"/>
      <w:numFmt w:val="decimal"/>
      <w:lvlText w:val="%1."/>
      <w:lvlJc w:val="left"/>
      <w:pPr>
        <w:tabs>
          <w:tab w:val="num" w:pos="1440"/>
        </w:tabs>
        <w:ind w:left="1440"/>
      </w:pPr>
      <w:rPr>
        <w:color w:val="000000"/>
        <w:position w:val="0"/>
        <w:sz w:val="22"/>
        <w:szCs w:val="22"/>
      </w:rPr>
    </w:lvl>
    <w:lvl w:ilvl="1">
      <w:start w:val="1"/>
      <w:numFmt w:val="lowerLetter"/>
      <w:lvlText w:val="%2."/>
      <w:lvlJc w:val="left"/>
      <w:pPr>
        <w:tabs>
          <w:tab w:val="num" w:pos="2160"/>
        </w:tabs>
        <w:ind w:left="2160"/>
      </w:pPr>
      <w:rPr>
        <w:color w:val="000000"/>
        <w:position w:val="0"/>
        <w:sz w:val="22"/>
        <w:szCs w:val="22"/>
      </w:rPr>
    </w:lvl>
    <w:lvl w:ilvl="2">
      <w:start w:val="1"/>
      <w:numFmt w:val="lowerRoman"/>
      <w:lvlText w:val="%3."/>
      <w:lvlJc w:val="left"/>
      <w:pPr>
        <w:tabs>
          <w:tab w:val="num" w:pos="2852"/>
        </w:tabs>
        <w:ind w:left="2852" w:hanging="312"/>
      </w:pPr>
      <w:rPr>
        <w:color w:val="000000"/>
        <w:position w:val="0"/>
        <w:sz w:val="22"/>
        <w:szCs w:val="22"/>
      </w:rPr>
    </w:lvl>
    <w:lvl w:ilvl="3">
      <w:start w:val="1"/>
      <w:numFmt w:val="decimal"/>
      <w:lvlText w:val="%4."/>
      <w:lvlJc w:val="left"/>
      <w:pPr>
        <w:tabs>
          <w:tab w:val="num" w:pos="3600"/>
        </w:tabs>
        <w:ind w:left="3600"/>
      </w:pPr>
      <w:rPr>
        <w:color w:val="000000"/>
        <w:position w:val="0"/>
        <w:sz w:val="22"/>
        <w:szCs w:val="22"/>
      </w:rPr>
    </w:lvl>
    <w:lvl w:ilvl="4">
      <w:start w:val="1"/>
      <w:numFmt w:val="lowerLetter"/>
      <w:lvlText w:val="%5."/>
      <w:lvlJc w:val="left"/>
      <w:pPr>
        <w:tabs>
          <w:tab w:val="num" w:pos="4320"/>
        </w:tabs>
        <w:ind w:left="4320"/>
      </w:pPr>
      <w:rPr>
        <w:color w:val="000000"/>
        <w:position w:val="0"/>
        <w:sz w:val="22"/>
        <w:szCs w:val="22"/>
      </w:rPr>
    </w:lvl>
    <w:lvl w:ilvl="5">
      <w:start w:val="1"/>
      <w:numFmt w:val="lowerRoman"/>
      <w:lvlText w:val="%6."/>
      <w:lvlJc w:val="left"/>
      <w:pPr>
        <w:tabs>
          <w:tab w:val="num" w:pos="5040"/>
        </w:tabs>
        <w:ind w:left="5040"/>
      </w:pPr>
      <w:rPr>
        <w:color w:val="000000"/>
        <w:position w:val="0"/>
        <w:sz w:val="22"/>
        <w:szCs w:val="22"/>
      </w:rPr>
    </w:lvl>
    <w:lvl w:ilvl="6">
      <w:start w:val="1"/>
      <w:numFmt w:val="decimal"/>
      <w:lvlText w:val="%7."/>
      <w:lvlJc w:val="left"/>
      <w:pPr>
        <w:tabs>
          <w:tab w:val="num" w:pos="5760"/>
        </w:tabs>
        <w:ind w:left="5760"/>
      </w:pPr>
      <w:rPr>
        <w:color w:val="000000"/>
        <w:position w:val="0"/>
        <w:sz w:val="22"/>
        <w:szCs w:val="22"/>
      </w:rPr>
    </w:lvl>
    <w:lvl w:ilvl="7">
      <w:start w:val="1"/>
      <w:numFmt w:val="lowerLetter"/>
      <w:lvlText w:val="%8."/>
      <w:lvlJc w:val="left"/>
      <w:pPr>
        <w:tabs>
          <w:tab w:val="num" w:pos="6480"/>
        </w:tabs>
        <w:ind w:left="6480"/>
      </w:pPr>
      <w:rPr>
        <w:color w:val="000000"/>
        <w:position w:val="0"/>
        <w:sz w:val="22"/>
        <w:szCs w:val="22"/>
      </w:rPr>
    </w:lvl>
    <w:lvl w:ilvl="8">
      <w:start w:val="1"/>
      <w:numFmt w:val="lowerRoman"/>
      <w:lvlText w:val="%9."/>
      <w:lvlJc w:val="left"/>
      <w:pPr>
        <w:tabs>
          <w:tab w:val="num" w:pos="7200"/>
        </w:tabs>
        <w:ind w:left="7200"/>
      </w:pPr>
      <w:rPr>
        <w:color w:val="000000"/>
        <w:position w:val="0"/>
        <w:sz w:val="22"/>
        <w:szCs w:val="22"/>
      </w:rPr>
    </w:lvl>
  </w:abstractNum>
  <w:abstractNum w:abstractNumId="1">
    <w:nsid w:val="0094671E"/>
    <w:multiLevelType w:val="multilevel"/>
    <w:tmpl w:val="667ACE5C"/>
    <w:styleLink w:val="List131"/>
    <w:lvl w:ilvl="0">
      <w:start w:val="1"/>
      <w:numFmt w:val="decimal"/>
      <w:lvlText w:val="%1."/>
      <w:lvlJc w:val="left"/>
      <w:pPr>
        <w:tabs>
          <w:tab w:val="num" w:pos="720"/>
        </w:tabs>
        <w:ind w:left="720"/>
      </w:pPr>
      <w:rPr>
        <w:color w:val="000000"/>
        <w:position w:val="0"/>
        <w:sz w:val="22"/>
        <w:szCs w:val="22"/>
      </w:rPr>
    </w:lvl>
    <w:lvl w:ilvl="1">
      <w:start w:val="1"/>
      <w:numFmt w:val="decimal"/>
      <w:lvlText w:val="%2."/>
      <w:lvlJc w:val="left"/>
      <w:pPr>
        <w:tabs>
          <w:tab w:val="num" w:pos="1410"/>
        </w:tabs>
        <w:ind w:left="1410" w:hanging="33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2">
    <w:nsid w:val="00CD5922"/>
    <w:multiLevelType w:val="multilevel"/>
    <w:tmpl w:val="4FFE4424"/>
    <w:styleLink w:val="List138"/>
    <w:lvl w:ilvl="0">
      <w:start w:val="1"/>
      <w:numFmt w:val="decimal"/>
      <w:lvlText w:val="%1."/>
      <w:lvlJc w:val="left"/>
      <w:pPr>
        <w:tabs>
          <w:tab w:val="num" w:pos="840"/>
        </w:tabs>
        <w:ind w:left="840"/>
      </w:pPr>
      <w:rPr>
        <w:color w:val="000000"/>
        <w:position w:val="0"/>
        <w:sz w:val="22"/>
        <w:szCs w:val="22"/>
      </w:rPr>
    </w:lvl>
    <w:lvl w:ilvl="1">
      <w:start w:val="1"/>
      <w:numFmt w:val="decimal"/>
      <w:lvlText w:val="%2."/>
      <w:lvlJc w:val="left"/>
      <w:pPr>
        <w:tabs>
          <w:tab w:val="num" w:pos="1530"/>
        </w:tabs>
        <w:ind w:left="1530" w:hanging="330"/>
      </w:pPr>
      <w:rPr>
        <w:color w:val="000000"/>
        <w:position w:val="0"/>
        <w:sz w:val="22"/>
        <w:szCs w:val="22"/>
      </w:rPr>
    </w:lvl>
    <w:lvl w:ilvl="2">
      <w:start w:val="1"/>
      <w:numFmt w:val="lowerRoman"/>
      <w:lvlText w:val="%3."/>
      <w:lvlJc w:val="left"/>
      <w:pPr>
        <w:tabs>
          <w:tab w:val="num" w:pos="2280"/>
        </w:tabs>
        <w:ind w:left="2280"/>
      </w:pPr>
      <w:rPr>
        <w:color w:val="000000"/>
        <w:position w:val="0"/>
        <w:sz w:val="22"/>
        <w:szCs w:val="22"/>
      </w:rPr>
    </w:lvl>
    <w:lvl w:ilvl="3">
      <w:start w:val="1"/>
      <w:numFmt w:val="decimal"/>
      <w:lvlText w:val="%4."/>
      <w:lvlJc w:val="left"/>
      <w:pPr>
        <w:tabs>
          <w:tab w:val="num" w:pos="3000"/>
        </w:tabs>
        <w:ind w:left="3000"/>
      </w:pPr>
      <w:rPr>
        <w:color w:val="000000"/>
        <w:position w:val="0"/>
        <w:sz w:val="22"/>
        <w:szCs w:val="22"/>
      </w:rPr>
    </w:lvl>
    <w:lvl w:ilvl="4">
      <w:start w:val="1"/>
      <w:numFmt w:val="lowerLetter"/>
      <w:lvlText w:val="%5."/>
      <w:lvlJc w:val="left"/>
      <w:pPr>
        <w:tabs>
          <w:tab w:val="num" w:pos="3720"/>
        </w:tabs>
        <w:ind w:left="3720"/>
      </w:pPr>
      <w:rPr>
        <w:color w:val="000000"/>
        <w:position w:val="0"/>
        <w:sz w:val="22"/>
        <w:szCs w:val="22"/>
      </w:rPr>
    </w:lvl>
    <w:lvl w:ilvl="5">
      <w:start w:val="1"/>
      <w:numFmt w:val="lowerRoman"/>
      <w:lvlText w:val="%6."/>
      <w:lvlJc w:val="left"/>
      <w:pPr>
        <w:tabs>
          <w:tab w:val="num" w:pos="4440"/>
        </w:tabs>
        <w:ind w:left="4440"/>
      </w:pPr>
      <w:rPr>
        <w:color w:val="000000"/>
        <w:position w:val="0"/>
        <w:sz w:val="22"/>
        <w:szCs w:val="22"/>
      </w:rPr>
    </w:lvl>
    <w:lvl w:ilvl="6">
      <w:start w:val="1"/>
      <w:numFmt w:val="decimal"/>
      <w:lvlText w:val="%7."/>
      <w:lvlJc w:val="left"/>
      <w:pPr>
        <w:tabs>
          <w:tab w:val="num" w:pos="5160"/>
        </w:tabs>
        <w:ind w:left="5160"/>
      </w:pPr>
      <w:rPr>
        <w:color w:val="000000"/>
        <w:position w:val="0"/>
        <w:sz w:val="22"/>
        <w:szCs w:val="22"/>
      </w:rPr>
    </w:lvl>
    <w:lvl w:ilvl="7">
      <w:start w:val="1"/>
      <w:numFmt w:val="lowerLetter"/>
      <w:lvlText w:val="%8."/>
      <w:lvlJc w:val="left"/>
      <w:pPr>
        <w:tabs>
          <w:tab w:val="num" w:pos="5880"/>
        </w:tabs>
        <w:ind w:left="5880"/>
      </w:pPr>
      <w:rPr>
        <w:color w:val="000000"/>
        <w:position w:val="0"/>
        <w:sz w:val="22"/>
        <w:szCs w:val="22"/>
      </w:rPr>
    </w:lvl>
    <w:lvl w:ilvl="8">
      <w:start w:val="1"/>
      <w:numFmt w:val="lowerRoman"/>
      <w:lvlText w:val="%9."/>
      <w:lvlJc w:val="left"/>
      <w:pPr>
        <w:tabs>
          <w:tab w:val="num" w:pos="6600"/>
        </w:tabs>
        <w:ind w:left="6600"/>
      </w:pPr>
      <w:rPr>
        <w:color w:val="000000"/>
        <w:position w:val="0"/>
        <w:sz w:val="22"/>
        <w:szCs w:val="22"/>
      </w:rPr>
    </w:lvl>
  </w:abstractNum>
  <w:abstractNum w:abstractNumId="3">
    <w:nsid w:val="02757A3B"/>
    <w:multiLevelType w:val="multilevel"/>
    <w:tmpl w:val="D4E607D2"/>
    <w:styleLink w:val="List68"/>
    <w:lvl w:ilvl="0">
      <w:start w:val="1"/>
      <w:numFmt w:val="decimal"/>
      <w:lvlText w:val="%1."/>
      <w:lvlJc w:val="left"/>
      <w:pPr>
        <w:tabs>
          <w:tab w:val="num" w:pos="720"/>
        </w:tabs>
        <w:ind w:left="720"/>
      </w:pPr>
      <w:rPr>
        <w:color w:val="000000"/>
        <w:position w:val="0"/>
        <w:sz w:val="22"/>
        <w:szCs w:val="22"/>
      </w:rPr>
    </w:lvl>
    <w:lvl w:ilvl="1">
      <w:start w:val="1"/>
      <w:numFmt w:val="lowerLetter"/>
      <w:lvlText w:val="%2."/>
      <w:lvlJc w:val="left"/>
      <w:pPr>
        <w:tabs>
          <w:tab w:val="num" w:pos="1440"/>
        </w:tabs>
        <w:ind w:left="1440"/>
      </w:pPr>
      <w:rPr>
        <w:color w:val="000000"/>
        <w:position w:val="0"/>
        <w:sz w:val="22"/>
        <w:szCs w:val="22"/>
      </w:rPr>
    </w:lvl>
    <w:lvl w:ilvl="2">
      <w:start w:val="1"/>
      <w:numFmt w:val="decimal"/>
      <w:lvlText w:val="%3."/>
      <w:lvlJc w:val="left"/>
      <w:pPr>
        <w:tabs>
          <w:tab w:val="num" w:pos="2310"/>
        </w:tabs>
        <w:ind w:left="2310" w:hanging="33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4">
    <w:nsid w:val="02A51F21"/>
    <w:multiLevelType w:val="multilevel"/>
    <w:tmpl w:val="DD92B7D0"/>
    <w:styleLink w:val="List81"/>
    <w:lvl w:ilvl="0">
      <w:start w:val="1"/>
      <w:numFmt w:val="upperLetter"/>
      <w:lvlText w:val="%1."/>
      <w:lvlJc w:val="left"/>
      <w:pPr>
        <w:tabs>
          <w:tab w:val="num" w:pos="720"/>
        </w:tabs>
        <w:ind w:left="720"/>
      </w:pPr>
      <w:rPr>
        <w:b/>
        <w:bCs/>
        <w:color w:val="000000"/>
        <w:position w:val="0"/>
        <w:sz w:val="22"/>
        <w:szCs w:val="22"/>
      </w:rPr>
    </w:lvl>
    <w:lvl w:ilvl="1">
      <w:start w:val="1"/>
      <w:numFmt w:val="lowerLetter"/>
      <w:lvlText w:val="%2."/>
      <w:lvlJc w:val="left"/>
      <w:pPr>
        <w:tabs>
          <w:tab w:val="num" w:pos="1410"/>
        </w:tabs>
        <w:ind w:left="1410" w:hanging="33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5">
    <w:nsid w:val="02BC0699"/>
    <w:multiLevelType w:val="multilevel"/>
    <w:tmpl w:val="8182E810"/>
    <w:styleLink w:val="List83"/>
    <w:lvl w:ilvl="0">
      <w:start w:val="1"/>
      <w:numFmt w:val="upperLetter"/>
      <w:lvlText w:val="%1."/>
      <w:lvlJc w:val="left"/>
      <w:pPr>
        <w:tabs>
          <w:tab w:val="num" w:pos="2490"/>
        </w:tabs>
        <w:ind w:left="2490"/>
      </w:pPr>
      <w:rPr>
        <w:color w:val="000000"/>
        <w:position w:val="0"/>
        <w:sz w:val="22"/>
        <w:szCs w:val="22"/>
      </w:rPr>
    </w:lvl>
    <w:lvl w:ilvl="1">
      <w:start w:val="1"/>
      <w:numFmt w:val="decimal"/>
      <w:lvlText w:val="%2."/>
      <w:lvlJc w:val="left"/>
      <w:pPr>
        <w:tabs>
          <w:tab w:val="num" w:pos="3180"/>
        </w:tabs>
        <w:ind w:left="3180" w:hanging="330"/>
      </w:pPr>
      <w:rPr>
        <w:color w:val="000000"/>
        <w:position w:val="0"/>
        <w:sz w:val="22"/>
        <w:szCs w:val="22"/>
      </w:rPr>
    </w:lvl>
    <w:lvl w:ilvl="2">
      <w:start w:val="1"/>
      <w:numFmt w:val="lowerRoman"/>
      <w:lvlText w:val="%3."/>
      <w:lvlJc w:val="left"/>
      <w:pPr>
        <w:tabs>
          <w:tab w:val="num" w:pos="3930"/>
        </w:tabs>
        <w:ind w:left="3930"/>
      </w:pPr>
      <w:rPr>
        <w:color w:val="000000"/>
        <w:position w:val="0"/>
        <w:sz w:val="22"/>
        <w:szCs w:val="22"/>
      </w:rPr>
    </w:lvl>
    <w:lvl w:ilvl="3">
      <w:start w:val="1"/>
      <w:numFmt w:val="decimal"/>
      <w:lvlText w:val="%4."/>
      <w:lvlJc w:val="left"/>
      <w:pPr>
        <w:tabs>
          <w:tab w:val="num" w:pos="4650"/>
        </w:tabs>
        <w:ind w:left="4650"/>
      </w:pPr>
      <w:rPr>
        <w:color w:val="000000"/>
        <w:position w:val="0"/>
        <w:sz w:val="22"/>
        <w:szCs w:val="22"/>
      </w:rPr>
    </w:lvl>
    <w:lvl w:ilvl="4">
      <w:start w:val="1"/>
      <w:numFmt w:val="lowerLetter"/>
      <w:lvlText w:val="%5."/>
      <w:lvlJc w:val="left"/>
      <w:pPr>
        <w:tabs>
          <w:tab w:val="num" w:pos="5370"/>
        </w:tabs>
        <w:ind w:left="5370"/>
      </w:pPr>
      <w:rPr>
        <w:color w:val="000000"/>
        <w:position w:val="0"/>
        <w:sz w:val="22"/>
        <w:szCs w:val="22"/>
      </w:rPr>
    </w:lvl>
    <w:lvl w:ilvl="5">
      <w:start w:val="1"/>
      <w:numFmt w:val="lowerRoman"/>
      <w:lvlText w:val="%6."/>
      <w:lvlJc w:val="left"/>
      <w:pPr>
        <w:tabs>
          <w:tab w:val="num" w:pos="6090"/>
        </w:tabs>
        <w:ind w:left="6090"/>
      </w:pPr>
      <w:rPr>
        <w:color w:val="000000"/>
        <w:position w:val="0"/>
        <w:sz w:val="22"/>
        <w:szCs w:val="22"/>
      </w:rPr>
    </w:lvl>
    <w:lvl w:ilvl="6">
      <w:start w:val="1"/>
      <w:numFmt w:val="decimal"/>
      <w:lvlText w:val="%7."/>
      <w:lvlJc w:val="left"/>
      <w:pPr>
        <w:tabs>
          <w:tab w:val="num" w:pos="6810"/>
        </w:tabs>
        <w:ind w:left="6810"/>
      </w:pPr>
      <w:rPr>
        <w:color w:val="000000"/>
        <w:position w:val="0"/>
        <w:sz w:val="22"/>
        <w:szCs w:val="22"/>
      </w:rPr>
    </w:lvl>
    <w:lvl w:ilvl="7">
      <w:start w:val="1"/>
      <w:numFmt w:val="lowerLetter"/>
      <w:lvlText w:val="%8."/>
      <w:lvlJc w:val="left"/>
      <w:pPr>
        <w:tabs>
          <w:tab w:val="num" w:pos="7530"/>
        </w:tabs>
        <w:ind w:left="7530"/>
      </w:pPr>
      <w:rPr>
        <w:color w:val="000000"/>
        <w:position w:val="0"/>
        <w:sz w:val="22"/>
        <w:szCs w:val="22"/>
      </w:rPr>
    </w:lvl>
    <w:lvl w:ilvl="8">
      <w:start w:val="1"/>
      <w:numFmt w:val="lowerRoman"/>
      <w:lvlText w:val="%9."/>
      <w:lvlJc w:val="left"/>
      <w:pPr>
        <w:tabs>
          <w:tab w:val="num" w:pos="8250"/>
        </w:tabs>
        <w:ind w:left="8250"/>
      </w:pPr>
      <w:rPr>
        <w:color w:val="000000"/>
        <w:position w:val="0"/>
        <w:sz w:val="22"/>
        <w:szCs w:val="22"/>
      </w:rPr>
    </w:lvl>
  </w:abstractNum>
  <w:abstractNum w:abstractNumId="6">
    <w:nsid w:val="04A56521"/>
    <w:multiLevelType w:val="multilevel"/>
    <w:tmpl w:val="CAD0102E"/>
    <w:styleLink w:val="List32"/>
    <w:lvl w:ilvl="0">
      <w:start w:val="1"/>
      <w:numFmt w:val="bullet"/>
      <w:lvlText w:val="-"/>
      <w:lvlJc w:val="left"/>
      <w:pPr>
        <w:tabs>
          <w:tab w:val="num" w:pos="1068"/>
        </w:tabs>
        <w:ind w:left="1068"/>
      </w:pPr>
      <w:rPr>
        <w:color w:val="000000"/>
        <w:position w:val="0"/>
        <w:sz w:val="20"/>
        <w:szCs w:val="20"/>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0"/>
        <w:szCs w:val="20"/>
      </w:rPr>
    </w:lvl>
    <w:lvl w:ilvl="3">
      <w:numFmt w:val="bullet"/>
      <w:lvlText w:val="•"/>
      <w:lvlJc w:val="left"/>
      <w:pPr>
        <w:tabs>
          <w:tab w:val="num" w:pos="1290"/>
        </w:tabs>
        <w:ind w:left="1290" w:hanging="330"/>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0"/>
        <w:szCs w:val="20"/>
      </w:rPr>
    </w:lvl>
    <w:lvl w:ilvl="8">
      <w:start w:val="1"/>
      <w:numFmt w:val="upperRoman"/>
      <w:lvlText w:val="%9."/>
      <w:lvlJc w:val="left"/>
      <w:pPr>
        <w:tabs>
          <w:tab w:val="num" w:pos="7188"/>
        </w:tabs>
        <w:ind w:left="7188"/>
      </w:pPr>
      <w:rPr>
        <w:color w:val="000000"/>
        <w:position w:val="0"/>
        <w:sz w:val="22"/>
        <w:szCs w:val="22"/>
      </w:rPr>
    </w:lvl>
  </w:abstractNum>
  <w:abstractNum w:abstractNumId="7">
    <w:nsid w:val="05286F65"/>
    <w:multiLevelType w:val="multilevel"/>
    <w:tmpl w:val="829AE414"/>
    <w:styleLink w:val="List53"/>
    <w:lvl w:ilvl="0">
      <w:start w:val="1"/>
      <w:numFmt w:val="decimal"/>
      <w:lvlText w:val="%1."/>
      <w:lvlJc w:val="left"/>
      <w:pPr>
        <w:tabs>
          <w:tab w:val="num" w:pos="690"/>
        </w:tabs>
        <w:ind w:left="690" w:hanging="330"/>
      </w:pPr>
      <w:rPr>
        <w:b/>
        <w:bCs/>
        <w:color w:val="000000"/>
        <w:position w:val="0"/>
        <w:sz w:val="22"/>
        <w:szCs w:val="22"/>
      </w:rPr>
    </w:lvl>
    <w:lvl w:ilvl="1">
      <w:start w:val="1"/>
      <w:numFmt w:val="lowerLetter"/>
      <w:lvlText w:val="%2."/>
      <w:lvlJc w:val="left"/>
      <w:pPr>
        <w:tabs>
          <w:tab w:val="num" w:pos="1440"/>
        </w:tabs>
        <w:ind w:left="144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8">
    <w:nsid w:val="05D43D1E"/>
    <w:multiLevelType w:val="multilevel"/>
    <w:tmpl w:val="B2587338"/>
    <w:styleLink w:val="List65"/>
    <w:lvl w:ilvl="0">
      <w:start w:val="1"/>
      <w:numFmt w:val="bullet"/>
      <w:lvlText w:val="-"/>
      <w:lvlJc w:val="left"/>
      <w:pPr>
        <w:tabs>
          <w:tab w:val="num" w:pos="1038"/>
        </w:tabs>
        <w:ind w:left="1038" w:hanging="330"/>
      </w:pPr>
      <w:rPr>
        <w:color w:val="000000"/>
        <w:position w:val="0"/>
        <w:sz w:val="24"/>
        <w:szCs w:val="24"/>
      </w:rPr>
    </w:lvl>
    <w:lvl w:ilvl="1">
      <w:start w:val="1"/>
      <w:numFmt w:val="bullet"/>
      <w:lvlText w:val="-"/>
      <w:lvlJc w:val="left"/>
      <w:pPr>
        <w:tabs>
          <w:tab w:val="num" w:pos="1068"/>
        </w:tabs>
        <w:ind w:left="1068"/>
      </w:pPr>
      <w:rPr>
        <w:color w:val="000000"/>
        <w:position w:val="0"/>
        <w:sz w:val="22"/>
        <w:szCs w:val="22"/>
      </w:rPr>
    </w:lvl>
    <w:lvl w:ilvl="2">
      <w:start w:val="1"/>
      <w:numFmt w:val="bullet"/>
      <w:lvlText w:val="-"/>
      <w:lvlJc w:val="left"/>
      <w:pPr>
        <w:tabs>
          <w:tab w:val="num" w:pos="1068"/>
        </w:tabs>
        <w:ind w:left="1068"/>
      </w:pPr>
      <w:rPr>
        <w:color w:val="000000"/>
        <w:position w:val="0"/>
        <w:sz w:val="22"/>
        <w:szCs w:val="22"/>
      </w:rPr>
    </w:lvl>
    <w:lvl w:ilvl="3">
      <w:start w:val="1"/>
      <w:numFmt w:val="bullet"/>
      <w:lvlText w:val="-"/>
      <w:lvlJc w:val="left"/>
      <w:pPr>
        <w:tabs>
          <w:tab w:val="num" w:pos="1068"/>
        </w:tabs>
        <w:ind w:left="1068"/>
      </w:pPr>
      <w:rPr>
        <w:color w:val="000000"/>
        <w:position w:val="0"/>
        <w:sz w:val="22"/>
        <w:szCs w:val="22"/>
      </w:rPr>
    </w:lvl>
    <w:lvl w:ilvl="4">
      <w:start w:val="1"/>
      <w:numFmt w:val="bullet"/>
      <w:lvlText w:val="-"/>
      <w:lvlJc w:val="left"/>
      <w:pPr>
        <w:tabs>
          <w:tab w:val="num" w:pos="1068"/>
        </w:tabs>
        <w:ind w:left="1068"/>
      </w:pPr>
      <w:rPr>
        <w:color w:val="000000"/>
        <w:position w:val="0"/>
        <w:sz w:val="22"/>
        <w:szCs w:val="22"/>
      </w:rPr>
    </w:lvl>
    <w:lvl w:ilvl="5">
      <w:start w:val="1"/>
      <w:numFmt w:val="bullet"/>
      <w:lvlText w:val="-"/>
      <w:lvlJc w:val="left"/>
      <w:pPr>
        <w:tabs>
          <w:tab w:val="num" w:pos="1068"/>
        </w:tabs>
        <w:ind w:left="1068"/>
      </w:pPr>
      <w:rPr>
        <w:color w:val="000000"/>
        <w:position w:val="0"/>
        <w:sz w:val="22"/>
        <w:szCs w:val="22"/>
      </w:rPr>
    </w:lvl>
    <w:lvl w:ilvl="6">
      <w:start w:val="1"/>
      <w:numFmt w:val="bullet"/>
      <w:lvlText w:val="-"/>
      <w:lvlJc w:val="left"/>
      <w:pPr>
        <w:tabs>
          <w:tab w:val="num" w:pos="1068"/>
        </w:tabs>
        <w:ind w:left="1068"/>
      </w:pPr>
      <w:rPr>
        <w:color w:val="000000"/>
        <w:position w:val="0"/>
        <w:sz w:val="22"/>
        <w:szCs w:val="22"/>
      </w:rPr>
    </w:lvl>
    <w:lvl w:ilvl="7">
      <w:start w:val="1"/>
      <w:numFmt w:val="bullet"/>
      <w:lvlText w:val="-"/>
      <w:lvlJc w:val="left"/>
      <w:pPr>
        <w:tabs>
          <w:tab w:val="num" w:pos="1068"/>
        </w:tabs>
        <w:ind w:left="1068"/>
      </w:pPr>
      <w:rPr>
        <w:color w:val="000000"/>
        <w:position w:val="0"/>
        <w:sz w:val="22"/>
        <w:szCs w:val="22"/>
      </w:rPr>
    </w:lvl>
    <w:lvl w:ilvl="8">
      <w:start w:val="1"/>
      <w:numFmt w:val="bullet"/>
      <w:lvlText w:val="-"/>
      <w:lvlJc w:val="left"/>
      <w:pPr>
        <w:tabs>
          <w:tab w:val="num" w:pos="1068"/>
        </w:tabs>
        <w:ind w:left="1068"/>
      </w:pPr>
      <w:rPr>
        <w:color w:val="000000"/>
        <w:position w:val="0"/>
        <w:sz w:val="22"/>
        <w:szCs w:val="22"/>
      </w:rPr>
    </w:lvl>
  </w:abstractNum>
  <w:abstractNum w:abstractNumId="9">
    <w:nsid w:val="05EF4DD0"/>
    <w:multiLevelType w:val="multilevel"/>
    <w:tmpl w:val="C8EA2BAC"/>
    <w:styleLink w:val="List106"/>
    <w:lvl w:ilvl="0">
      <w:start w:val="2"/>
      <w:numFmt w:val="decimal"/>
      <w:lvlText w:val="%1."/>
      <w:lvlJc w:val="left"/>
      <w:pPr>
        <w:tabs>
          <w:tab w:val="num" w:pos="810"/>
        </w:tabs>
        <w:ind w:left="810" w:hanging="330"/>
      </w:pPr>
      <w:rPr>
        <w:color w:val="000000"/>
        <w:position w:val="0"/>
        <w:sz w:val="22"/>
        <w:szCs w:val="22"/>
      </w:rPr>
    </w:lvl>
    <w:lvl w:ilvl="1">
      <w:start w:val="1"/>
      <w:numFmt w:val="decimal"/>
      <w:lvlText w:val="%2."/>
      <w:lvlJc w:val="left"/>
      <w:pPr>
        <w:tabs>
          <w:tab w:val="num" w:pos="1560"/>
        </w:tabs>
        <w:ind w:left="1560"/>
      </w:pPr>
      <w:rPr>
        <w:color w:val="000000"/>
        <w:position w:val="0"/>
        <w:sz w:val="22"/>
        <w:szCs w:val="22"/>
      </w:rPr>
    </w:lvl>
    <w:lvl w:ilvl="2">
      <w:start w:val="1"/>
      <w:numFmt w:val="lowerRoman"/>
      <w:lvlText w:val="%3."/>
      <w:lvlJc w:val="left"/>
      <w:pPr>
        <w:tabs>
          <w:tab w:val="num" w:pos="2280"/>
        </w:tabs>
        <w:ind w:left="2280"/>
      </w:pPr>
      <w:rPr>
        <w:color w:val="000000"/>
        <w:position w:val="0"/>
        <w:sz w:val="22"/>
        <w:szCs w:val="22"/>
      </w:rPr>
    </w:lvl>
    <w:lvl w:ilvl="3">
      <w:start w:val="1"/>
      <w:numFmt w:val="decimal"/>
      <w:lvlText w:val="%4."/>
      <w:lvlJc w:val="left"/>
      <w:pPr>
        <w:tabs>
          <w:tab w:val="num" w:pos="3000"/>
        </w:tabs>
        <w:ind w:left="3000"/>
      </w:pPr>
      <w:rPr>
        <w:color w:val="000000"/>
        <w:position w:val="0"/>
        <w:sz w:val="22"/>
        <w:szCs w:val="22"/>
      </w:rPr>
    </w:lvl>
    <w:lvl w:ilvl="4">
      <w:start w:val="1"/>
      <w:numFmt w:val="lowerLetter"/>
      <w:lvlText w:val="%5."/>
      <w:lvlJc w:val="left"/>
      <w:pPr>
        <w:tabs>
          <w:tab w:val="num" w:pos="3720"/>
        </w:tabs>
        <w:ind w:left="3720"/>
      </w:pPr>
      <w:rPr>
        <w:color w:val="000000"/>
        <w:position w:val="0"/>
        <w:sz w:val="22"/>
        <w:szCs w:val="22"/>
      </w:rPr>
    </w:lvl>
    <w:lvl w:ilvl="5">
      <w:start w:val="1"/>
      <w:numFmt w:val="lowerRoman"/>
      <w:lvlText w:val="%6."/>
      <w:lvlJc w:val="left"/>
      <w:pPr>
        <w:tabs>
          <w:tab w:val="num" w:pos="4440"/>
        </w:tabs>
        <w:ind w:left="4440"/>
      </w:pPr>
      <w:rPr>
        <w:color w:val="000000"/>
        <w:position w:val="0"/>
        <w:sz w:val="22"/>
        <w:szCs w:val="22"/>
      </w:rPr>
    </w:lvl>
    <w:lvl w:ilvl="6">
      <w:start w:val="1"/>
      <w:numFmt w:val="decimal"/>
      <w:lvlText w:val="%7."/>
      <w:lvlJc w:val="left"/>
      <w:pPr>
        <w:tabs>
          <w:tab w:val="num" w:pos="5160"/>
        </w:tabs>
        <w:ind w:left="5160"/>
      </w:pPr>
      <w:rPr>
        <w:color w:val="000000"/>
        <w:position w:val="0"/>
        <w:sz w:val="22"/>
        <w:szCs w:val="22"/>
      </w:rPr>
    </w:lvl>
    <w:lvl w:ilvl="7">
      <w:start w:val="1"/>
      <w:numFmt w:val="lowerLetter"/>
      <w:lvlText w:val="%8."/>
      <w:lvlJc w:val="left"/>
      <w:pPr>
        <w:tabs>
          <w:tab w:val="num" w:pos="5880"/>
        </w:tabs>
        <w:ind w:left="5880"/>
      </w:pPr>
      <w:rPr>
        <w:color w:val="000000"/>
        <w:position w:val="0"/>
        <w:sz w:val="22"/>
        <w:szCs w:val="22"/>
      </w:rPr>
    </w:lvl>
    <w:lvl w:ilvl="8">
      <w:start w:val="1"/>
      <w:numFmt w:val="lowerRoman"/>
      <w:lvlText w:val="%9."/>
      <w:lvlJc w:val="left"/>
      <w:pPr>
        <w:tabs>
          <w:tab w:val="num" w:pos="6600"/>
        </w:tabs>
        <w:ind w:left="6600"/>
      </w:pPr>
      <w:rPr>
        <w:color w:val="000000"/>
        <w:position w:val="0"/>
        <w:sz w:val="22"/>
        <w:szCs w:val="22"/>
      </w:rPr>
    </w:lvl>
  </w:abstractNum>
  <w:abstractNum w:abstractNumId="10">
    <w:nsid w:val="06D5493E"/>
    <w:multiLevelType w:val="multilevel"/>
    <w:tmpl w:val="38E050AE"/>
    <w:styleLink w:val="List125"/>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1">
    <w:nsid w:val="075B5395"/>
    <w:multiLevelType w:val="multilevel"/>
    <w:tmpl w:val="90DA67AA"/>
    <w:styleLink w:val="List52"/>
    <w:lvl w:ilvl="0">
      <w:start w:val="1"/>
      <w:numFmt w:val="decimal"/>
      <w:lvlText w:val="%1."/>
      <w:lvlJc w:val="left"/>
      <w:pPr>
        <w:tabs>
          <w:tab w:val="num" w:pos="720"/>
        </w:tabs>
        <w:ind w:left="720"/>
      </w:pPr>
      <w:rPr>
        <w:b/>
        <w:bCs/>
        <w:color w:val="000000"/>
        <w:position w:val="0"/>
        <w:sz w:val="22"/>
        <w:szCs w:val="22"/>
      </w:rPr>
    </w:lvl>
    <w:lvl w:ilvl="1">
      <w:start w:val="5"/>
      <w:numFmt w:val="upperLetter"/>
      <w:lvlText w:val="%2."/>
      <w:lvlJc w:val="left"/>
      <w:pPr>
        <w:tabs>
          <w:tab w:val="num" w:pos="330"/>
        </w:tabs>
        <w:ind w:left="330" w:hanging="330"/>
      </w:pPr>
      <w:rPr>
        <w:b/>
        <w:bCs/>
        <w:color w:val="000000"/>
        <w:position w:val="0"/>
        <w:sz w:val="22"/>
        <w:szCs w:val="22"/>
      </w:rPr>
    </w:lvl>
    <w:lvl w:ilvl="2">
      <w:start w:val="1"/>
      <w:numFmt w:val="lowerLetter"/>
      <w:lvlText w:val="%3)"/>
      <w:lvlJc w:val="left"/>
      <w:pPr>
        <w:tabs>
          <w:tab w:val="num" w:pos="2340"/>
        </w:tabs>
        <w:ind w:left="234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12">
    <w:nsid w:val="076E3407"/>
    <w:multiLevelType w:val="multilevel"/>
    <w:tmpl w:val="65FAB80E"/>
    <w:styleLink w:val="List30"/>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3">
    <w:nsid w:val="079042C4"/>
    <w:multiLevelType w:val="multilevel"/>
    <w:tmpl w:val="253CCBB2"/>
    <w:styleLink w:val="List73"/>
    <w:lvl w:ilvl="0">
      <w:start w:val="1"/>
      <w:numFmt w:val="upperLetter"/>
      <w:lvlText w:val="%1."/>
      <w:lvlJc w:val="left"/>
      <w:pPr>
        <w:tabs>
          <w:tab w:val="num" w:pos="3165"/>
        </w:tabs>
        <w:ind w:left="3165" w:hanging="330"/>
      </w:pPr>
      <w:rPr>
        <w:color w:val="000000"/>
        <w:position w:val="0"/>
        <w:sz w:val="22"/>
        <w:szCs w:val="22"/>
      </w:rPr>
    </w:lvl>
    <w:lvl w:ilvl="1">
      <w:start w:val="1"/>
      <w:numFmt w:val="upperLetter"/>
      <w:lvlText w:val="%1.%2."/>
      <w:lvlJc w:val="left"/>
      <w:pPr>
        <w:tabs>
          <w:tab w:val="num" w:pos="3195"/>
        </w:tabs>
        <w:ind w:left="3195"/>
      </w:pPr>
      <w:rPr>
        <w:color w:val="000000"/>
        <w:position w:val="0"/>
        <w:sz w:val="22"/>
        <w:szCs w:val="22"/>
      </w:rPr>
    </w:lvl>
    <w:lvl w:ilvl="2">
      <w:start w:val="1"/>
      <w:numFmt w:val="upperLetter"/>
      <w:lvlText w:val="%2."/>
      <w:lvlJc w:val="left"/>
      <w:pPr>
        <w:tabs>
          <w:tab w:val="num" w:pos="4635"/>
        </w:tabs>
        <w:ind w:left="3915"/>
      </w:pPr>
      <w:rPr>
        <w:color w:val="000000"/>
        <w:position w:val="0"/>
        <w:sz w:val="22"/>
        <w:szCs w:val="22"/>
      </w:rPr>
    </w:lvl>
    <w:lvl w:ilvl="3">
      <w:start w:val="1"/>
      <w:numFmt w:val="upperLetter"/>
      <w:lvlText w:val="%2."/>
      <w:lvlJc w:val="left"/>
      <w:pPr>
        <w:tabs>
          <w:tab w:val="num" w:pos="6075"/>
        </w:tabs>
        <w:ind w:left="4635"/>
      </w:pPr>
      <w:rPr>
        <w:color w:val="000000"/>
        <w:position w:val="0"/>
        <w:sz w:val="22"/>
        <w:szCs w:val="22"/>
      </w:rPr>
    </w:lvl>
    <w:lvl w:ilvl="4">
      <w:start w:val="1"/>
      <w:numFmt w:val="upperLetter"/>
      <w:lvlText w:val="%2."/>
      <w:lvlJc w:val="left"/>
      <w:pPr>
        <w:tabs>
          <w:tab w:val="num" w:pos="7515"/>
        </w:tabs>
        <w:ind w:left="5355"/>
      </w:pPr>
      <w:rPr>
        <w:color w:val="000000"/>
        <w:position w:val="0"/>
        <w:sz w:val="22"/>
        <w:szCs w:val="22"/>
      </w:rPr>
    </w:lvl>
    <w:lvl w:ilvl="5">
      <w:start w:val="1"/>
      <w:numFmt w:val="upperLetter"/>
      <w:lvlText w:val="%2."/>
      <w:lvlJc w:val="left"/>
      <w:pPr>
        <w:tabs>
          <w:tab w:val="num" w:pos="8955"/>
        </w:tabs>
        <w:ind w:left="6075"/>
      </w:pPr>
      <w:rPr>
        <w:color w:val="000000"/>
        <w:position w:val="0"/>
        <w:sz w:val="22"/>
        <w:szCs w:val="22"/>
      </w:rPr>
    </w:lvl>
    <w:lvl w:ilvl="6">
      <w:start w:val="1"/>
      <w:numFmt w:val="upperLetter"/>
      <w:lvlText w:val="%2."/>
      <w:lvlJc w:val="left"/>
      <w:pPr>
        <w:tabs>
          <w:tab w:val="num" w:pos="10395"/>
        </w:tabs>
        <w:ind w:left="6795"/>
      </w:pPr>
      <w:rPr>
        <w:color w:val="000000"/>
        <w:position w:val="0"/>
        <w:sz w:val="22"/>
        <w:szCs w:val="22"/>
      </w:rPr>
    </w:lvl>
    <w:lvl w:ilvl="7">
      <w:start w:val="1"/>
      <w:numFmt w:val="upperLetter"/>
      <w:lvlText w:val="%2."/>
      <w:lvlJc w:val="left"/>
      <w:pPr>
        <w:tabs>
          <w:tab w:val="num" w:pos="11835"/>
        </w:tabs>
        <w:ind w:left="7515"/>
      </w:pPr>
      <w:rPr>
        <w:color w:val="000000"/>
        <w:position w:val="0"/>
        <w:sz w:val="22"/>
        <w:szCs w:val="22"/>
      </w:rPr>
    </w:lvl>
    <w:lvl w:ilvl="8">
      <w:start w:val="1"/>
      <w:numFmt w:val="upperLetter"/>
      <w:lvlText w:val="%2."/>
      <w:lvlJc w:val="left"/>
      <w:pPr>
        <w:tabs>
          <w:tab w:val="num" w:pos="13275"/>
        </w:tabs>
        <w:ind w:left="8235"/>
      </w:pPr>
      <w:rPr>
        <w:color w:val="000000"/>
        <w:position w:val="0"/>
        <w:sz w:val="22"/>
        <w:szCs w:val="22"/>
      </w:rPr>
    </w:lvl>
  </w:abstractNum>
  <w:abstractNum w:abstractNumId="14">
    <w:nsid w:val="07D65260"/>
    <w:multiLevelType w:val="multilevel"/>
    <w:tmpl w:val="DE10C4BA"/>
    <w:styleLink w:val="List62"/>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5">
    <w:nsid w:val="091F227D"/>
    <w:multiLevelType w:val="multilevel"/>
    <w:tmpl w:val="8AF8CBAE"/>
    <w:styleLink w:val="List50"/>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6">
    <w:nsid w:val="0ADF31AE"/>
    <w:multiLevelType w:val="multilevel"/>
    <w:tmpl w:val="495A78EE"/>
    <w:styleLink w:val="List79"/>
    <w:lvl w:ilvl="0">
      <w:start w:val="1"/>
      <w:numFmt w:val="upperLetter"/>
      <w:lvlText w:val="%1."/>
      <w:lvlJc w:val="left"/>
      <w:pPr>
        <w:tabs>
          <w:tab w:val="num" w:pos="720"/>
        </w:tabs>
        <w:ind w:left="720"/>
      </w:pPr>
      <w:rPr>
        <w:color w:val="000000"/>
        <w:position w:val="0"/>
        <w:sz w:val="22"/>
        <w:szCs w:val="22"/>
      </w:rPr>
    </w:lvl>
    <w:lvl w:ilvl="1">
      <w:start w:val="1"/>
      <w:numFmt w:val="decimal"/>
      <w:lvlText w:val="%2."/>
      <w:lvlJc w:val="left"/>
      <w:pPr>
        <w:tabs>
          <w:tab w:val="num" w:pos="1410"/>
        </w:tabs>
        <w:ind w:left="1410" w:hanging="33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7">
    <w:nsid w:val="0B557FF4"/>
    <w:multiLevelType w:val="multilevel"/>
    <w:tmpl w:val="27C65796"/>
    <w:styleLink w:val="List120"/>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8">
    <w:nsid w:val="0CE13E6B"/>
    <w:multiLevelType w:val="multilevel"/>
    <w:tmpl w:val="B4FA64F6"/>
    <w:styleLink w:val="List136"/>
    <w:lvl w:ilvl="0">
      <w:start w:val="1"/>
      <w:numFmt w:val="decimal"/>
      <w:lvlText w:val="%1."/>
      <w:lvlJc w:val="left"/>
      <w:pPr>
        <w:tabs>
          <w:tab w:val="num" w:pos="720"/>
        </w:tabs>
        <w:ind w:left="720"/>
      </w:pPr>
      <w:rPr>
        <w:b/>
        <w:bCs/>
        <w:color w:val="000000"/>
        <w:position w:val="0"/>
        <w:sz w:val="22"/>
        <w:szCs w:val="22"/>
      </w:rPr>
    </w:lvl>
    <w:lvl w:ilvl="1">
      <w:start w:val="1"/>
      <w:numFmt w:val="decimal"/>
      <w:lvlText w:val="%2."/>
      <w:lvlJc w:val="left"/>
      <w:pPr>
        <w:tabs>
          <w:tab w:val="num" w:pos="1410"/>
        </w:tabs>
        <w:ind w:left="1410" w:hanging="33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19">
    <w:nsid w:val="0E4638E9"/>
    <w:multiLevelType w:val="multilevel"/>
    <w:tmpl w:val="05609D10"/>
    <w:styleLink w:val="List7"/>
    <w:lvl w:ilvl="0">
      <w:start w:val="1"/>
      <w:numFmt w:val="decimal"/>
      <w:lvlText w:val="%1."/>
      <w:lvlJc w:val="left"/>
      <w:pPr>
        <w:tabs>
          <w:tab w:val="num" w:pos="1770"/>
        </w:tabs>
        <w:ind w:left="1770" w:hanging="330"/>
      </w:pPr>
      <w:rPr>
        <w:b/>
        <w:bCs/>
        <w:color w:val="000000"/>
        <w:position w:val="0"/>
        <w:sz w:val="22"/>
        <w:szCs w:val="22"/>
      </w:rPr>
    </w:lvl>
    <w:lvl w:ilvl="1">
      <w:start w:val="1"/>
      <w:numFmt w:val="decimal"/>
      <w:lvlText w:val="%1.%2."/>
      <w:lvlJc w:val="left"/>
      <w:pPr>
        <w:tabs>
          <w:tab w:val="num" w:pos="1800"/>
        </w:tabs>
        <w:ind w:left="1800"/>
      </w:pPr>
      <w:rPr>
        <w:b/>
        <w:bCs/>
        <w:color w:val="000000"/>
        <w:position w:val="0"/>
        <w:sz w:val="22"/>
        <w:szCs w:val="22"/>
      </w:rPr>
    </w:lvl>
    <w:lvl w:ilvl="2">
      <w:start w:val="1"/>
      <w:numFmt w:val="decimal"/>
      <w:lvlText w:val="%2."/>
      <w:lvlJc w:val="left"/>
      <w:pPr>
        <w:tabs>
          <w:tab w:val="num" w:pos="3240"/>
        </w:tabs>
        <w:ind w:left="2520"/>
      </w:pPr>
      <w:rPr>
        <w:b/>
        <w:bCs/>
        <w:color w:val="000000"/>
        <w:position w:val="0"/>
        <w:sz w:val="22"/>
        <w:szCs w:val="22"/>
      </w:rPr>
    </w:lvl>
    <w:lvl w:ilvl="3">
      <w:start w:val="1"/>
      <w:numFmt w:val="decimal"/>
      <w:lvlText w:val="%2."/>
      <w:lvlJc w:val="left"/>
      <w:pPr>
        <w:tabs>
          <w:tab w:val="num" w:pos="4680"/>
        </w:tabs>
        <w:ind w:left="3240"/>
      </w:pPr>
      <w:rPr>
        <w:b/>
        <w:bCs/>
        <w:color w:val="000000"/>
        <w:position w:val="0"/>
        <w:sz w:val="22"/>
        <w:szCs w:val="22"/>
      </w:rPr>
    </w:lvl>
    <w:lvl w:ilvl="4">
      <w:start w:val="1"/>
      <w:numFmt w:val="decimal"/>
      <w:lvlText w:val="%2."/>
      <w:lvlJc w:val="left"/>
      <w:pPr>
        <w:tabs>
          <w:tab w:val="num" w:pos="6120"/>
        </w:tabs>
        <w:ind w:left="3960"/>
      </w:pPr>
      <w:rPr>
        <w:b/>
        <w:bCs/>
        <w:color w:val="000000"/>
        <w:position w:val="0"/>
        <w:sz w:val="22"/>
        <w:szCs w:val="22"/>
      </w:rPr>
    </w:lvl>
    <w:lvl w:ilvl="5">
      <w:start w:val="1"/>
      <w:numFmt w:val="decimal"/>
      <w:lvlText w:val="%2."/>
      <w:lvlJc w:val="left"/>
      <w:pPr>
        <w:tabs>
          <w:tab w:val="num" w:pos="7560"/>
        </w:tabs>
        <w:ind w:left="4680"/>
      </w:pPr>
      <w:rPr>
        <w:b/>
        <w:bCs/>
        <w:color w:val="000000"/>
        <w:position w:val="0"/>
        <w:sz w:val="22"/>
        <w:szCs w:val="22"/>
      </w:rPr>
    </w:lvl>
    <w:lvl w:ilvl="6">
      <w:start w:val="1"/>
      <w:numFmt w:val="decimal"/>
      <w:lvlText w:val="%2."/>
      <w:lvlJc w:val="left"/>
      <w:pPr>
        <w:tabs>
          <w:tab w:val="num" w:pos="9000"/>
        </w:tabs>
        <w:ind w:left="5400"/>
      </w:pPr>
      <w:rPr>
        <w:b/>
        <w:bCs/>
        <w:color w:val="000000"/>
        <w:position w:val="0"/>
        <w:sz w:val="22"/>
        <w:szCs w:val="22"/>
      </w:rPr>
    </w:lvl>
    <w:lvl w:ilvl="7">
      <w:start w:val="1"/>
      <w:numFmt w:val="decimal"/>
      <w:lvlText w:val="%2."/>
      <w:lvlJc w:val="left"/>
      <w:pPr>
        <w:tabs>
          <w:tab w:val="num" w:pos="10440"/>
        </w:tabs>
        <w:ind w:left="6120"/>
      </w:pPr>
      <w:rPr>
        <w:b/>
        <w:bCs/>
        <w:color w:val="000000"/>
        <w:position w:val="0"/>
        <w:sz w:val="22"/>
        <w:szCs w:val="22"/>
      </w:rPr>
    </w:lvl>
    <w:lvl w:ilvl="8">
      <w:start w:val="1"/>
      <w:numFmt w:val="decimal"/>
      <w:lvlText w:val="%2."/>
      <w:lvlJc w:val="left"/>
      <w:pPr>
        <w:tabs>
          <w:tab w:val="num" w:pos="11880"/>
        </w:tabs>
        <w:ind w:left="6840"/>
      </w:pPr>
      <w:rPr>
        <w:b/>
        <w:bCs/>
        <w:color w:val="000000"/>
        <w:position w:val="0"/>
        <w:sz w:val="22"/>
        <w:szCs w:val="22"/>
      </w:rPr>
    </w:lvl>
  </w:abstractNum>
  <w:abstractNum w:abstractNumId="20">
    <w:nsid w:val="0F1428D7"/>
    <w:multiLevelType w:val="multilevel"/>
    <w:tmpl w:val="013EE28C"/>
    <w:styleLink w:val="List61"/>
    <w:lvl w:ilvl="0">
      <w:numFmt w:val="bullet"/>
      <w:lvlText w:val="-"/>
      <w:lvlJc w:val="left"/>
      <w:pPr>
        <w:tabs>
          <w:tab w:val="num" w:pos="1038"/>
        </w:tabs>
        <w:ind w:left="1038" w:hanging="330"/>
      </w:pPr>
      <w:rPr>
        <w:color w:val="000000"/>
        <w:position w:val="0"/>
        <w:sz w:val="22"/>
        <w:szCs w:val="22"/>
        <w:lang w:val="de-DE"/>
      </w:rPr>
    </w:lvl>
    <w:lvl w:ilvl="1">
      <w:start w:val="1"/>
      <w:numFmt w:val="decimal"/>
      <w:lvlText w:val="%2."/>
      <w:lvlJc w:val="left"/>
      <w:pPr>
        <w:tabs>
          <w:tab w:val="num" w:pos="1788"/>
        </w:tabs>
        <w:ind w:left="1788"/>
      </w:pPr>
      <w:rPr>
        <w:color w:val="000000"/>
        <w:position w:val="0"/>
        <w:sz w:val="22"/>
        <w:szCs w:val="22"/>
        <w:lang w:val="de-DE"/>
      </w:rPr>
    </w:lvl>
    <w:lvl w:ilvl="2">
      <w:start w:val="1"/>
      <w:numFmt w:val="bullet"/>
      <w:lvlText w:val=""/>
      <w:lvlJc w:val="left"/>
      <w:pPr>
        <w:tabs>
          <w:tab w:val="num" w:pos="2508"/>
        </w:tabs>
        <w:ind w:left="2508"/>
      </w:pPr>
      <w:rPr>
        <w:color w:val="000000"/>
        <w:position w:val="0"/>
        <w:sz w:val="20"/>
        <w:szCs w:val="20"/>
        <w:lang w:val="de-DE"/>
      </w:rPr>
    </w:lvl>
    <w:lvl w:ilvl="3">
      <w:start w:val="1"/>
      <w:numFmt w:val="bullet"/>
      <w:lvlText w:val="•"/>
      <w:lvlJc w:val="left"/>
      <w:pPr>
        <w:tabs>
          <w:tab w:val="num" w:pos="3228"/>
        </w:tabs>
        <w:ind w:left="3228"/>
      </w:pPr>
      <w:rPr>
        <w:color w:val="000000"/>
        <w:position w:val="0"/>
        <w:sz w:val="20"/>
        <w:szCs w:val="20"/>
        <w:lang w:val="de-DE"/>
      </w:rPr>
    </w:lvl>
    <w:lvl w:ilvl="4">
      <w:start w:val="1"/>
      <w:numFmt w:val="upperLetter"/>
      <w:lvlText w:val="%5."/>
      <w:lvlJc w:val="left"/>
      <w:pPr>
        <w:tabs>
          <w:tab w:val="num" w:pos="3948"/>
        </w:tabs>
        <w:ind w:left="3948"/>
      </w:pPr>
      <w:rPr>
        <w:color w:val="000000"/>
        <w:position w:val="0"/>
        <w:sz w:val="22"/>
        <w:szCs w:val="22"/>
        <w:lang w:val="de-DE"/>
      </w:rPr>
    </w:lvl>
    <w:lvl w:ilvl="5">
      <w:start w:val="1"/>
      <w:numFmt w:val="upperLetter"/>
      <w:lvlText w:val="%6."/>
      <w:lvlJc w:val="left"/>
      <w:pPr>
        <w:tabs>
          <w:tab w:val="num" w:pos="4668"/>
        </w:tabs>
        <w:ind w:left="4668"/>
      </w:pPr>
      <w:rPr>
        <w:color w:val="000000"/>
        <w:position w:val="0"/>
        <w:sz w:val="22"/>
        <w:szCs w:val="22"/>
        <w:lang w:val="de-DE"/>
      </w:rPr>
    </w:lvl>
    <w:lvl w:ilvl="6">
      <w:start w:val="1"/>
      <w:numFmt w:val="decimal"/>
      <w:lvlText w:val="%7."/>
      <w:lvlJc w:val="left"/>
      <w:pPr>
        <w:tabs>
          <w:tab w:val="num" w:pos="5388"/>
        </w:tabs>
        <w:ind w:left="5388"/>
      </w:pPr>
      <w:rPr>
        <w:color w:val="000000"/>
        <w:position w:val="0"/>
        <w:sz w:val="22"/>
        <w:szCs w:val="22"/>
        <w:lang w:val="de-DE"/>
      </w:rPr>
    </w:lvl>
    <w:lvl w:ilvl="7">
      <w:start w:val="1"/>
      <w:numFmt w:val="bullet"/>
      <w:lvlText w:val="o"/>
      <w:lvlJc w:val="left"/>
      <w:pPr>
        <w:tabs>
          <w:tab w:val="num" w:pos="6108"/>
        </w:tabs>
        <w:ind w:left="6108"/>
      </w:pPr>
      <w:rPr>
        <w:color w:val="000000"/>
        <w:position w:val="0"/>
        <w:sz w:val="20"/>
        <w:szCs w:val="20"/>
        <w:lang w:val="de-DE"/>
      </w:rPr>
    </w:lvl>
    <w:lvl w:ilvl="8">
      <w:start w:val="1"/>
      <w:numFmt w:val="upperRoman"/>
      <w:lvlText w:val="%9."/>
      <w:lvlJc w:val="left"/>
      <w:pPr>
        <w:tabs>
          <w:tab w:val="num" w:pos="7188"/>
        </w:tabs>
        <w:ind w:left="7188"/>
      </w:pPr>
      <w:rPr>
        <w:color w:val="000000"/>
        <w:position w:val="0"/>
        <w:sz w:val="22"/>
        <w:szCs w:val="22"/>
        <w:lang w:val="de-DE"/>
      </w:rPr>
    </w:lvl>
  </w:abstractNum>
  <w:abstractNum w:abstractNumId="21">
    <w:nsid w:val="0F3E6DA0"/>
    <w:multiLevelType w:val="multilevel"/>
    <w:tmpl w:val="B9C08700"/>
    <w:styleLink w:val="List119"/>
    <w:lvl w:ilvl="0">
      <w:start w:val="1"/>
      <w:numFmt w:val="decimal"/>
      <w:lvlText w:val="%1."/>
      <w:lvlJc w:val="left"/>
      <w:pPr>
        <w:tabs>
          <w:tab w:val="num" w:pos="690"/>
        </w:tabs>
        <w:ind w:left="690" w:hanging="330"/>
      </w:pPr>
      <w:rPr>
        <w:color w:val="000000"/>
        <w:position w:val="0"/>
        <w:sz w:val="22"/>
        <w:szCs w:val="22"/>
      </w:rPr>
    </w:lvl>
    <w:lvl w:ilvl="1">
      <w:start w:val="1"/>
      <w:numFmt w:val="decimal"/>
      <w:lvlText w:val="%2."/>
      <w:lvlJc w:val="left"/>
      <w:pPr>
        <w:tabs>
          <w:tab w:val="num" w:pos="1440"/>
        </w:tabs>
        <w:ind w:left="144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22">
    <w:nsid w:val="0F5F54AB"/>
    <w:multiLevelType w:val="multilevel"/>
    <w:tmpl w:val="DA48BA04"/>
    <w:styleLink w:val="List66"/>
    <w:lvl w:ilvl="0">
      <w:start w:val="1"/>
      <w:numFmt w:val="decimal"/>
      <w:lvlText w:val="%1."/>
      <w:lvlJc w:val="left"/>
      <w:pPr>
        <w:tabs>
          <w:tab w:val="num" w:pos="1773"/>
        </w:tabs>
        <w:ind w:left="1773"/>
      </w:pPr>
      <w:rPr>
        <w:color w:val="000000"/>
        <w:position w:val="0"/>
        <w:sz w:val="22"/>
        <w:szCs w:val="22"/>
      </w:rPr>
    </w:lvl>
    <w:lvl w:ilvl="1">
      <w:start w:val="1"/>
      <w:numFmt w:val="lowerLetter"/>
      <w:lvlText w:val="%2."/>
      <w:lvlJc w:val="left"/>
      <w:pPr>
        <w:tabs>
          <w:tab w:val="num" w:pos="2493"/>
        </w:tabs>
        <w:ind w:left="2493"/>
      </w:pPr>
      <w:rPr>
        <w:color w:val="000000"/>
        <w:position w:val="0"/>
        <w:sz w:val="22"/>
        <w:szCs w:val="22"/>
      </w:rPr>
    </w:lvl>
    <w:lvl w:ilvl="2">
      <w:start w:val="1"/>
      <w:numFmt w:val="lowerRoman"/>
      <w:lvlText w:val="%3."/>
      <w:lvlJc w:val="left"/>
      <w:pPr>
        <w:tabs>
          <w:tab w:val="num" w:pos="3213"/>
        </w:tabs>
        <w:ind w:left="3213"/>
      </w:pPr>
      <w:rPr>
        <w:color w:val="000000"/>
        <w:position w:val="0"/>
        <w:sz w:val="22"/>
        <w:szCs w:val="22"/>
      </w:rPr>
    </w:lvl>
    <w:lvl w:ilvl="3">
      <w:start w:val="1"/>
      <w:numFmt w:val="decimal"/>
      <w:lvlText w:val="%4."/>
      <w:lvlJc w:val="left"/>
      <w:pPr>
        <w:tabs>
          <w:tab w:val="num" w:pos="3933"/>
        </w:tabs>
        <w:ind w:left="3933"/>
      </w:pPr>
      <w:rPr>
        <w:color w:val="000000"/>
        <w:position w:val="0"/>
        <w:sz w:val="22"/>
        <w:szCs w:val="22"/>
      </w:rPr>
    </w:lvl>
    <w:lvl w:ilvl="4">
      <w:start w:val="1"/>
      <w:numFmt w:val="upperLetter"/>
      <w:lvlText w:val="%5."/>
      <w:lvlJc w:val="left"/>
      <w:pPr>
        <w:tabs>
          <w:tab w:val="num" w:pos="4653"/>
        </w:tabs>
        <w:ind w:left="4653"/>
      </w:pPr>
      <w:rPr>
        <w:color w:val="000000"/>
        <w:position w:val="0"/>
        <w:sz w:val="22"/>
        <w:szCs w:val="22"/>
      </w:rPr>
    </w:lvl>
    <w:lvl w:ilvl="5">
      <w:start w:val="1"/>
      <w:numFmt w:val="lowerRoman"/>
      <w:lvlText w:val="%6)"/>
      <w:lvlJc w:val="left"/>
      <w:pPr>
        <w:tabs>
          <w:tab w:val="num" w:pos="1500"/>
        </w:tabs>
        <w:ind w:left="1500" w:hanging="660"/>
      </w:pPr>
      <w:rPr>
        <w:color w:val="000000"/>
        <w:position w:val="0"/>
        <w:sz w:val="22"/>
        <w:szCs w:val="22"/>
      </w:rPr>
    </w:lvl>
    <w:lvl w:ilvl="6">
      <w:start w:val="1"/>
      <w:numFmt w:val="decimal"/>
      <w:lvlText w:val="%7)"/>
      <w:lvlJc w:val="left"/>
      <w:pPr>
        <w:tabs>
          <w:tab w:val="num" w:pos="6093"/>
        </w:tabs>
        <w:ind w:left="6093"/>
      </w:pPr>
      <w:rPr>
        <w:color w:val="000000"/>
        <w:position w:val="0"/>
        <w:sz w:val="22"/>
        <w:szCs w:val="22"/>
      </w:rPr>
    </w:lvl>
    <w:lvl w:ilvl="7">
      <w:start w:val="1"/>
      <w:numFmt w:val="lowerLetter"/>
      <w:lvlText w:val="%8."/>
      <w:lvlJc w:val="left"/>
      <w:pPr>
        <w:tabs>
          <w:tab w:val="num" w:pos="6813"/>
        </w:tabs>
        <w:ind w:left="6813"/>
      </w:pPr>
      <w:rPr>
        <w:color w:val="000000"/>
        <w:position w:val="0"/>
        <w:sz w:val="22"/>
        <w:szCs w:val="22"/>
      </w:rPr>
    </w:lvl>
    <w:lvl w:ilvl="8">
      <w:start w:val="1"/>
      <w:numFmt w:val="lowerRoman"/>
      <w:lvlText w:val="%9."/>
      <w:lvlJc w:val="left"/>
      <w:pPr>
        <w:tabs>
          <w:tab w:val="num" w:pos="7533"/>
        </w:tabs>
        <w:ind w:left="7533"/>
      </w:pPr>
      <w:rPr>
        <w:color w:val="000000"/>
        <w:position w:val="0"/>
        <w:sz w:val="22"/>
        <w:szCs w:val="22"/>
      </w:rPr>
    </w:lvl>
  </w:abstractNum>
  <w:abstractNum w:abstractNumId="23">
    <w:nsid w:val="0FF84D70"/>
    <w:multiLevelType w:val="multilevel"/>
    <w:tmpl w:val="FF669FEC"/>
    <w:styleLink w:val="List133"/>
    <w:lvl w:ilvl="0">
      <w:start w:val="1"/>
      <w:numFmt w:val="decimal"/>
      <w:lvlText w:val="%1."/>
      <w:lvlJc w:val="left"/>
      <w:pPr>
        <w:tabs>
          <w:tab w:val="num" w:pos="720"/>
        </w:tabs>
        <w:ind w:left="720"/>
      </w:pPr>
      <w:rPr>
        <w:b/>
        <w:bCs/>
        <w:color w:val="000000"/>
        <w:position w:val="0"/>
        <w:sz w:val="22"/>
        <w:szCs w:val="22"/>
      </w:rPr>
    </w:lvl>
    <w:lvl w:ilvl="1">
      <w:start w:val="1"/>
      <w:numFmt w:val="decimal"/>
      <w:lvlText w:val="%2."/>
      <w:lvlJc w:val="left"/>
      <w:pPr>
        <w:tabs>
          <w:tab w:val="num" w:pos="1440"/>
        </w:tabs>
        <w:ind w:left="1440"/>
      </w:pPr>
      <w:rPr>
        <w:b/>
        <w:bCs/>
        <w:color w:val="000000"/>
        <w:position w:val="0"/>
        <w:sz w:val="22"/>
        <w:szCs w:val="22"/>
      </w:rPr>
    </w:lvl>
    <w:lvl w:ilvl="2">
      <w:start w:val="1"/>
      <w:numFmt w:val="upperLetter"/>
      <w:lvlText w:val="%3."/>
      <w:lvlJc w:val="left"/>
      <w:pPr>
        <w:tabs>
          <w:tab w:val="num" w:pos="2310"/>
        </w:tabs>
        <w:ind w:left="2310" w:hanging="33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24">
    <w:nsid w:val="108A42D8"/>
    <w:multiLevelType w:val="multilevel"/>
    <w:tmpl w:val="2EA020B6"/>
    <w:styleLink w:val="List104"/>
    <w:lvl w:ilvl="0">
      <w:start w:val="1"/>
      <w:numFmt w:val="decimal"/>
      <w:lvlText w:val="%1."/>
      <w:lvlJc w:val="left"/>
      <w:pPr>
        <w:tabs>
          <w:tab w:val="num" w:pos="2280"/>
        </w:tabs>
        <w:ind w:left="2280"/>
      </w:pPr>
      <w:rPr>
        <w:color w:val="000000"/>
        <w:position w:val="0"/>
        <w:sz w:val="22"/>
        <w:szCs w:val="22"/>
      </w:rPr>
    </w:lvl>
    <w:lvl w:ilvl="1">
      <w:start w:val="1"/>
      <w:numFmt w:val="upperLetter"/>
      <w:lvlText w:val="%2."/>
      <w:lvlJc w:val="left"/>
      <w:pPr>
        <w:tabs>
          <w:tab w:val="num" w:pos="3000"/>
        </w:tabs>
        <w:ind w:left="3000"/>
      </w:pPr>
      <w:rPr>
        <w:color w:val="000000"/>
        <w:position w:val="0"/>
        <w:sz w:val="22"/>
        <w:szCs w:val="22"/>
      </w:rPr>
    </w:lvl>
    <w:lvl w:ilvl="2">
      <w:start w:val="1"/>
      <w:numFmt w:val="lowerLetter"/>
      <w:lvlText w:val="%3)"/>
      <w:lvlJc w:val="left"/>
      <w:pPr>
        <w:tabs>
          <w:tab w:val="num" w:pos="810"/>
        </w:tabs>
        <w:ind w:left="810" w:hanging="330"/>
      </w:pPr>
      <w:rPr>
        <w:color w:val="000000"/>
        <w:position w:val="0"/>
        <w:sz w:val="22"/>
        <w:szCs w:val="22"/>
      </w:rPr>
    </w:lvl>
    <w:lvl w:ilvl="3">
      <w:start w:val="1"/>
      <w:numFmt w:val="lowerLetter"/>
      <w:lvlText w:val="%4."/>
      <w:lvlJc w:val="left"/>
      <w:pPr>
        <w:tabs>
          <w:tab w:val="num" w:pos="4440"/>
        </w:tabs>
        <w:ind w:left="4440"/>
      </w:pPr>
      <w:rPr>
        <w:color w:val="000000"/>
        <w:position w:val="0"/>
        <w:sz w:val="22"/>
        <w:szCs w:val="22"/>
      </w:rPr>
    </w:lvl>
    <w:lvl w:ilvl="4">
      <w:start w:val="1"/>
      <w:numFmt w:val="lowerLetter"/>
      <w:lvlText w:val="%5."/>
      <w:lvlJc w:val="left"/>
      <w:pPr>
        <w:tabs>
          <w:tab w:val="num" w:pos="5160"/>
        </w:tabs>
        <w:ind w:left="5160"/>
      </w:pPr>
      <w:rPr>
        <w:color w:val="000000"/>
        <w:position w:val="0"/>
        <w:sz w:val="22"/>
        <w:szCs w:val="22"/>
      </w:rPr>
    </w:lvl>
    <w:lvl w:ilvl="5">
      <w:start w:val="1"/>
      <w:numFmt w:val="lowerRoman"/>
      <w:lvlText w:val="%6."/>
      <w:lvlJc w:val="left"/>
      <w:pPr>
        <w:tabs>
          <w:tab w:val="num" w:pos="5880"/>
        </w:tabs>
        <w:ind w:left="5880"/>
      </w:pPr>
      <w:rPr>
        <w:color w:val="000000"/>
        <w:position w:val="0"/>
        <w:sz w:val="22"/>
        <w:szCs w:val="22"/>
      </w:rPr>
    </w:lvl>
    <w:lvl w:ilvl="6">
      <w:start w:val="1"/>
      <w:numFmt w:val="decimal"/>
      <w:lvlText w:val="%7."/>
      <w:lvlJc w:val="left"/>
      <w:pPr>
        <w:tabs>
          <w:tab w:val="num" w:pos="6600"/>
        </w:tabs>
        <w:ind w:left="6600"/>
      </w:pPr>
      <w:rPr>
        <w:color w:val="000000"/>
        <w:position w:val="0"/>
        <w:sz w:val="22"/>
        <w:szCs w:val="22"/>
      </w:rPr>
    </w:lvl>
    <w:lvl w:ilvl="7">
      <w:start w:val="1"/>
      <w:numFmt w:val="lowerLetter"/>
      <w:lvlText w:val="%8."/>
      <w:lvlJc w:val="left"/>
      <w:pPr>
        <w:tabs>
          <w:tab w:val="num" w:pos="7320"/>
        </w:tabs>
        <w:ind w:left="7320"/>
      </w:pPr>
      <w:rPr>
        <w:color w:val="000000"/>
        <w:position w:val="0"/>
        <w:sz w:val="22"/>
        <w:szCs w:val="22"/>
      </w:rPr>
    </w:lvl>
    <w:lvl w:ilvl="8">
      <w:start w:val="1"/>
      <w:numFmt w:val="lowerRoman"/>
      <w:lvlText w:val="%9."/>
      <w:lvlJc w:val="left"/>
      <w:pPr>
        <w:tabs>
          <w:tab w:val="num" w:pos="8040"/>
        </w:tabs>
        <w:ind w:left="8040"/>
      </w:pPr>
      <w:rPr>
        <w:color w:val="000000"/>
        <w:position w:val="0"/>
        <w:sz w:val="22"/>
        <w:szCs w:val="22"/>
      </w:rPr>
    </w:lvl>
  </w:abstractNum>
  <w:abstractNum w:abstractNumId="25">
    <w:nsid w:val="11FF1676"/>
    <w:multiLevelType w:val="multilevel"/>
    <w:tmpl w:val="E814F7BE"/>
    <w:styleLink w:val="List24"/>
    <w:lvl w:ilvl="0">
      <w:start w:val="1"/>
      <w:numFmt w:val="bullet"/>
      <w:lvlText w:val="-"/>
      <w:lvlJc w:val="left"/>
      <w:pPr>
        <w:tabs>
          <w:tab w:val="num" w:pos="1038"/>
        </w:tabs>
        <w:ind w:left="1038" w:hanging="330"/>
      </w:pPr>
      <w:rPr>
        <w:color w:val="000000"/>
        <w:position w:val="0"/>
        <w:sz w:val="24"/>
        <w:szCs w:val="24"/>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start w:val="1"/>
      <w:numFmt w:val="bullet"/>
      <w:lvlText w:val="•"/>
      <w:lvlJc w:val="left"/>
      <w:pPr>
        <w:tabs>
          <w:tab w:val="num" w:pos="3228"/>
        </w:tabs>
        <w:ind w:left="3228"/>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26">
    <w:nsid w:val="1259208C"/>
    <w:multiLevelType w:val="multilevel"/>
    <w:tmpl w:val="B88C5702"/>
    <w:styleLink w:val="List141"/>
    <w:lvl w:ilvl="0">
      <w:start w:val="1"/>
      <w:numFmt w:val="decimal"/>
      <w:lvlText w:val="%1."/>
      <w:lvlJc w:val="left"/>
      <w:pPr>
        <w:tabs>
          <w:tab w:val="num" w:pos="2280"/>
        </w:tabs>
        <w:ind w:left="2280"/>
      </w:pPr>
      <w:rPr>
        <w:color w:val="000000"/>
        <w:position w:val="0"/>
        <w:sz w:val="22"/>
        <w:szCs w:val="22"/>
      </w:rPr>
    </w:lvl>
    <w:lvl w:ilvl="1">
      <w:start w:val="1"/>
      <w:numFmt w:val="upperLetter"/>
      <w:lvlText w:val="%2."/>
      <w:lvlJc w:val="left"/>
      <w:pPr>
        <w:tabs>
          <w:tab w:val="num" w:pos="3000"/>
        </w:tabs>
        <w:ind w:left="3000"/>
      </w:pPr>
      <w:rPr>
        <w:color w:val="000000"/>
        <w:position w:val="0"/>
        <w:sz w:val="22"/>
        <w:szCs w:val="22"/>
      </w:rPr>
    </w:lvl>
    <w:lvl w:ilvl="2">
      <w:start w:val="1"/>
      <w:numFmt w:val="lowerLetter"/>
      <w:lvlText w:val="%3)"/>
      <w:lvlJc w:val="left"/>
      <w:pPr>
        <w:tabs>
          <w:tab w:val="num" w:pos="3900"/>
        </w:tabs>
        <w:ind w:left="3900"/>
      </w:pPr>
      <w:rPr>
        <w:color w:val="000000"/>
        <w:position w:val="0"/>
        <w:sz w:val="22"/>
        <w:szCs w:val="22"/>
      </w:rPr>
    </w:lvl>
    <w:lvl w:ilvl="3">
      <w:start w:val="1"/>
      <w:numFmt w:val="lowerLetter"/>
      <w:lvlText w:val="%4."/>
      <w:lvlJc w:val="left"/>
      <w:pPr>
        <w:tabs>
          <w:tab w:val="num" w:pos="4410"/>
        </w:tabs>
        <w:ind w:left="4410" w:hanging="330"/>
      </w:pPr>
      <w:rPr>
        <w:color w:val="000000"/>
        <w:position w:val="0"/>
        <w:sz w:val="22"/>
        <w:szCs w:val="22"/>
      </w:rPr>
    </w:lvl>
    <w:lvl w:ilvl="4">
      <w:start w:val="1"/>
      <w:numFmt w:val="lowerLetter"/>
      <w:lvlText w:val="%5."/>
      <w:lvlJc w:val="left"/>
      <w:pPr>
        <w:tabs>
          <w:tab w:val="num" w:pos="5160"/>
        </w:tabs>
        <w:ind w:left="5160"/>
      </w:pPr>
      <w:rPr>
        <w:color w:val="000000"/>
        <w:position w:val="0"/>
        <w:sz w:val="22"/>
        <w:szCs w:val="22"/>
      </w:rPr>
    </w:lvl>
    <w:lvl w:ilvl="5">
      <w:start w:val="1"/>
      <w:numFmt w:val="lowerRoman"/>
      <w:lvlText w:val="%6."/>
      <w:lvlJc w:val="left"/>
      <w:pPr>
        <w:tabs>
          <w:tab w:val="num" w:pos="5880"/>
        </w:tabs>
        <w:ind w:left="5880"/>
      </w:pPr>
      <w:rPr>
        <w:color w:val="000000"/>
        <w:position w:val="0"/>
        <w:sz w:val="22"/>
        <w:szCs w:val="22"/>
      </w:rPr>
    </w:lvl>
    <w:lvl w:ilvl="6">
      <w:start w:val="1"/>
      <w:numFmt w:val="decimal"/>
      <w:lvlText w:val="%7."/>
      <w:lvlJc w:val="left"/>
      <w:pPr>
        <w:tabs>
          <w:tab w:val="num" w:pos="6600"/>
        </w:tabs>
        <w:ind w:left="6600"/>
      </w:pPr>
      <w:rPr>
        <w:color w:val="000000"/>
        <w:position w:val="0"/>
        <w:sz w:val="22"/>
        <w:szCs w:val="22"/>
      </w:rPr>
    </w:lvl>
    <w:lvl w:ilvl="7">
      <w:start w:val="1"/>
      <w:numFmt w:val="lowerLetter"/>
      <w:lvlText w:val="%8."/>
      <w:lvlJc w:val="left"/>
      <w:pPr>
        <w:tabs>
          <w:tab w:val="num" w:pos="7320"/>
        </w:tabs>
        <w:ind w:left="7320"/>
      </w:pPr>
      <w:rPr>
        <w:color w:val="000000"/>
        <w:position w:val="0"/>
        <w:sz w:val="22"/>
        <w:szCs w:val="22"/>
      </w:rPr>
    </w:lvl>
    <w:lvl w:ilvl="8">
      <w:start w:val="1"/>
      <w:numFmt w:val="lowerRoman"/>
      <w:lvlText w:val="%9."/>
      <w:lvlJc w:val="left"/>
      <w:pPr>
        <w:tabs>
          <w:tab w:val="num" w:pos="8040"/>
        </w:tabs>
        <w:ind w:left="8040"/>
      </w:pPr>
      <w:rPr>
        <w:color w:val="000000"/>
        <w:position w:val="0"/>
        <w:sz w:val="22"/>
        <w:szCs w:val="22"/>
      </w:rPr>
    </w:lvl>
  </w:abstractNum>
  <w:abstractNum w:abstractNumId="27">
    <w:nsid w:val="137F18FC"/>
    <w:multiLevelType w:val="multilevel"/>
    <w:tmpl w:val="7D0E17C8"/>
    <w:styleLink w:val="List33"/>
    <w:lvl w:ilvl="0">
      <w:start w:val="1"/>
      <w:numFmt w:val="decimal"/>
      <w:lvlText w:val="%1."/>
      <w:lvlJc w:val="left"/>
      <w:pPr>
        <w:tabs>
          <w:tab w:val="num" w:pos="720"/>
        </w:tabs>
        <w:ind w:left="720"/>
      </w:pPr>
      <w:rPr>
        <w:b/>
        <w:bCs/>
        <w:color w:val="000000"/>
        <w:position w:val="0"/>
        <w:sz w:val="22"/>
        <w:szCs w:val="22"/>
      </w:rPr>
    </w:lvl>
    <w:lvl w:ilvl="1">
      <w:start w:val="1"/>
      <w:numFmt w:val="upperLetter"/>
      <w:lvlText w:val="%2."/>
      <w:lvlJc w:val="left"/>
      <w:pPr>
        <w:tabs>
          <w:tab w:val="num" w:pos="1440"/>
        </w:tabs>
        <w:ind w:left="1440"/>
      </w:pPr>
      <w:rPr>
        <w:b/>
        <w:bCs/>
        <w:color w:val="000000"/>
        <w:position w:val="0"/>
        <w:sz w:val="22"/>
        <w:szCs w:val="22"/>
      </w:rPr>
    </w:lvl>
    <w:lvl w:ilvl="2">
      <w:start w:val="1"/>
      <w:numFmt w:val="lowerLetter"/>
      <w:lvlText w:val="%3)"/>
      <w:lvlJc w:val="left"/>
      <w:pPr>
        <w:tabs>
          <w:tab w:val="num" w:pos="2340"/>
        </w:tabs>
        <w:ind w:left="2340"/>
      </w:pPr>
      <w:rPr>
        <w:b/>
        <w:bCs/>
        <w:color w:val="000000"/>
        <w:position w:val="0"/>
        <w:sz w:val="22"/>
        <w:szCs w:val="22"/>
      </w:rPr>
    </w:lvl>
    <w:lvl w:ilvl="3">
      <w:start w:val="1"/>
      <w:numFmt w:val="decimal"/>
      <w:lvlText w:val="%4."/>
      <w:lvlJc w:val="left"/>
      <w:pPr>
        <w:tabs>
          <w:tab w:val="num" w:pos="810"/>
        </w:tabs>
        <w:ind w:left="810" w:hanging="33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28">
    <w:nsid w:val="141D4750"/>
    <w:multiLevelType w:val="multilevel"/>
    <w:tmpl w:val="2B967412"/>
    <w:styleLink w:val="List63"/>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29">
    <w:nsid w:val="144C58DF"/>
    <w:multiLevelType w:val="multilevel"/>
    <w:tmpl w:val="6C347CD4"/>
    <w:styleLink w:val="List87"/>
    <w:lvl w:ilvl="0">
      <w:start w:val="1"/>
      <w:numFmt w:val="decimal"/>
      <w:lvlText w:val="%1."/>
      <w:lvlJc w:val="left"/>
      <w:pPr>
        <w:tabs>
          <w:tab w:val="num" w:pos="1170"/>
        </w:tabs>
        <w:ind w:left="1170" w:hanging="330"/>
      </w:pPr>
      <w:rPr>
        <w:b/>
        <w:bCs/>
        <w:color w:val="000000"/>
        <w:position w:val="0"/>
        <w:sz w:val="22"/>
        <w:szCs w:val="22"/>
      </w:rPr>
    </w:lvl>
    <w:lvl w:ilvl="1">
      <w:start w:val="1"/>
      <w:numFmt w:val="lowerLetter"/>
      <w:lvlText w:val="%2."/>
      <w:lvlJc w:val="left"/>
      <w:pPr>
        <w:tabs>
          <w:tab w:val="num" w:pos="1920"/>
        </w:tabs>
        <w:ind w:left="1920"/>
      </w:pPr>
      <w:rPr>
        <w:b/>
        <w:bCs/>
        <w:color w:val="000000"/>
        <w:position w:val="0"/>
        <w:sz w:val="22"/>
        <w:szCs w:val="22"/>
      </w:rPr>
    </w:lvl>
    <w:lvl w:ilvl="2">
      <w:start w:val="1"/>
      <w:numFmt w:val="lowerRoman"/>
      <w:lvlText w:val="%3."/>
      <w:lvlJc w:val="left"/>
      <w:pPr>
        <w:tabs>
          <w:tab w:val="num" w:pos="2640"/>
        </w:tabs>
        <w:ind w:left="2640"/>
      </w:pPr>
      <w:rPr>
        <w:b/>
        <w:bCs/>
        <w:color w:val="000000"/>
        <w:position w:val="0"/>
        <w:sz w:val="22"/>
        <w:szCs w:val="22"/>
      </w:rPr>
    </w:lvl>
    <w:lvl w:ilvl="3">
      <w:start w:val="1"/>
      <w:numFmt w:val="decimal"/>
      <w:lvlText w:val="%4."/>
      <w:lvlJc w:val="left"/>
      <w:pPr>
        <w:tabs>
          <w:tab w:val="num" w:pos="3360"/>
        </w:tabs>
        <w:ind w:left="3360"/>
      </w:pPr>
      <w:rPr>
        <w:b/>
        <w:bCs/>
        <w:color w:val="000000"/>
        <w:position w:val="0"/>
        <w:sz w:val="22"/>
        <w:szCs w:val="22"/>
      </w:rPr>
    </w:lvl>
    <w:lvl w:ilvl="4">
      <w:start w:val="1"/>
      <w:numFmt w:val="lowerLetter"/>
      <w:lvlText w:val="%5."/>
      <w:lvlJc w:val="left"/>
      <w:pPr>
        <w:tabs>
          <w:tab w:val="num" w:pos="4080"/>
        </w:tabs>
        <w:ind w:left="4080"/>
      </w:pPr>
      <w:rPr>
        <w:b/>
        <w:bCs/>
        <w:color w:val="000000"/>
        <w:position w:val="0"/>
        <w:sz w:val="22"/>
        <w:szCs w:val="22"/>
      </w:rPr>
    </w:lvl>
    <w:lvl w:ilvl="5">
      <w:start w:val="1"/>
      <w:numFmt w:val="lowerRoman"/>
      <w:lvlText w:val="%6."/>
      <w:lvlJc w:val="left"/>
      <w:pPr>
        <w:tabs>
          <w:tab w:val="num" w:pos="4800"/>
        </w:tabs>
        <w:ind w:left="4800"/>
      </w:pPr>
      <w:rPr>
        <w:b/>
        <w:bCs/>
        <w:color w:val="000000"/>
        <w:position w:val="0"/>
        <w:sz w:val="22"/>
        <w:szCs w:val="22"/>
      </w:rPr>
    </w:lvl>
    <w:lvl w:ilvl="6">
      <w:start w:val="1"/>
      <w:numFmt w:val="decimal"/>
      <w:lvlText w:val="%7."/>
      <w:lvlJc w:val="left"/>
      <w:pPr>
        <w:tabs>
          <w:tab w:val="num" w:pos="5520"/>
        </w:tabs>
        <w:ind w:left="5520"/>
      </w:pPr>
      <w:rPr>
        <w:b/>
        <w:bCs/>
        <w:color w:val="000000"/>
        <w:position w:val="0"/>
        <w:sz w:val="22"/>
        <w:szCs w:val="22"/>
      </w:rPr>
    </w:lvl>
    <w:lvl w:ilvl="7">
      <w:start w:val="1"/>
      <w:numFmt w:val="lowerLetter"/>
      <w:lvlText w:val="%8."/>
      <w:lvlJc w:val="left"/>
      <w:pPr>
        <w:tabs>
          <w:tab w:val="num" w:pos="6240"/>
        </w:tabs>
        <w:ind w:left="6240"/>
      </w:pPr>
      <w:rPr>
        <w:b/>
        <w:bCs/>
        <w:color w:val="000000"/>
        <w:position w:val="0"/>
        <w:sz w:val="22"/>
        <w:szCs w:val="22"/>
      </w:rPr>
    </w:lvl>
    <w:lvl w:ilvl="8">
      <w:start w:val="1"/>
      <w:numFmt w:val="lowerRoman"/>
      <w:lvlText w:val="%9."/>
      <w:lvlJc w:val="left"/>
      <w:pPr>
        <w:tabs>
          <w:tab w:val="num" w:pos="6960"/>
        </w:tabs>
        <w:ind w:left="6960"/>
      </w:pPr>
      <w:rPr>
        <w:b/>
        <w:bCs/>
        <w:color w:val="000000"/>
        <w:position w:val="0"/>
        <w:sz w:val="22"/>
        <w:szCs w:val="22"/>
      </w:rPr>
    </w:lvl>
  </w:abstractNum>
  <w:abstractNum w:abstractNumId="30">
    <w:nsid w:val="14E129E5"/>
    <w:multiLevelType w:val="multilevel"/>
    <w:tmpl w:val="BD4C9C32"/>
    <w:styleLink w:val="List102"/>
    <w:lvl w:ilvl="0">
      <w:start w:val="1"/>
      <w:numFmt w:val="bullet"/>
      <w:lvlText w:val="-"/>
      <w:lvlJc w:val="left"/>
      <w:pPr>
        <w:tabs>
          <w:tab w:val="num" w:pos="1068"/>
        </w:tabs>
        <w:ind w:left="1068"/>
      </w:pPr>
      <w:rPr>
        <w:b/>
        <w:bCs/>
        <w:color w:val="000000"/>
        <w:position w:val="0"/>
        <w:sz w:val="20"/>
        <w:szCs w:val="20"/>
      </w:rPr>
    </w:lvl>
    <w:lvl w:ilvl="1">
      <w:start w:val="1"/>
      <w:numFmt w:val="decimal"/>
      <w:lvlText w:val="%2."/>
      <w:lvlJc w:val="left"/>
      <w:pPr>
        <w:tabs>
          <w:tab w:val="num" w:pos="1788"/>
        </w:tabs>
        <w:ind w:left="1788"/>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1500"/>
        </w:tabs>
        <w:ind w:left="1500" w:hanging="660"/>
      </w:pPr>
      <w:rPr>
        <w:b/>
        <w:bCs/>
        <w:color w:val="000000"/>
        <w:position w:val="0"/>
        <w:sz w:val="22"/>
        <w:szCs w:val="22"/>
      </w:rPr>
    </w:lvl>
  </w:abstractNum>
  <w:abstractNum w:abstractNumId="31">
    <w:nsid w:val="16253720"/>
    <w:multiLevelType w:val="multilevel"/>
    <w:tmpl w:val="F74260E4"/>
    <w:styleLink w:val="List75"/>
    <w:lvl w:ilvl="0">
      <w:start w:val="1"/>
      <w:numFmt w:val="upperLetter"/>
      <w:lvlText w:val="%1."/>
      <w:lvlJc w:val="left"/>
      <w:pPr>
        <w:tabs>
          <w:tab w:val="num" w:pos="1065"/>
        </w:tabs>
        <w:ind w:left="1065"/>
      </w:pPr>
      <w:rPr>
        <w:b/>
        <w:bCs/>
        <w:color w:val="000000"/>
        <w:position w:val="0"/>
        <w:sz w:val="22"/>
        <w:szCs w:val="22"/>
      </w:rPr>
    </w:lvl>
    <w:lvl w:ilvl="1">
      <w:start w:val="1"/>
      <w:numFmt w:val="decimal"/>
      <w:lvlText w:val="%2."/>
      <w:lvlJc w:val="left"/>
      <w:pPr>
        <w:tabs>
          <w:tab w:val="num" w:pos="1755"/>
        </w:tabs>
        <w:ind w:left="1755" w:hanging="330"/>
      </w:pPr>
      <w:rPr>
        <w:b/>
        <w:bCs/>
        <w:color w:val="000000"/>
        <w:position w:val="0"/>
        <w:sz w:val="22"/>
        <w:szCs w:val="22"/>
      </w:rPr>
    </w:lvl>
    <w:lvl w:ilvl="2">
      <w:start w:val="1"/>
      <w:numFmt w:val="lowerRoman"/>
      <w:lvlText w:val="%3."/>
      <w:lvlJc w:val="left"/>
      <w:pPr>
        <w:tabs>
          <w:tab w:val="num" w:pos="2505"/>
        </w:tabs>
        <w:ind w:left="2505"/>
      </w:pPr>
      <w:rPr>
        <w:b/>
        <w:bCs/>
        <w:color w:val="000000"/>
        <w:position w:val="0"/>
        <w:sz w:val="22"/>
        <w:szCs w:val="22"/>
      </w:rPr>
    </w:lvl>
    <w:lvl w:ilvl="3">
      <w:start w:val="1"/>
      <w:numFmt w:val="decimal"/>
      <w:lvlText w:val="%4."/>
      <w:lvlJc w:val="left"/>
      <w:pPr>
        <w:tabs>
          <w:tab w:val="num" w:pos="3225"/>
        </w:tabs>
        <w:ind w:left="3225"/>
      </w:pPr>
      <w:rPr>
        <w:b/>
        <w:bCs/>
        <w:color w:val="000000"/>
        <w:position w:val="0"/>
        <w:sz w:val="22"/>
        <w:szCs w:val="22"/>
      </w:rPr>
    </w:lvl>
    <w:lvl w:ilvl="4">
      <w:start w:val="1"/>
      <w:numFmt w:val="lowerLetter"/>
      <w:lvlText w:val="%5."/>
      <w:lvlJc w:val="left"/>
      <w:pPr>
        <w:tabs>
          <w:tab w:val="num" w:pos="3945"/>
        </w:tabs>
        <w:ind w:left="3945"/>
      </w:pPr>
      <w:rPr>
        <w:b/>
        <w:bCs/>
        <w:color w:val="000000"/>
        <w:position w:val="0"/>
        <w:sz w:val="22"/>
        <w:szCs w:val="22"/>
      </w:rPr>
    </w:lvl>
    <w:lvl w:ilvl="5">
      <w:start w:val="1"/>
      <w:numFmt w:val="lowerRoman"/>
      <w:lvlText w:val="%6."/>
      <w:lvlJc w:val="left"/>
      <w:pPr>
        <w:tabs>
          <w:tab w:val="num" w:pos="4665"/>
        </w:tabs>
        <w:ind w:left="4665"/>
      </w:pPr>
      <w:rPr>
        <w:b/>
        <w:bCs/>
        <w:color w:val="000000"/>
        <w:position w:val="0"/>
        <w:sz w:val="22"/>
        <w:szCs w:val="22"/>
      </w:rPr>
    </w:lvl>
    <w:lvl w:ilvl="6">
      <w:start w:val="1"/>
      <w:numFmt w:val="decimal"/>
      <w:lvlText w:val="%7."/>
      <w:lvlJc w:val="left"/>
      <w:pPr>
        <w:tabs>
          <w:tab w:val="num" w:pos="5385"/>
        </w:tabs>
        <w:ind w:left="5385"/>
      </w:pPr>
      <w:rPr>
        <w:b/>
        <w:bCs/>
        <w:color w:val="000000"/>
        <w:position w:val="0"/>
        <w:sz w:val="22"/>
        <w:szCs w:val="22"/>
      </w:rPr>
    </w:lvl>
    <w:lvl w:ilvl="7">
      <w:start w:val="1"/>
      <w:numFmt w:val="lowerLetter"/>
      <w:lvlText w:val="%8."/>
      <w:lvlJc w:val="left"/>
      <w:pPr>
        <w:tabs>
          <w:tab w:val="num" w:pos="6105"/>
        </w:tabs>
        <w:ind w:left="6105"/>
      </w:pPr>
      <w:rPr>
        <w:b/>
        <w:bCs/>
        <w:color w:val="000000"/>
        <w:position w:val="0"/>
        <w:sz w:val="22"/>
        <w:szCs w:val="22"/>
      </w:rPr>
    </w:lvl>
    <w:lvl w:ilvl="8">
      <w:start w:val="1"/>
      <w:numFmt w:val="lowerRoman"/>
      <w:lvlText w:val="%9."/>
      <w:lvlJc w:val="left"/>
      <w:pPr>
        <w:tabs>
          <w:tab w:val="num" w:pos="6825"/>
        </w:tabs>
        <w:ind w:left="6825"/>
      </w:pPr>
      <w:rPr>
        <w:b/>
        <w:bCs/>
        <w:color w:val="000000"/>
        <w:position w:val="0"/>
        <w:sz w:val="22"/>
        <w:szCs w:val="22"/>
      </w:rPr>
    </w:lvl>
  </w:abstractNum>
  <w:abstractNum w:abstractNumId="32">
    <w:nsid w:val="16805364"/>
    <w:multiLevelType w:val="multilevel"/>
    <w:tmpl w:val="CF021750"/>
    <w:styleLink w:val="List85"/>
    <w:lvl w:ilvl="0">
      <w:start w:val="1"/>
      <w:numFmt w:val="decimal"/>
      <w:lvlText w:val="%1."/>
      <w:lvlJc w:val="left"/>
      <w:pPr>
        <w:tabs>
          <w:tab w:val="num" w:pos="1170"/>
        </w:tabs>
        <w:ind w:left="1170" w:hanging="330"/>
      </w:pPr>
      <w:rPr>
        <w:color w:val="000000"/>
        <w:position w:val="0"/>
        <w:sz w:val="22"/>
        <w:szCs w:val="22"/>
      </w:rPr>
    </w:lvl>
    <w:lvl w:ilvl="1">
      <w:start w:val="1"/>
      <w:numFmt w:val="decimal"/>
      <w:lvlText w:val="%1.%2."/>
      <w:lvlJc w:val="left"/>
      <w:pPr>
        <w:tabs>
          <w:tab w:val="num" w:pos="1200"/>
        </w:tabs>
        <w:ind w:left="1200"/>
      </w:pPr>
      <w:rPr>
        <w:color w:val="000000"/>
        <w:position w:val="0"/>
        <w:sz w:val="22"/>
        <w:szCs w:val="22"/>
      </w:rPr>
    </w:lvl>
    <w:lvl w:ilvl="2">
      <w:start w:val="1"/>
      <w:numFmt w:val="decimal"/>
      <w:lvlText w:val="%2."/>
      <w:lvlJc w:val="left"/>
      <w:pPr>
        <w:tabs>
          <w:tab w:val="num" w:pos="2640"/>
        </w:tabs>
        <w:ind w:left="1920"/>
      </w:pPr>
      <w:rPr>
        <w:color w:val="000000"/>
        <w:position w:val="0"/>
        <w:sz w:val="22"/>
        <w:szCs w:val="22"/>
      </w:rPr>
    </w:lvl>
    <w:lvl w:ilvl="3">
      <w:start w:val="1"/>
      <w:numFmt w:val="decimal"/>
      <w:lvlText w:val="%2."/>
      <w:lvlJc w:val="left"/>
      <w:pPr>
        <w:tabs>
          <w:tab w:val="num" w:pos="4080"/>
        </w:tabs>
        <w:ind w:left="2640"/>
      </w:pPr>
      <w:rPr>
        <w:color w:val="000000"/>
        <w:position w:val="0"/>
        <w:sz w:val="22"/>
        <w:szCs w:val="22"/>
      </w:rPr>
    </w:lvl>
    <w:lvl w:ilvl="4">
      <w:start w:val="1"/>
      <w:numFmt w:val="decimal"/>
      <w:lvlText w:val="%2."/>
      <w:lvlJc w:val="left"/>
      <w:pPr>
        <w:tabs>
          <w:tab w:val="num" w:pos="5520"/>
        </w:tabs>
        <w:ind w:left="3360"/>
      </w:pPr>
      <w:rPr>
        <w:color w:val="000000"/>
        <w:position w:val="0"/>
        <w:sz w:val="22"/>
        <w:szCs w:val="22"/>
      </w:rPr>
    </w:lvl>
    <w:lvl w:ilvl="5">
      <w:start w:val="1"/>
      <w:numFmt w:val="decimal"/>
      <w:lvlText w:val="%2."/>
      <w:lvlJc w:val="left"/>
      <w:pPr>
        <w:tabs>
          <w:tab w:val="num" w:pos="6960"/>
        </w:tabs>
        <w:ind w:left="4080"/>
      </w:pPr>
      <w:rPr>
        <w:color w:val="000000"/>
        <w:position w:val="0"/>
        <w:sz w:val="22"/>
        <w:szCs w:val="22"/>
      </w:rPr>
    </w:lvl>
    <w:lvl w:ilvl="6">
      <w:start w:val="1"/>
      <w:numFmt w:val="decimal"/>
      <w:lvlText w:val="%2."/>
      <w:lvlJc w:val="left"/>
      <w:pPr>
        <w:tabs>
          <w:tab w:val="num" w:pos="8400"/>
        </w:tabs>
        <w:ind w:left="4800"/>
      </w:pPr>
      <w:rPr>
        <w:color w:val="000000"/>
        <w:position w:val="0"/>
        <w:sz w:val="22"/>
        <w:szCs w:val="22"/>
      </w:rPr>
    </w:lvl>
    <w:lvl w:ilvl="7">
      <w:start w:val="1"/>
      <w:numFmt w:val="decimal"/>
      <w:lvlText w:val="%2."/>
      <w:lvlJc w:val="left"/>
      <w:pPr>
        <w:tabs>
          <w:tab w:val="num" w:pos="9840"/>
        </w:tabs>
        <w:ind w:left="5520"/>
      </w:pPr>
      <w:rPr>
        <w:color w:val="000000"/>
        <w:position w:val="0"/>
        <w:sz w:val="22"/>
        <w:szCs w:val="22"/>
      </w:rPr>
    </w:lvl>
    <w:lvl w:ilvl="8">
      <w:start w:val="1"/>
      <w:numFmt w:val="decimal"/>
      <w:lvlText w:val="%2."/>
      <w:lvlJc w:val="left"/>
      <w:pPr>
        <w:tabs>
          <w:tab w:val="num" w:pos="11280"/>
        </w:tabs>
        <w:ind w:left="6240"/>
      </w:pPr>
      <w:rPr>
        <w:color w:val="000000"/>
        <w:position w:val="0"/>
        <w:sz w:val="22"/>
        <w:szCs w:val="22"/>
      </w:rPr>
    </w:lvl>
  </w:abstractNum>
  <w:abstractNum w:abstractNumId="33">
    <w:nsid w:val="17AF52C2"/>
    <w:multiLevelType w:val="multilevel"/>
    <w:tmpl w:val="2110DCE0"/>
    <w:styleLink w:val="List122"/>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34">
    <w:nsid w:val="19E22216"/>
    <w:multiLevelType w:val="multilevel"/>
    <w:tmpl w:val="B8062F62"/>
    <w:styleLink w:val="List96"/>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35">
    <w:nsid w:val="1A44461C"/>
    <w:multiLevelType w:val="multilevel"/>
    <w:tmpl w:val="B7CCA23C"/>
    <w:styleLink w:val="Liste22"/>
    <w:lvl w:ilvl="0">
      <w:start w:val="1"/>
      <w:numFmt w:val="upperLetter"/>
      <w:lvlText w:val="%1."/>
      <w:lvlJc w:val="left"/>
      <w:pPr>
        <w:tabs>
          <w:tab w:val="num" w:pos="1038"/>
        </w:tabs>
        <w:ind w:left="1038" w:hanging="330"/>
      </w:pPr>
      <w:rPr>
        <w:color w:val="000000"/>
        <w:position w:val="0"/>
        <w:sz w:val="22"/>
        <w:szCs w:val="22"/>
      </w:rPr>
    </w:lvl>
    <w:lvl w:ilvl="1">
      <w:start w:val="1"/>
      <w:numFmt w:val="lowerLetter"/>
      <w:lvlText w:val="%2."/>
      <w:lvlJc w:val="left"/>
      <w:pPr>
        <w:tabs>
          <w:tab w:val="num" w:pos="1788"/>
        </w:tabs>
        <w:ind w:left="1788"/>
      </w:pPr>
      <w:rPr>
        <w:color w:val="000000"/>
        <w:position w:val="0"/>
        <w:sz w:val="22"/>
        <w:szCs w:val="22"/>
      </w:rPr>
    </w:lvl>
    <w:lvl w:ilvl="2">
      <w:start w:val="1"/>
      <w:numFmt w:val="decimal"/>
      <w:lvlText w:val="%3."/>
      <w:lvlJc w:val="left"/>
      <w:pPr>
        <w:tabs>
          <w:tab w:val="num" w:pos="2688"/>
        </w:tabs>
        <w:ind w:left="2688"/>
      </w:pPr>
      <w:rPr>
        <w:color w:val="000000"/>
        <w:position w:val="0"/>
        <w:sz w:val="22"/>
        <w:szCs w:val="22"/>
      </w:rPr>
    </w:lvl>
    <w:lvl w:ilvl="3">
      <w:start w:val="1"/>
      <w:numFmt w:val="decimal"/>
      <w:lvlText w:val="%4."/>
      <w:lvlJc w:val="left"/>
      <w:pPr>
        <w:tabs>
          <w:tab w:val="num" w:pos="3228"/>
        </w:tabs>
        <w:ind w:left="3228"/>
      </w:pPr>
      <w:rPr>
        <w:color w:val="000000"/>
        <w:position w:val="0"/>
        <w:sz w:val="22"/>
        <w:szCs w:val="22"/>
      </w:rPr>
    </w:lvl>
    <w:lvl w:ilvl="4">
      <w:start w:val="1"/>
      <w:numFmt w:val="lowerLetter"/>
      <w:lvlText w:val="%5."/>
      <w:lvlJc w:val="left"/>
      <w:pPr>
        <w:tabs>
          <w:tab w:val="num" w:pos="3948"/>
        </w:tabs>
        <w:ind w:left="3948"/>
      </w:pPr>
      <w:rPr>
        <w:color w:val="000000"/>
        <w:position w:val="0"/>
        <w:sz w:val="22"/>
        <w:szCs w:val="22"/>
      </w:rPr>
    </w:lvl>
    <w:lvl w:ilvl="5">
      <w:start w:val="1"/>
      <w:numFmt w:val="lowerRoman"/>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lowerLetter"/>
      <w:lvlText w:val="%8."/>
      <w:lvlJc w:val="left"/>
      <w:pPr>
        <w:tabs>
          <w:tab w:val="num" w:pos="6108"/>
        </w:tabs>
        <w:ind w:left="6108"/>
      </w:pPr>
      <w:rPr>
        <w:color w:val="000000"/>
        <w:position w:val="0"/>
        <w:sz w:val="22"/>
        <w:szCs w:val="22"/>
      </w:rPr>
    </w:lvl>
    <w:lvl w:ilvl="8">
      <w:start w:val="1"/>
      <w:numFmt w:val="lowerRoman"/>
      <w:lvlText w:val="%9."/>
      <w:lvlJc w:val="left"/>
      <w:pPr>
        <w:tabs>
          <w:tab w:val="num" w:pos="6828"/>
        </w:tabs>
        <w:ind w:left="6828"/>
      </w:pPr>
      <w:rPr>
        <w:color w:val="000000"/>
        <w:position w:val="0"/>
        <w:sz w:val="22"/>
        <w:szCs w:val="22"/>
      </w:rPr>
    </w:lvl>
  </w:abstractNum>
  <w:abstractNum w:abstractNumId="36">
    <w:nsid w:val="1A8102A7"/>
    <w:multiLevelType w:val="multilevel"/>
    <w:tmpl w:val="F6BC3CD8"/>
    <w:styleLink w:val="List101"/>
    <w:lvl w:ilvl="0">
      <w:start w:val="1"/>
      <w:numFmt w:val="decimal"/>
      <w:lvlText w:val="%1."/>
      <w:lvlJc w:val="left"/>
      <w:pPr>
        <w:tabs>
          <w:tab w:val="num" w:pos="1773"/>
        </w:tabs>
        <w:ind w:left="1773"/>
      </w:pPr>
      <w:rPr>
        <w:b/>
        <w:bCs/>
        <w:color w:val="000000"/>
        <w:position w:val="0"/>
        <w:sz w:val="22"/>
        <w:szCs w:val="22"/>
      </w:rPr>
    </w:lvl>
    <w:lvl w:ilvl="1">
      <w:start w:val="1"/>
      <w:numFmt w:val="lowerLetter"/>
      <w:lvlText w:val="%2."/>
      <w:lvlJc w:val="left"/>
      <w:pPr>
        <w:tabs>
          <w:tab w:val="num" w:pos="2493"/>
        </w:tabs>
        <w:ind w:left="2493"/>
      </w:pPr>
      <w:rPr>
        <w:b/>
        <w:bCs/>
        <w:color w:val="000000"/>
        <w:position w:val="0"/>
        <w:sz w:val="22"/>
        <w:szCs w:val="22"/>
      </w:rPr>
    </w:lvl>
    <w:lvl w:ilvl="2">
      <w:start w:val="1"/>
      <w:numFmt w:val="lowerRoman"/>
      <w:lvlText w:val="%3."/>
      <w:lvlJc w:val="left"/>
      <w:pPr>
        <w:tabs>
          <w:tab w:val="num" w:pos="3213"/>
        </w:tabs>
        <w:ind w:left="3213"/>
      </w:pPr>
      <w:rPr>
        <w:b/>
        <w:bCs/>
        <w:color w:val="000000"/>
        <w:position w:val="0"/>
        <w:sz w:val="22"/>
        <w:szCs w:val="22"/>
      </w:rPr>
    </w:lvl>
    <w:lvl w:ilvl="3">
      <w:start w:val="1"/>
      <w:numFmt w:val="decimal"/>
      <w:lvlText w:val="%4."/>
      <w:lvlJc w:val="left"/>
      <w:pPr>
        <w:tabs>
          <w:tab w:val="num" w:pos="3933"/>
        </w:tabs>
        <w:ind w:left="3933"/>
      </w:pPr>
      <w:rPr>
        <w:b/>
        <w:bCs/>
        <w:color w:val="000000"/>
        <w:position w:val="0"/>
        <w:sz w:val="22"/>
        <w:szCs w:val="22"/>
      </w:rPr>
    </w:lvl>
    <w:lvl w:ilvl="4">
      <w:start w:val="1"/>
      <w:numFmt w:val="upperLetter"/>
      <w:lvlText w:val="%5."/>
      <w:lvlJc w:val="left"/>
      <w:pPr>
        <w:tabs>
          <w:tab w:val="num" w:pos="4653"/>
        </w:tabs>
        <w:ind w:left="4653"/>
      </w:pPr>
      <w:rPr>
        <w:b/>
        <w:bCs/>
        <w:color w:val="000000"/>
        <w:position w:val="0"/>
        <w:sz w:val="22"/>
        <w:szCs w:val="22"/>
      </w:rPr>
    </w:lvl>
    <w:lvl w:ilvl="5">
      <w:start w:val="1"/>
      <w:numFmt w:val="lowerRoman"/>
      <w:lvlText w:val="%6)"/>
      <w:lvlJc w:val="left"/>
      <w:pPr>
        <w:tabs>
          <w:tab w:val="num" w:pos="1140"/>
        </w:tabs>
        <w:ind w:left="1140" w:hanging="660"/>
      </w:pPr>
      <w:rPr>
        <w:b/>
        <w:bCs/>
        <w:color w:val="000000"/>
        <w:position w:val="0"/>
        <w:sz w:val="22"/>
        <w:szCs w:val="22"/>
      </w:rPr>
    </w:lvl>
    <w:lvl w:ilvl="6">
      <w:start w:val="1"/>
      <w:numFmt w:val="decimal"/>
      <w:lvlText w:val="%7)"/>
      <w:lvlJc w:val="left"/>
      <w:pPr>
        <w:tabs>
          <w:tab w:val="num" w:pos="6093"/>
        </w:tabs>
        <w:ind w:left="6093"/>
      </w:pPr>
      <w:rPr>
        <w:b/>
        <w:bCs/>
        <w:color w:val="000000"/>
        <w:position w:val="0"/>
        <w:sz w:val="22"/>
        <w:szCs w:val="22"/>
      </w:rPr>
    </w:lvl>
    <w:lvl w:ilvl="7">
      <w:start w:val="1"/>
      <w:numFmt w:val="lowerLetter"/>
      <w:lvlText w:val="%8."/>
      <w:lvlJc w:val="left"/>
      <w:pPr>
        <w:tabs>
          <w:tab w:val="num" w:pos="6813"/>
        </w:tabs>
        <w:ind w:left="6813"/>
      </w:pPr>
      <w:rPr>
        <w:b/>
        <w:bCs/>
        <w:color w:val="000000"/>
        <w:position w:val="0"/>
        <w:sz w:val="22"/>
        <w:szCs w:val="22"/>
      </w:rPr>
    </w:lvl>
    <w:lvl w:ilvl="8">
      <w:start w:val="1"/>
      <w:numFmt w:val="lowerRoman"/>
      <w:lvlText w:val="%9."/>
      <w:lvlJc w:val="left"/>
      <w:pPr>
        <w:tabs>
          <w:tab w:val="num" w:pos="7533"/>
        </w:tabs>
        <w:ind w:left="7533"/>
      </w:pPr>
      <w:rPr>
        <w:b/>
        <w:bCs/>
        <w:color w:val="000000"/>
        <w:position w:val="0"/>
        <w:sz w:val="22"/>
        <w:szCs w:val="22"/>
      </w:rPr>
    </w:lvl>
  </w:abstractNum>
  <w:abstractNum w:abstractNumId="37">
    <w:nsid w:val="1B3911BF"/>
    <w:multiLevelType w:val="multilevel"/>
    <w:tmpl w:val="EE84EA2C"/>
    <w:styleLink w:val="List1"/>
    <w:lvl w:ilvl="0">
      <w:start w:val="2"/>
      <w:numFmt w:val="bullet"/>
      <w:lvlText w:val="-"/>
      <w:lvlJc w:val="left"/>
      <w:pPr>
        <w:tabs>
          <w:tab w:val="num" w:pos="1743"/>
        </w:tabs>
        <w:ind w:left="1743" w:hanging="330"/>
      </w:pPr>
      <w:rPr>
        <w:color w:val="000000"/>
        <w:position w:val="0"/>
        <w:sz w:val="24"/>
        <w:szCs w:val="24"/>
      </w:rPr>
    </w:lvl>
    <w:lvl w:ilvl="1">
      <w:start w:val="1"/>
      <w:numFmt w:val="bullet"/>
      <w:lvlText w:val="-"/>
      <w:lvlJc w:val="left"/>
      <w:pPr>
        <w:tabs>
          <w:tab w:val="num" w:pos="1773"/>
        </w:tabs>
        <w:ind w:left="1773"/>
      </w:pPr>
      <w:rPr>
        <w:color w:val="000000"/>
        <w:position w:val="0"/>
        <w:sz w:val="22"/>
        <w:szCs w:val="22"/>
      </w:rPr>
    </w:lvl>
    <w:lvl w:ilvl="2">
      <w:start w:val="1"/>
      <w:numFmt w:val="bullet"/>
      <w:lvlText w:val="-"/>
      <w:lvlJc w:val="left"/>
      <w:pPr>
        <w:tabs>
          <w:tab w:val="num" w:pos="1773"/>
        </w:tabs>
        <w:ind w:left="1773"/>
      </w:pPr>
      <w:rPr>
        <w:color w:val="000000"/>
        <w:position w:val="0"/>
        <w:sz w:val="22"/>
        <w:szCs w:val="22"/>
      </w:rPr>
    </w:lvl>
    <w:lvl w:ilvl="3">
      <w:start w:val="1"/>
      <w:numFmt w:val="bullet"/>
      <w:lvlText w:val="-"/>
      <w:lvlJc w:val="left"/>
      <w:pPr>
        <w:tabs>
          <w:tab w:val="num" w:pos="1773"/>
        </w:tabs>
        <w:ind w:left="1773"/>
      </w:pPr>
      <w:rPr>
        <w:color w:val="000000"/>
        <w:position w:val="0"/>
        <w:sz w:val="22"/>
        <w:szCs w:val="22"/>
      </w:rPr>
    </w:lvl>
    <w:lvl w:ilvl="4">
      <w:start w:val="1"/>
      <w:numFmt w:val="bullet"/>
      <w:lvlText w:val="-"/>
      <w:lvlJc w:val="left"/>
      <w:pPr>
        <w:tabs>
          <w:tab w:val="num" w:pos="1773"/>
        </w:tabs>
        <w:ind w:left="1773"/>
      </w:pPr>
      <w:rPr>
        <w:color w:val="000000"/>
        <w:position w:val="0"/>
        <w:sz w:val="22"/>
        <w:szCs w:val="22"/>
      </w:rPr>
    </w:lvl>
    <w:lvl w:ilvl="5">
      <w:start w:val="1"/>
      <w:numFmt w:val="bullet"/>
      <w:lvlText w:val="-"/>
      <w:lvlJc w:val="left"/>
      <w:pPr>
        <w:tabs>
          <w:tab w:val="num" w:pos="1773"/>
        </w:tabs>
        <w:ind w:left="1773"/>
      </w:pPr>
      <w:rPr>
        <w:color w:val="000000"/>
        <w:position w:val="0"/>
        <w:sz w:val="22"/>
        <w:szCs w:val="22"/>
      </w:rPr>
    </w:lvl>
    <w:lvl w:ilvl="6">
      <w:start w:val="1"/>
      <w:numFmt w:val="bullet"/>
      <w:lvlText w:val="-"/>
      <w:lvlJc w:val="left"/>
      <w:pPr>
        <w:tabs>
          <w:tab w:val="num" w:pos="1773"/>
        </w:tabs>
        <w:ind w:left="1773"/>
      </w:pPr>
      <w:rPr>
        <w:color w:val="000000"/>
        <w:position w:val="0"/>
        <w:sz w:val="22"/>
        <w:szCs w:val="22"/>
      </w:rPr>
    </w:lvl>
    <w:lvl w:ilvl="7">
      <w:start w:val="1"/>
      <w:numFmt w:val="bullet"/>
      <w:lvlText w:val="-"/>
      <w:lvlJc w:val="left"/>
      <w:pPr>
        <w:tabs>
          <w:tab w:val="num" w:pos="1773"/>
        </w:tabs>
        <w:ind w:left="1773"/>
      </w:pPr>
      <w:rPr>
        <w:color w:val="000000"/>
        <w:position w:val="0"/>
        <w:sz w:val="22"/>
        <w:szCs w:val="22"/>
      </w:rPr>
    </w:lvl>
    <w:lvl w:ilvl="8">
      <w:start w:val="1"/>
      <w:numFmt w:val="bullet"/>
      <w:lvlText w:val="-"/>
      <w:lvlJc w:val="left"/>
      <w:pPr>
        <w:tabs>
          <w:tab w:val="num" w:pos="1773"/>
        </w:tabs>
        <w:ind w:left="1773"/>
      </w:pPr>
      <w:rPr>
        <w:color w:val="000000"/>
        <w:position w:val="0"/>
        <w:sz w:val="22"/>
        <w:szCs w:val="22"/>
      </w:rPr>
    </w:lvl>
  </w:abstractNum>
  <w:abstractNum w:abstractNumId="38">
    <w:nsid w:val="1B983C7A"/>
    <w:multiLevelType w:val="multilevel"/>
    <w:tmpl w:val="AC48E4D0"/>
    <w:styleLink w:val="List134"/>
    <w:lvl w:ilvl="0">
      <w:start w:val="1"/>
      <w:numFmt w:val="decimal"/>
      <w:lvlText w:val="%1."/>
      <w:lvlJc w:val="left"/>
      <w:pPr>
        <w:tabs>
          <w:tab w:val="num" w:pos="720"/>
        </w:tabs>
        <w:ind w:left="720"/>
      </w:pPr>
      <w:rPr>
        <w:color w:val="000000"/>
        <w:position w:val="0"/>
        <w:sz w:val="22"/>
        <w:szCs w:val="22"/>
      </w:rPr>
    </w:lvl>
    <w:lvl w:ilvl="1">
      <w:start w:val="1"/>
      <w:numFmt w:val="decimal"/>
      <w:lvlText w:val="%2."/>
      <w:lvlJc w:val="left"/>
      <w:pPr>
        <w:tabs>
          <w:tab w:val="num" w:pos="1410"/>
        </w:tabs>
        <w:ind w:left="1410" w:hanging="33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39">
    <w:nsid w:val="1C9E7D38"/>
    <w:multiLevelType w:val="multilevel"/>
    <w:tmpl w:val="44C0D7B8"/>
    <w:styleLink w:val="Liste52"/>
    <w:lvl w:ilvl="0">
      <w:start w:val="1"/>
      <w:numFmt w:val="upperLetter"/>
      <w:lvlText w:val="%1."/>
      <w:lvlJc w:val="left"/>
      <w:pPr>
        <w:tabs>
          <w:tab w:val="num" w:pos="1068"/>
        </w:tabs>
        <w:ind w:left="1068"/>
      </w:pPr>
      <w:rPr>
        <w:b/>
        <w:bCs/>
        <w:color w:val="000000"/>
        <w:position w:val="0"/>
        <w:sz w:val="22"/>
        <w:szCs w:val="22"/>
      </w:rPr>
    </w:lvl>
    <w:lvl w:ilvl="1">
      <w:start w:val="1"/>
      <w:numFmt w:val="lowerLetter"/>
      <w:lvlText w:val="%2."/>
      <w:lvlJc w:val="left"/>
      <w:pPr>
        <w:tabs>
          <w:tab w:val="num" w:pos="1788"/>
        </w:tabs>
        <w:ind w:left="1788"/>
      </w:pPr>
      <w:rPr>
        <w:b/>
        <w:bCs/>
        <w:color w:val="000000"/>
        <w:position w:val="0"/>
        <w:sz w:val="22"/>
        <w:szCs w:val="22"/>
      </w:rPr>
    </w:lvl>
    <w:lvl w:ilvl="2">
      <w:start w:val="1"/>
      <w:numFmt w:val="decimal"/>
      <w:lvlText w:val="%3."/>
      <w:lvlJc w:val="left"/>
      <w:pPr>
        <w:tabs>
          <w:tab w:val="num" w:pos="1050"/>
        </w:tabs>
        <w:ind w:left="1050" w:hanging="330"/>
      </w:pPr>
      <w:rPr>
        <w:b/>
        <w:bCs/>
        <w:color w:val="000000"/>
        <w:position w:val="0"/>
        <w:sz w:val="22"/>
        <w:szCs w:val="22"/>
      </w:rPr>
    </w:lvl>
    <w:lvl w:ilvl="3">
      <w:start w:val="1"/>
      <w:numFmt w:val="decimal"/>
      <w:lvlText w:val="%4."/>
      <w:lvlJc w:val="left"/>
      <w:pPr>
        <w:tabs>
          <w:tab w:val="num" w:pos="3228"/>
        </w:tabs>
        <w:ind w:left="3228"/>
      </w:pPr>
      <w:rPr>
        <w:b/>
        <w:bCs/>
        <w:color w:val="000000"/>
        <w:position w:val="0"/>
        <w:sz w:val="22"/>
        <w:szCs w:val="22"/>
      </w:rPr>
    </w:lvl>
    <w:lvl w:ilvl="4">
      <w:start w:val="1"/>
      <w:numFmt w:val="lowerLetter"/>
      <w:lvlText w:val="%5."/>
      <w:lvlJc w:val="left"/>
      <w:pPr>
        <w:tabs>
          <w:tab w:val="num" w:pos="3948"/>
        </w:tabs>
        <w:ind w:left="3948"/>
      </w:pPr>
      <w:rPr>
        <w:b/>
        <w:bCs/>
        <w:color w:val="000000"/>
        <w:position w:val="0"/>
        <w:sz w:val="22"/>
        <w:szCs w:val="22"/>
      </w:rPr>
    </w:lvl>
    <w:lvl w:ilvl="5">
      <w:start w:val="1"/>
      <w:numFmt w:val="lowerRoman"/>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lowerLetter"/>
      <w:lvlText w:val="%8."/>
      <w:lvlJc w:val="left"/>
      <w:pPr>
        <w:tabs>
          <w:tab w:val="num" w:pos="6108"/>
        </w:tabs>
        <w:ind w:left="6108"/>
      </w:pPr>
      <w:rPr>
        <w:b/>
        <w:bCs/>
        <w:color w:val="000000"/>
        <w:position w:val="0"/>
        <w:sz w:val="22"/>
        <w:szCs w:val="22"/>
      </w:rPr>
    </w:lvl>
    <w:lvl w:ilvl="8">
      <w:start w:val="1"/>
      <w:numFmt w:val="lowerRoman"/>
      <w:lvlText w:val="%9."/>
      <w:lvlJc w:val="left"/>
      <w:pPr>
        <w:tabs>
          <w:tab w:val="num" w:pos="6828"/>
        </w:tabs>
        <w:ind w:left="6828"/>
      </w:pPr>
      <w:rPr>
        <w:b/>
        <w:bCs/>
        <w:color w:val="000000"/>
        <w:position w:val="0"/>
        <w:sz w:val="22"/>
        <w:szCs w:val="22"/>
      </w:rPr>
    </w:lvl>
  </w:abstractNum>
  <w:abstractNum w:abstractNumId="40">
    <w:nsid w:val="1E0C69F7"/>
    <w:multiLevelType w:val="multilevel"/>
    <w:tmpl w:val="0A54968A"/>
    <w:styleLink w:val="List23"/>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41">
    <w:nsid w:val="1E531B14"/>
    <w:multiLevelType w:val="multilevel"/>
    <w:tmpl w:val="EB9E9942"/>
    <w:styleLink w:val="List29"/>
    <w:lvl w:ilvl="0">
      <w:start w:val="1"/>
      <w:numFmt w:val="bullet"/>
      <w:lvlText w:val="-"/>
      <w:lvlJc w:val="left"/>
      <w:pPr>
        <w:tabs>
          <w:tab w:val="num" w:pos="1068"/>
        </w:tabs>
        <w:ind w:left="1068"/>
      </w:pPr>
      <w:rPr>
        <w:b/>
        <w:bCs/>
        <w:color w:val="000000"/>
        <w:position w:val="0"/>
        <w:sz w:val="20"/>
        <w:szCs w:val="20"/>
      </w:rPr>
    </w:lvl>
    <w:lvl w:ilvl="1">
      <w:start w:val="2"/>
      <w:numFmt w:val="decimal"/>
      <w:lvlText w:val="%2."/>
      <w:lvlJc w:val="left"/>
      <w:pPr>
        <w:tabs>
          <w:tab w:val="num" w:pos="1758"/>
        </w:tabs>
        <w:ind w:left="1758" w:hanging="330"/>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7188"/>
        </w:tabs>
        <w:ind w:left="7188"/>
      </w:pPr>
      <w:rPr>
        <w:b/>
        <w:bCs/>
        <w:color w:val="000000"/>
        <w:position w:val="0"/>
        <w:sz w:val="22"/>
        <w:szCs w:val="22"/>
      </w:rPr>
    </w:lvl>
  </w:abstractNum>
  <w:abstractNum w:abstractNumId="42">
    <w:nsid w:val="1EA01FE9"/>
    <w:multiLevelType w:val="multilevel"/>
    <w:tmpl w:val="D3226872"/>
    <w:styleLink w:val="List144"/>
    <w:lvl w:ilvl="0">
      <w:start w:val="1"/>
      <w:numFmt w:val="bullet"/>
      <w:lvlText w:val="-"/>
      <w:lvlJc w:val="left"/>
      <w:pPr>
        <w:tabs>
          <w:tab w:val="num" w:pos="1068"/>
        </w:tabs>
        <w:ind w:left="1068"/>
      </w:pPr>
      <w:rPr>
        <w:color w:val="000000"/>
        <w:position w:val="0"/>
        <w:sz w:val="22"/>
        <w:szCs w:val="22"/>
      </w:rPr>
    </w:lvl>
    <w:lvl w:ilvl="1">
      <w:start w:val="72"/>
      <w:numFmt w:val="decimal"/>
      <w:lvlText w:val="%2."/>
      <w:lvlJc w:val="left"/>
      <w:pPr>
        <w:tabs>
          <w:tab w:val="num" w:pos="570"/>
        </w:tabs>
        <w:ind w:left="570" w:hanging="330"/>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start w:val="1"/>
      <w:numFmt w:val="bullet"/>
      <w:lvlText w:val="•"/>
      <w:lvlJc w:val="left"/>
      <w:pPr>
        <w:tabs>
          <w:tab w:val="num" w:pos="3228"/>
        </w:tabs>
        <w:ind w:left="3228"/>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43">
    <w:nsid w:val="1F3E39BE"/>
    <w:multiLevelType w:val="multilevel"/>
    <w:tmpl w:val="BBAA02EE"/>
    <w:styleLink w:val="List19"/>
    <w:lvl w:ilvl="0">
      <w:start w:val="1"/>
      <w:numFmt w:val="decimal"/>
      <w:lvlText w:val="%1."/>
      <w:lvlJc w:val="left"/>
      <w:pPr>
        <w:tabs>
          <w:tab w:val="num" w:pos="1770"/>
        </w:tabs>
        <w:ind w:left="1770"/>
      </w:pPr>
      <w:rPr>
        <w:color w:val="000000"/>
        <w:position w:val="0"/>
        <w:sz w:val="22"/>
        <w:szCs w:val="22"/>
      </w:rPr>
    </w:lvl>
    <w:lvl w:ilvl="1">
      <w:start w:val="1"/>
      <w:numFmt w:val="decimal"/>
      <w:lvlText w:val="%2."/>
      <w:lvlJc w:val="left"/>
      <w:pPr>
        <w:tabs>
          <w:tab w:val="num" w:pos="2490"/>
        </w:tabs>
        <w:ind w:left="2490"/>
      </w:pPr>
      <w:rPr>
        <w:color w:val="000000"/>
        <w:position w:val="0"/>
        <w:sz w:val="22"/>
        <w:szCs w:val="22"/>
      </w:rPr>
    </w:lvl>
    <w:lvl w:ilvl="2">
      <w:start w:val="1"/>
      <w:numFmt w:val="lowerRoman"/>
      <w:lvlText w:val="%3."/>
      <w:lvlJc w:val="left"/>
      <w:pPr>
        <w:tabs>
          <w:tab w:val="num" w:pos="3182"/>
        </w:tabs>
        <w:ind w:left="3182" w:hanging="312"/>
      </w:pPr>
      <w:rPr>
        <w:color w:val="000000"/>
        <w:position w:val="0"/>
        <w:sz w:val="22"/>
        <w:szCs w:val="22"/>
      </w:rPr>
    </w:lvl>
    <w:lvl w:ilvl="3">
      <w:start w:val="1"/>
      <w:numFmt w:val="decimal"/>
      <w:lvlText w:val="%4."/>
      <w:lvlJc w:val="left"/>
      <w:pPr>
        <w:tabs>
          <w:tab w:val="num" w:pos="3930"/>
        </w:tabs>
        <w:ind w:left="3930"/>
      </w:pPr>
      <w:rPr>
        <w:color w:val="000000"/>
        <w:position w:val="0"/>
        <w:sz w:val="22"/>
        <w:szCs w:val="22"/>
      </w:rPr>
    </w:lvl>
    <w:lvl w:ilvl="4">
      <w:start w:val="1"/>
      <w:numFmt w:val="lowerLetter"/>
      <w:lvlText w:val="%5."/>
      <w:lvlJc w:val="left"/>
      <w:pPr>
        <w:tabs>
          <w:tab w:val="num" w:pos="4650"/>
        </w:tabs>
        <w:ind w:left="4650"/>
      </w:pPr>
      <w:rPr>
        <w:color w:val="000000"/>
        <w:position w:val="0"/>
        <w:sz w:val="22"/>
        <w:szCs w:val="22"/>
      </w:rPr>
    </w:lvl>
    <w:lvl w:ilvl="5">
      <w:start w:val="1"/>
      <w:numFmt w:val="lowerRoman"/>
      <w:lvlText w:val="%6."/>
      <w:lvlJc w:val="left"/>
      <w:pPr>
        <w:tabs>
          <w:tab w:val="num" w:pos="5370"/>
        </w:tabs>
        <w:ind w:left="5370"/>
      </w:pPr>
      <w:rPr>
        <w:color w:val="000000"/>
        <w:position w:val="0"/>
        <w:sz w:val="22"/>
        <w:szCs w:val="22"/>
      </w:rPr>
    </w:lvl>
    <w:lvl w:ilvl="6">
      <w:start w:val="1"/>
      <w:numFmt w:val="decimal"/>
      <w:lvlText w:val="%7."/>
      <w:lvlJc w:val="left"/>
      <w:pPr>
        <w:tabs>
          <w:tab w:val="num" w:pos="6090"/>
        </w:tabs>
        <w:ind w:left="6090"/>
      </w:pPr>
      <w:rPr>
        <w:color w:val="000000"/>
        <w:position w:val="0"/>
        <w:sz w:val="22"/>
        <w:szCs w:val="22"/>
      </w:rPr>
    </w:lvl>
    <w:lvl w:ilvl="7">
      <w:start w:val="1"/>
      <w:numFmt w:val="lowerLetter"/>
      <w:lvlText w:val="%8."/>
      <w:lvlJc w:val="left"/>
      <w:pPr>
        <w:tabs>
          <w:tab w:val="num" w:pos="6810"/>
        </w:tabs>
        <w:ind w:left="6810"/>
      </w:pPr>
      <w:rPr>
        <w:color w:val="000000"/>
        <w:position w:val="0"/>
        <w:sz w:val="22"/>
        <w:szCs w:val="22"/>
      </w:rPr>
    </w:lvl>
    <w:lvl w:ilvl="8">
      <w:start w:val="1"/>
      <w:numFmt w:val="lowerRoman"/>
      <w:lvlText w:val="%9."/>
      <w:lvlJc w:val="left"/>
      <w:pPr>
        <w:tabs>
          <w:tab w:val="num" w:pos="7530"/>
        </w:tabs>
        <w:ind w:left="7530"/>
      </w:pPr>
      <w:rPr>
        <w:color w:val="000000"/>
        <w:position w:val="0"/>
        <w:sz w:val="22"/>
        <w:szCs w:val="22"/>
      </w:rPr>
    </w:lvl>
  </w:abstractNum>
  <w:abstractNum w:abstractNumId="44">
    <w:nsid w:val="22972324"/>
    <w:multiLevelType w:val="multilevel"/>
    <w:tmpl w:val="A474805C"/>
    <w:styleLink w:val="List74"/>
    <w:lvl w:ilvl="0">
      <w:start w:val="1"/>
      <w:numFmt w:val="upperLetter"/>
      <w:lvlText w:val="%1."/>
      <w:lvlJc w:val="left"/>
      <w:pPr>
        <w:tabs>
          <w:tab w:val="num" w:pos="1035"/>
        </w:tabs>
        <w:ind w:left="1035" w:hanging="330"/>
      </w:pPr>
      <w:rPr>
        <w:i/>
        <w:iCs/>
        <w:color w:val="000000"/>
        <w:position w:val="0"/>
        <w:sz w:val="22"/>
        <w:szCs w:val="22"/>
      </w:rPr>
    </w:lvl>
    <w:lvl w:ilvl="1">
      <w:start w:val="1"/>
      <w:numFmt w:val="decimal"/>
      <w:lvlText w:val="%2."/>
      <w:lvlJc w:val="left"/>
      <w:pPr>
        <w:tabs>
          <w:tab w:val="num" w:pos="1785"/>
        </w:tabs>
        <w:ind w:left="1785"/>
      </w:pPr>
      <w:rPr>
        <w:i/>
        <w:iCs/>
        <w:color w:val="000000"/>
        <w:position w:val="0"/>
        <w:sz w:val="22"/>
        <w:szCs w:val="22"/>
      </w:rPr>
    </w:lvl>
    <w:lvl w:ilvl="2">
      <w:start w:val="1"/>
      <w:numFmt w:val="lowerRoman"/>
      <w:lvlText w:val="%3."/>
      <w:lvlJc w:val="left"/>
      <w:pPr>
        <w:tabs>
          <w:tab w:val="num" w:pos="2505"/>
        </w:tabs>
        <w:ind w:left="2505"/>
      </w:pPr>
      <w:rPr>
        <w:i/>
        <w:iCs/>
        <w:color w:val="000000"/>
        <w:position w:val="0"/>
        <w:sz w:val="22"/>
        <w:szCs w:val="22"/>
      </w:rPr>
    </w:lvl>
    <w:lvl w:ilvl="3">
      <w:start w:val="1"/>
      <w:numFmt w:val="decimal"/>
      <w:lvlText w:val="%4."/>
      <w:lvlJc w:val="left"/>
      <w:pPr>
        <w:tabs>
          <w:tab w:val="num" w:pos="3225"/>
        </w:tabs>
        <w:ind w:left="3225"/>
      </w:pPr>
      <w:rPr>
        <w:i/>
        <w:iCs/>
        <w:color w:val="000000"/>
        <w:position w:val="0"/>
        <w:sz w:val="22"/>
        <w:szCs w:val="22"/>
      </w:rPr>
    </w:lvl>
    <w:lvl w:ilvl="4">
      <w:start w:val="1"/>
      <w:numFmt w:val="lowerLetter"/>
      <w:lvlText w:val="%5."/>
      <w:lvlJc w:val="left"/>
      <w:pPr>
        <w:tabs>
          <w:tab w:val="num" w:pos="3945"/>
        </w:tabs>
        <w:ind w:left="3945"/>
      </w:pPr>
      <w:rPr>
        <w:i/>
        <w:iCs/>
        <w:color w:val="000000"/>
        <w:position w:val="0"/>
        <w:sz w:val="22"/>
        <w:szCs w:val="22"/>
      </w:rPr>
    </w:lvl>
    <w:lvl w:ilvl="5">
      <w:start w:val="1"/>
      <w:numFmt w:val="lowerRoman"/>
      <w:lvlText w:val="%6."/>
      <w:lvlJc w:val="left"/>
      <w:pPr>
        <w:tabs>
          <w:tab w:val="num" w:pos="4665"/>
        </w:tabs>
        <w:ind w:left="4665"/>
      </w:pPr>
      <w:rPr>
        <w:i/>
        <w:iCs/>
        <w:color w:val="000000"/>
        <w:position w:val="0"/>
        <w:sz w:val="22"/>
        <w:szCs w:val="22"/>
      </w:rPr>
    </w:lvl>
    <w:lvl w:ilvl="6">
      <w:start w:val="1"/>
      <w:numFmt w:val="decimal"/>
      <w:lvlText w:val="%7."/>
      <w:lvlJc w:val="left"/>
      <w:pPr>
        <w:tabs>
          <w:tab w:val="num" w:pos="5385"/>
        </w:tabs>
        <w:ind w:left="5385"/>
      </w:pPr>
      <w:rPr>
        <w:i/>
        <w:iCs/>
        <w:color w:val="000000"/>
        <w:position w:val="0"/>
        <w:sz w:val="22"/>
        <w:szCs w:val="22"/>
      </w:rPr>
    </w:lvl>
    <w:lvl w:ilvl="7">
      <w:start w:val="1"/>
      <w:numFmt w:val="lowerLetter"/>
      <w:lvlText w:val="%8."/>
      <w:lvlJc w:val="left"/>
      <w:pPr>
        <w:tabs>
          <w:tab w:val="num" w:pos="6105"/>
        </w:tabs>
        <w:ind w:left="6105"/>
      </w:pPr>
      <w:rPr>
        <w:i/>
        <w:iCs/>
        <w:color w:val="000000"/>
        <w:position w:val="0"/>
        <w:sz w:val="22"/>
        <w:szCs w:val="22"/>
      </w:rPr>
    </w:lvl>
    <w:lvl w:ilvl="8">
      <w:start w:val="1"/>
      <w:numFmt w:val="lowerRoman"/>
      <w:lvlText w:val="%9."/>
      <w:lvlJc w:val="left"/>
      <w:pPr>
        <w:tabs>
          <w:tab w:val="num" w:pos="6825"/>
        </w:tabs>
        <w:ind w:left="6825"/>
      </w:pPr>
      <w:rPr>
        <w:i/>
        <w:iCs/>
        <w:color w:val="000000"/>
        <w:position w:val="0"/>
        <w:sz w:val="22"/>
        <w:szCs w:val="22"/>
      </w:rPr>
    </w:lvl>
  </w:abstractNum>
  <w:abstractNum w:abstractNumId="45">
    <w:nsid w:val="22AB2B00"/>
    <w:multiLevelType w:val="multilevel"/>
    <w:tmpl w:val="DA84957A"/>
    <w:styleLink w:val="List16"/>
    <w:lvl w:ilvl="0">
      <w:start w:val="2"/>
      <w:numFmt w:val="decimal"/>
      <w:lvlText w:val="%1."/>
      <w:lvlJc w:val="left"/>
      <w:pPr>
        <w:tabs>
          <w:tab w:val="num" w:pos="1050"/>
        </w:tabs>
        <w:ind w:left="1050" w:hanging="330"/>
      </w:pPr>
      <w:rPr>
        <w:color w:val="000000"/>
        <w:position w:val="0"/>
        <w:sz w:val="22"/>
        <w:szCs w:val="22"/>
      </w:rPr>
    </w:lvl>
    <w:lvl w:ilvl="1">
      <w:start w:val="1"/>
      <w:numFmt w:val="decimal"/>
      <w:lvlText w:val="%1.%2."/>
      <w:lvlJc w:val="left"/>
      <w:pPr>
        <w:tabs>
          <w:tab w:val="num" w:pos="1080"/>
        </w:tabs>
        <w:ind w:left="1080"/>
      </w:pPr>
      <w:rPr>
        <w:color w:val="000000"/>
        <w:position w:val="0"/>
        <w:sz w:val="22"/>
        <w:szCs w:val="22"/>
      </w:rPr>
    </w:lvl>
    <w:lvl w:ilvl="2">
      <w:start w:val="1"/>
      <w:numFmt w:val="decimal"/>
      <w:lvlText w:val="%2."/>
      <w:lvlJc w:val="left"/>
      <w:pPr>
        <w:tabs>
          <w:tab w:val="num" w:pos="2520"/>
        </w:tabs>
        <w:ind w:left="1800"/>
      </w:pPr>
      <w:rPr>
        <w:color w:val="000000"/>
        <w:position w:val="0"/>
        <w:sz w:val="22"/>
        <w:szCs w:val="22"/>
      </w:rPr>
    </w:lvl>
    <w:lvl w:ilvl="3">
      <w:start w:val="1"/>
      <w:numFmt w:val="decimal"/>
      <w:lvlText w:val="%2."/>
      <w:lvlJc w:val="left"/>
      <w:pPr>
        <w:tabs>
          <w:tab w:val="num" w:pos="3960"/>
        </w:tabs>
        <w:ind w:left="2520"/>
      </w:pPr>
      <w:rPr>
        <w:color w:val="000000"/>
        <w:position w:val="0"/>
        <w:sz w:val="22"/>
        <w:szCs w:val="22"/>
      </w:rPr>
    </w:lvl>
    <w:lvl w:ilvl="4">
      <w:start w:val="1"/>
      <w:numFmt w:val="decimal"/>
      <w:lvlText w:val="%2."/>
      <w:lvlJc w:val="left"/>
      <w:pPr>
        <w:tabs>
          <w:tab w:val="num" w:pos="5400"/>
        </w:tabs>
        <w:ind w:left="3240"/>
      </w:pPr>
      <w:rPr>
        <w:color w:val="000000"/>
        <w:position w:val="0"/>
        <w:sz w:val="22"/>
        <w:szCs w:val="22"/>
      </w:rPr>
    </w:lvl>
    <w:lvl w:ilvl="5">
      <w:start w:val="1"/>
      <w:numFmt w:val="decimal"/>
      <w:lvlText w:val="%2."/>
      <w:lvlJc w:val="left"/>
      <w:pPr>
        <w:tabs>
          <w:tab w:val="num" w:pos="6840"/>
        </w:tabs>
        <w:ind w:left="3960"/>
      </w:pPr>
      <w:rPr>
        <w:color w:val="000000"/>
        <w:position w:val="0"/>
        <w:sz w:val="22"/>
        <w:szCs w:val="22"/>
      </w:rPr>
    </w:lvl>
    <w:lvl w:ilvl="6">
      <w:start w:val="1"/>
      <w:numFmt w:val="decimal"/>
      <w:lvlText w:val="%2."/>
      <w:lvlJc w:val="left"/>
      <w:pPr>
        <w:tabs>
          <w:tab w:val="num" w:pos="8280"/>
        </w:tabs>
        <w:ind w:left="4680"/>
      </w:pPr>
      <w:rPr>
        <w:color w:val="000000"/>
        <w:position w:val="0"/>
        <w:sz w:val="22"/>
        <w:szCs w:val="22"/>
      </w:rPr>
    </w:lvl>
    <w:lvl w:ilvl="7">
      <w:start w:val="1"/>
      <w:numFmt w:val="decimal"/>
      <w:lvlText w:val="%2."/>
      <w:lvlJc w:val="left"/>
      <w:pPr>
        <w:tabs>
          <w:tab w:val="num" w:pos="9720"/>
        </w:tabs>
        <w:ind w:left="5400"/>
      </w:pPr>
      <w:rPr>
        <w:color w:val="000000"/>
        <w:position w:val="0"/>
        <w:sz w:val="22"/>
        <w:szCs w:val="22"/>
      </w:rPr>
    </w:lvl>
    <w:lvl w:ilvl="8">
      <w:start w:val="1"/>
      <w:numFmt w:val="decimal"/>
      <w:lvlText w:val="%2."/>
      <w:lvlJc w:val="left"/>
      <w:pPr>
        <w:tabs>
          <w:tab w:val="num" w:pos="11160"/>
        </w:tabs>
        <w:ind w:left="6120"/>
      </w:pPr>
      <w:rPr>
        <w:color w:val="000000"/>
        <w:position w:val="0"/>
        <w:sz w:val="22"/>
        <w:szCs w:val="22"/>
      </w:rPr>
    </w:lvl>
  </w:abstractNum>
  <w:abstractNum w:abstractNumId="46">
    <w:nsid w:val="2325720E"/>
    <w:multiLevelType w:val="multilevel"/>
    <w:tmpl w:val="8A1CE80E"/>
    <w:styleLink w:val="List100"/>
    <w:lvl w:ilvl="0">
      <w:start w:val="1"/>
      <w:numFmt w:val="decimal"/>
      <w:lvlText w:val="%1."/>
      <w:lvlJc w:val="left"/>
      <w:pPr>
        <w:tabs>
          <w:tab w:val="num" w:pos="104"/>
        </w:tabs>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47">
    <w:nsid w:val="23424B61"/>
    <w:multiLevelType w:val="multilevel"/>
    <w:tmpl w:val="2B34F136"/>
    <w:styleLink w:val="List145"/>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48">
    <w:nsid w:val="23BF7DB8"/>
    <w:multiLevelType w:val="multilevel"/>
    <w:tmpl w:val="BF9EB40C"/>
    <w:styleLink w:val="List27"/>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49">
    <w:nsid w:val="24B74AC7"/>
    <w:multiLevelType w:val="multilevel"/>
    <w:tmpl w:val="16980EAA"/>
    <w:styleLink w:val="List13"/>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50">
    <w:nsid w:val="25851D61"/>
    <w:multiLevelType w:val="multilevel"/>
    <w:tmpl w:val="A9A24A8C"/>
    <w:styleLink w:val="List147"/>
    <w:lvl w:ilvl="0">
      <w:start w:val="1"/>
      <w:numFmt w:val="bullet"/>
      <w:lvlText w:val="·"/>
      <w:lvlJc w:val="left"/>
      <w:pPr>
        <w:tabs>
          <w:tab w:val="num" w:pos="690"/>
        </w:tabs>
        <w:ind w:left="690" w:hanging="330"/>
      </w:pPr>
      <w:rPr>
        <w:color w:val="000000"/>
        <w:position w:val="0"/>
        <w:sz w:val="22"/>
        <w:szCs w:val="22"/>
      </w:rPr>
    </w:lvl>
    <w:lvl w:ilvl="1">
      <w:start w:val="1"/>
      <w:numFmt w:val="bullet"/>
      <w:lvlText w:val="o"/>
      <w:lvlJc w:val="left"/>
      <w:pPr>
        <w:tabs>
          <w:tab w:val="num" w:pos="1440"/>
        </w:tabs>
        <w:ind w:left="1440"/>
      </w:pPr>
      <w:rPr>
        <w:color w:val="000000"/>
        <w:position w:val="0"/>
        <w:sz w:val="20"/>
        <w:szCs w:val="20"/>
      </w:rPr>
    </w:lvl>
    <w:lvl w:ilvl="2">
      <w:start w:val="1"/>
      <w:numFmt w:val="bullet"/>
      <w:lvlText w:val=""/>
      <w:lvlJc w:val="left"/>
      <w:pPr>
        <w:tabs>
          <w:tab w:val="num" w:pos="2160"/>
        </w:tabs>
        <w:ind w:left="2160"/>
      </w:pPr>
      <w:rPr>
        <w:color w:val="000000"/>
        <w:position w:val="0"/>
        <w:sz w:val="20"/>
        <w:szCs w:val="20"/>
      </w:rPr>
    </w:lvl>
    <w:lvl w:ilvl="3">
      <w:start w:val="1"/>
      <w:numFmt w:val="bullet"/>
      <w:lvlText w:val="·"/>
      <w:lvlJc w:val="left"/>
      <w:pPr>
        <w:tabs>
          <w:tab w:val="num" w:pos="2880"/>
        </w:tabs>
        <w:ind w:left="2880"/>
      </w:pPr>
      <w:rPr>
        <w:color w:val="000000"/>
        <w:position w:val="0"/>
        <w:sz w:val="20"/>
        <w:szCs w:val="20"/>
      </w:rPr>
    </w:lvl>
    <w:lvl w:ilvl="4">
      <w:start w:val="1"/>
      <w:numFmt w:val="bullet"/>
      <w:lvlText w:val="o"/>
      <w:lvlJc w:val="left"/>
      <w:pPr>
        <w:tabs>
          <w:tab w:val="num" w:pos="3600"/>
        </w:tabs>
        <w:ind w:left="3600"/>
      </w:pPr>
      <w:rPr>
        <w:color w:val="000000"/>
        <w:position w:val="0"/>
        <w:sz w:val="20"/>
        <w:szCs w:val="20"/>
      </w:rPr>
    </w:lvl>
    <w:lvl w:ilvl="5">
      <w:start w:val="1"/>
      <w:numFmt w:val="bullet"/>
      <w:lvlText w:val=""/>
      <w:lvlJc w:val="left"/>
      <w:pPr>
        <w:tabs>
          <w:tab w:val="num" w:pos="4320"/>
        </w:tabs>
        <w:ind w:left="4320"/>
      </w:pPr>
      <w:rPr>
        <w:color w:val="000000"/>
        <w:position w:val="0"/>
        <w:sz w:val="20"/>
        <w:szCs w:val="20"/>
      </w:rPr>
    </w:lvl>
    <w:lvl w:ilvl="6">
      <w:start w:val="1"/>
      <w:numFmt w:val="bullet"/>
      <w:lvlText w:val="·"/>
      <w:lvlJc w:val="left"/>
      <w:pPr>
        <w:tabs>
          <w:tab w:val="num" w:pos="5040"/>
        </w:tabs>
        <w:ind w:left="5040"/>
      </w:pPr>
      <w:rPr>
        <w:color w:val="000000"/>
        <w:position w:val="0"/>
        <w:sz w:val="20"/>
        <w:szCs w:val="20"/>
      </w:rPr>
    </w:lvl>
    <w:lvl w:ilvl="7">
      <w:start w:val="1"/>
      <w:numFmt w:val="bullet"/>
      <w:lvlText w:val="o"/>
      <w:lvlJc w:val="left"/>
      <w:pPr>
        <w:tabs>
          <w:tab w:val="num" w:pos="5760"/>
        </w:tabs>
        <w:ind w:left="5760"/>
      </w:pPr>
      <w:rPr>
        <w:color w:val="000000"/>
        <w:position w:val="0"/>
        <w:sz w:val="20"/>
        <w:szCs w:val="20"/>
      </w:rPr>
    </w:lvl>
    <w:lvl w:ilvl="8">
      <w:start w:val="1"/>
      <w:numFmt w:val="bullet"/>
      <w:lvlText w:val=""/>
      <w:lvlJc w:val="left"/>
      <w:pPr>
        <w:tabs>
          <w:tab w:val="num" w:pos="6480"/>
        </w:tabs>
        <w:ind w:left="6480"/>
      </w:pPr>
      <w:rPr>
        <w:color w:val="000000"/>
        <w:position w:val="0"/>
        <w:sz w:val="20"/>
        <w:szCs w:val="20"/>
      </w:rPr>
    </w:lvl>
  </w:abstractNum>
  <w:abstractNum w:abstractNumId="51">
    <w:nsid w:val="25AA1173"/>
    <w:multiLevelType w:val="multilevel"/>
    <w:tmpl w:val="18D2AA54"/>
    <w:styleLink w:val="List95"/>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52">
    <w:nsid w:val="25E56D9F"/>
    <w:multiLevelType w:val="multilevel"/>
    <w:tmpl w:val="8D86AE88"/>
    <w:styleLink w:val="List126"/>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53">
    <w:nsid w:val="271168CD"/>
    <w:multiLevelType w:val="multilevel"/>
    <w:tmpl w:val="A0464DCC"/>
    <w:styleLink w:val="List15"/>
    <w:lvl w:ilvl="0">
      <w:start w:val="1"/>
      <w:numFmt w:val="decimal"/>
      <w:lvlText w:val="%1."/>
      <w:lvlJc w:val="left"/>
      <w:pPr>
        <w:tabs>
          <w:tab w:val="num" w:pos="1050"/>
        </w:tabs>
        <w:ind w:left="1050" w:hanging="330"/>
      </w:pPr>
      <w:rPr>
        <w:color w:val="000000"/>
        <w:position w:val="0"/>
        <w:sz w:val="22"/>
        <w:szCs w:val="22"/>
      </w:rPr>
    </w:lvl>
    <w:lvl w:ilvl="1">
      <w:start w:val="1"/>
      <w:numFmt w:val="decimal"/>
      <w:lvlText w:val="%1.%2."/>
      <w:lvlJc w:val="left"/>
      <w:pPr>
        <w:tabs>
          <w:tab w:val="num" w:pos="1080"/>
        </w:tabs>
        <w:ind w:left="1080"/>
      </w:pPr>
      <w:rPr>
        <w:color w:val="000000"/>
        <w:position w:val="0"/>
        <w:sz w:val="22"/>
        <w:szCs w:val="22"/>
      </w:rPr>
    </w:lvl>
    <w:lvl w:ilvl="2">
      <w:start w:val="1"/>
      <w:numFmt w:val="decimal"/>
      <w:lvlText w:val="%2."/>
      <w:lvlJc w:val="left"/>
      <w:pPr>
        <w:tabs>
          <w:tab w:val="num" w:pos="2520"/>
        </w:tabs>
        <w:ind w:left="1800"/>
      </w:pPr>
      <w:rPr>
        <w:color w:val="000000"/>
        <w:position w:val="0"/>
        <w:sz w:val="22"/>
        <w:szCs w:val="22"/>
      </w:rPr>
    </w:lvl>
    <w:lvl w:ilvl="3">
      <w:start w:val="1"/>
      <w:numFmt w:val="decimal"/>
      <w:lvlText w:val="%2."/>
      <w:lvlJc w:val="left"/>
      <w:pPr>
        <w:tabs>
          <w:tab w:val="num" w:pos="3960"/>
        </w:tabs>
        <w:ind w:left="2520"/>
      </w:pPr>
      <w:rPr>
        <w:color w:val="000000"/>
        <w:position w:val="0"/>
        <w:sz w:val="22"/>
        <w:szCs w:val="22"/>
      </w:rPr>
    </w:lvl>
    <w:lvl w:ilvl="4">
      <w:start w:val="1"/>
      <w:numFmt w:val="decimal"/>
      <w:lvlText w:val="%2."/>
      <w:lvlJc w:val="left"/>
      <w:pPr>
        <w:tabs>
          <w:tab w:val="num" w:pos="5400"/>
        </w:tabs>
        <w:ind w:left="3240"/>
      </w:pPr>
      <w:rPr>
        <w:color w:val="000000"/>
        <w:position w:val="0"/>
        <w:sz w:val="22"/>
        <w:szCs w:val="22"/>
      </w:rPr>
    </w:lvl>
    <w:lvl w:ilvl="5">
      <w:start w:val="1"/>
      <w:numFmt w:val="decimal"/>
      <w:lvlText w:val="%2."/>
      <w:lvlJc w:val="left"/>
      <w:pPr>
        <w:tabs>
          <w:tab w:val="num" w:pos="6840"/>
        </w:tabs>
        <w:ind w:left="3960"/>
      </w:pPr>
      <w:rPr>
        <w:color w:val="000000"/>
        <w:position w:val="0"/>
        <w:sz w:val="22"/>
        <w:szCs w:val="22"/>
      </w:rPr>
    </w:lvl>
    <w:lvl w:ilvl="6">
      <w:start w:val="1"/>
      <w:numFmt w:val="decimal"/>
      <w:lvlText w:val="%2."/>
      <w:lvlJc w:val="left"/>
      <w:pPr>
        <w:tabs>
          <w:tab w:val="num" w:pos="8280"/>
        </w:tabs>
        <w:ind w:left="4680"/>
      </w:pPr>
      <w:rPr>
        <w:color w:val="000000"/>
        <w:position w:val="0"/>
        <w:sz w:val="22"/>
        <w:szCs w:val="22"/>
      </w:rPr>
    </w:lvl>
    <w:lvl w:ilvl="7">
      <w:start w:val="1"/>
      <w:numFmt w:val="decimal"/>
      <w:lvlText w:val="%2."/>
      <w:lvlJc w:val="left"/>
      <w:pPr>
        <w:tabs>
          <w:tab w:val="num" w:pos="9720"/>
        </w:tabs>
        <w:ind w:left="5400"/>
      </w:pPr>
      <w:rPr>
        <w:color w:val="000000"/>
        <w:position w:val="0"/>
        <w:sz w:val="22"/>
        <w:szCs w:val="22"/>
      </w:rPr>
    </w:lvl>
    <w:lvl w:ilvl="8">
      <w:start w:val="1"/>
      <w:numFmt w:val="decimal"/>
      <w:lvlText w:val="%2."/>
      <w:lvlJc w:val="left"/>
      <w:pPr>
        <w:tabs>
          <w:tab w:val="num" w:pos="11160"/>
        </w:tabs>
        <w:ind w:left="6120"/>
      </w:pPr>
      <w:rPr>
        <w:color w:val="000000"/>
        <w:position w:val="0"/>
        <w:sz w:val="22"/>
        <w:szCs w:val="22"/>
      </w:rPr>
    </w:lvl>
  </w:abstractNum>
  <w:abstractNum w:abstractNumId="54">
    <w:nsid w:val="272567A9"/>
    <w:multiLevelType w:val="multilevel"/>
    <w:tmpl w:val="2152BE7E"/>
    <w:styleLink w:val="List77"/>
    <w:lvl w:ilvl="0">
      <w:start w:val="1"/>
      <w:numFmt w:val="bullet"/>
      <w:lvlText w:val="-"/>
      <w:lvlJc w:val="left"/>
      <w:pPr>
        <w:tabs>
          <w:tab w:val="num" w:pos="1068"/>
        </w:tabs>
        <w:ind w:left="1068"/>
      </w:pPr>
      <w:rPr>
        <w:color w:val="000000"/>
        <w:position w:val="0"/>
        <w:sz w:val="20"/>
        <w:szCs w:val="20"/>
      </w:rPr>
    </w:lvl>
    <w:lvl w:ilvl="1">
      <w:start w:val="1"/>
      <w:numFmt w:val="decimal"/>
      <w:lvlText w:val="%2."/>
      <w:lvlJc w:val="left"/>
      <w:pPr>
        <w:tabs>
          <w:tab w:val="num" w:pos="1788"/>
        </w:tabs>
        <w:ind w:left="1788"/>
      </w:pPr>
      <w:rPr>
        <w:color w:val="000000"/>
        <w:position w:val="0"/>
        <w:sz w:val="22"/>
        <w:szCs w:val="22"/>
      </w:rPr>
    </w:lvl>
    <w:lvl w:ilvl="2">
      <w:numFmt w:val="bullet"/>
      <w:lvlText w:val=""/>
      <w:lvlJc w:val="left"/>
      <w:pPr>
        <w:tabs>
          <w:tab w:val="num" w:pos="2478"/>
        </w:tabs>
        <w:ind w:left="2478" w:hanging="330"/>
      </w:pPr>
      <w:rPr>
        <w:color w:val="000000"/>
        <w:position w:val="0"/>
        <w:sz w:val="22"/>
        <w:szCs w:val="22"/>
      </w:rPr>
    </w:lvl>
    <w:lvl w:ilvl="3">
      <w:start w:val="1"/>
      <w:numFmt w:val="bullet"/>
      <w:lvlText w:val="•"/>
      <w:lvlJc w:val="left"/>
      <w:pPr>
        <w:tabs>
          <w:tab w:val="num" w:pos="3228"/>
        </w:tabs>
        <w:ind w:left="3228"/>
      </w:pPr>
      <w:rPr>
        <w:color w:val="000000"/>
        <w:position w:val="0"/>
        <w:sz w:val="20"/>
        <w:szCs w:val="20"/>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0"/>
        <w:szCs w:val="20"/>
      </w:rPr>
    </w:lvl>
    <w:lvl w:ilvl="8">
      <w:start w:val="1"/>
      <w:numFmt w:val="upperRoman"/>
      <w:lvlText w:val="%9."/>
      <w:lvlJc w:val="left"/>
      <w:pPr>
        <w:tabs>
          <w:tab w:val="num" w:pos="7188"/>
        </w:tabs>
        <w:ind w:left="7188"/>
      </w:pPr>
      <w:rPr>
        <w:color w:val="000000"/>
        <w:position w:val="0"/>
        <w:sz w:val="22"/>
        <w:szCs w:val="22"/>
      </w:rPr>
    </w:lvl>
  </w:abstractNum>
  <w:abstractNum w:abstractNumId="55">
    <w:nsid w:val="27547B8B"/>
    <w:multiLevelType w:val="multilevel"/>
    <w:tmpl w:val="99EC6C7A"/>
    <w:styleLink w:val="List137"/>
    <w:lvl w:ilvl="0">
      <w:start w:val="2"/>
      <w:numFmt w:val="decimal"/>
      <w:lvlText w:val="%1."/>
      <w:lvlJc w:val="left"/>
      <w:pPr>
        <w:tabs>
          <w:tab w:val="num" w:pos="1410"/>
        </w:tabs>
        <w:ind w:left="1410" w:hanging="330"/>
      </w:pPr>
      <w:rPr>
        <w:b/>
        <w:bCs/>
        <w:color w:val="000000"/>
        <w:position w:val="0"/>
        <w:sz w:val="22"/>
        <w:szCs w:val="22"/>
      </w:rPr>
    </w:lvl>
    <w:lvl w:ilvl="1">
      <w:start w:val="1"/>
      <w:numFmt w:val="decimal"/>
      <w:lvlText w:val="%2."/>
      <w:lvlJc w:val="left"/>
      <w:pPr>
        <w:tabs>
          <w:tab w:val="num" w:pos="1440"/>
        </w:tabs>
        <w:ind w:left="144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56">
    <w:nsid w:val="28086CB1"/>
    <w:multiLevelType w:val="multilevel"/>
    <w:tmpl w:val="04B605B8"/>
    <w:styleLink w:val="List129"/>
    <w:lvl w:ilvl="0">
      <w:start w:val="1"/>
      <w:numFmt w:val="decimal"/>
      <w:lvlText w:val="%1."/>
      <w:lvlJc w:val="left"/>
      <w:pPr>
        <w:tabs>
          <w:tab w:val="num" w:pos="2280"/>
        </w:tabs>
        <w:ind w:left="2280"/>
      </w:pPr>
      <w:rPr>
        <w:b/>
        <w:bCs/>
        <w:color w:val="000000"/>
        <w:position w:val="0"/>
        <w:sz w:val="22"/>
        <w:szCs w:val="22"/>
      </w:rPr>
    </w:lvl>
    <w:lvl w:ilvl="1">
      <w:start w:val="2"/>
      <w:numFmt w:val="upperLetter"/>
      <w:lvlText w:val="%2."/>
      <w:lvlJc w:val="left"/>
      <w:pPr>
        <w:tabs>
          <w:tab w:val="num" w:pos="570"/>
        </w:tabs>
        <w:ind w:left="570" w:hanging="330"/>
      </w:pPr>
      <w:rPr>
        <w:b/>
        <w:bCs/>
        <w:color w:val="000000"/>
        <w:position w:val="0"/>
        <w:sz w:val="22"/>
        <w:szCs w:val="22"/>
      </w:rPr>
    </w:lvl>
    <w:lvl w:ilvl="2">
      <w:start w:val="1"/>
      <w:numFmt w:val="lowerLetter"/>
      <w:lvlText w:val="%3)"/>
      <w:lvlJc w:val="left"/>
      <w:pPr>
        <w:tabs>
          <w:tab w:val="num" w:pos="3900"/>
        </w:tabs>
        <w:ind w:left="3900"/>
      </w:pPr>
      <w:rPr>
        <w:b/>
        <w:bCs/>
        <w:color w:val="000000"/>
        <w:position w:val="0"/>
        <w:sz w:val="22"/>
        <w:szCs w:val="22"/>
      </w:rPr>
    </w:lvl>
    <w:lvl w:ilvl="3">
      <w:start w:val="1"/>
      <w:numFmt w:val="lowerLetter"/>
      <w:lvlText w:val="%4."/>
      <w:lvlJc w:val="left"/>
      <w:pPr>
        <w:tabs>
          <w:tab w:val="num" w:pos="4440"/>
        </w:tabs>
        <w:ind w:left="4440"/>
      </w:pPr>
      <w:rPr>
        <w:b/>
        <w:bCs/>
        <w:color w:val="000000"/>
        <w:position w:val="0"/>
        <w:sz w:val="22"/>
        <w:szCs w:val="22"/>
      </w:rPr>
    </w:lvl>
    <w:lvl w:ilvl="4">
      <w:start w:val="1"/>
      <w:numFmt w:val="lowerLetter"/>
      <w:lvlText w:val="%5."/>
      <w:lvlJc w:val="left"/>
      <w:pPr>
        <w:tabs>
          <w:tab w:val="num" w:pos="5160"/>
        </w:tabs>
        <w:ind w:left="5160"/>
      </w:pPr>
      <w:rPr>
        <w:b/>
        <w:bCs/>
        <w:color w:val="000000"/>
        <w:position w:val="0"/>
        <w:sz w:val="22"/>
        <w:szCs w:val="22"/>
      </w:rPr>
    </w:lvl>
    <w:lvl w:ilvl="5">
      <w:start w:val="1"/>
      <w:numFmt w:val="lowerRoman"/>
      <w:lvlText w:val="%6."/>
      <w:lvlJc w:val="left"/>
      <w:pPr>
        <w:tabs>
          <w:tab w:val="num" w:pos="5880"/>
        </w:tabs>
        <w:ind w:left="5880"/>
      </w:pPr>
      <w:rPr>
        <w:b/>
        <w:bCs/>
        <w:color w:val="000000"/>
        <w:position w:val="0"/>
        <w:sz w:val="22"/>
        <w:szCs w:val="22"/>
      </w:rPr>
    </w:lvl>
    <w:lvl w:ilvl="6">
      <w:start w:val="1"/>
      <w:numFmt w:val="decimal"/>
      <w:lvlText w:val="%7."/>
      <w:lvlJc w:val="left"/>
      <w:pPr>
        <w:tabs>
          <w:tab w:val="num" w:pos="6600"/>
        </w:tabs>
        <w:ind w:left="6600"/>
      </w:pPr>
      <w:rPr>
        <w:b/>
        <w:bCs/>
        <w:color w:val="000000"/>
        <w:position w:val="0"/>
        <w:sz w:val="22"/>
        <w:szCs w:val="22"/>
      </w:rPr>
    </w:lvl>
    <w:lvl w:ilvl="7">
      <w:start w:val="1"/>
      <w:numFmt w:val="lowerLetter"/>
      <w:lvlText w:val="%8."/>
      <w:lvlJc w:val="left"/>
      <w:pPr>
        <w:tabs>
          <w:tab w:val="num" w:pos="7320"/>
        </w:tabs>
        <w:ind w:left="7320"/>
      </w:pPr>
      <w:rPr>
        <w:b/>
        <w:bCs/>
        <w:color w:val="000000"/>
        <w:position w:val="0"/>
        <w:sz w:val="22"/>
        <w:szCs w:val="22"/>
      </w:rPr>
    </w:lvl>
    <w:lvl w:ilvl="8">
      <w:start w:val="1"/>
      <w:numFmt w:val="lowerRoman"/>
      <w:lvlText w:val="%9."/>
      <w:lvlJc w:val="left"/>
      <w:pPr>
        <w:tabs>
          <w:tab w:val="num" w:pos="8040"/>
        </w:tabs>
        <w:ind w:left="8040"/>
      </w:pPr>
      <w:rPr>
        <w:b/>
        <w:bCs/>
        <w:color w:val="000000"/>
        <w:position w:val="0"/>
        <w:sz w:val="22"/>
        <w:szCs w:val="22"/>
      </w:rPr>
    </w:lvl>
  </w:abstractNum>
  <w:abstractNum w:abstractNumId="57">
    <w:nsid w:val="289A60CF"/>
    <w:multiLevelType w:val="multilevel"/>
    <w:tmpl w:val="82881550"/>
    <w:styleLink w:val="List103"/>
    <w:lvl w:ilvl="0">
      <w:start w:val="1"/>
      <w:numFmt w:val="decimal"/>
      <w:lvlText w:val="%1."/>
      <w:lvlJc w:val="left"/>
      <w:pPr>
        <w:tabs>
          <w:tab w:val="num" w:pos="2280"/>
        </w:tabs>
        <w:ind w:left="2280"/>
      </w:pPr>
      <w:rPr>
        <w:b/>
        <w:bCs/>
        <w:color w:val="000000"/>
        <w:position w:val="0"/>
        <w:sz w:val="22"/>
        <w:szCs w:val="22"/>
      </w:rPr>
    </w:lvl>
    <w:lvl w:ilvl="1">
      <w:start w:val="1"/>
      <w:numFmt w:val="upperLetter"/>
      <w:lvlText w:val="%2."/>
      <w:lvlJc w:val="left"/>
      <w:pPr>
        <w:tabs>
          <w:tab w:val="num" w:pos="2970"/>
        </w:tabs>
        <w:ind w:left="2970" w:hanging="330"/>
      </w:pPr>
      <w:rPr>
        <w:b/>
        <w:bCs/>
        <w:color w:val="000000"/>
        <w:position w:val="0"/>
        <w:sz w:val="22"/>
        <w:szCs w:val="22"/>
      </w:rPr>
    </w:lvl>
    <w:lvl w:ilvl="2">
      <w:start w:val="1"/>
      <w:numFmt w:val="lowerLetter"/>
      <w:lvlText w:val="%3)"/>
      <w:lvlJc w:val="left"/>
      <w:pPr>
        <w:tabs>
          <w:tab w:val="num" w:pos="3900"/>
        </w:tabs>
        <w:ind w:left="3900"/>
      </w:pPr>
      <w:rPr>
        <w:b/>
        <w:bCs/>
        <w:color w:val="000000"/>
        <w:position w:val="0"/>
        <w:sz w:val="22"/>
        <w:szCs w:val="22"/>
      </w:rPr>
    </w:lvl>
    <w:lvl w:ilvl="3">
      <w:start w:val="1"/>
      <w:numFmt w:val="lowerLetter"/>
      <w:lvlText w:val="%4."/>
      <w:lvlJc w:val="left"/>
      <w:pPr>
        <w:tabs>
          <w:tab w:val="num" w:pos="4440"/>
        </w:tabs>
        <w:ind w:left="4440"/>
      </w:pPr>
      <w:rPr>
        <w:b/>
        <w:bCs/>
        <w:color w:val="000000"/>
        <w:position w:val="0"/>
        <w:sz w:val="22"/>
        <w:szCs w:val="22"/>
      </w:rPr>
    </w:lvl>
    <w:lvl w:ilvl="4">
      <w:start w:val="1"/>
      <w:numFmt w:val="lowerLetter"/>
      <w:lvlText w:val="%5."/>
      <w:lvlJc w:val="left"/>
      <w:pPr>
        <w:tabs>
          <w:tab w:val="num" w:pos="5160"/>
        </w:tabs>
        <w:ind w:left="5160"/>
      </w:pPr>
      <w:rPr>
        <w:b/>
        <w:bCs/>
        <w:color w:val="000000"/>
        <w:position w:val="0"/>
        <w:sz w:val="22"/>
        <w:szCs w:val="22"/>
      </w:rPr>
    </w:lvl>
    <w:lvl w:ilvl="5">
      <w:start w:val="1"/>
      <w:numFmt w:val="lowerRoman"/>
      <w:lvlText w:val="%6."/>
      <w:lvlJc w:val="left"/>
      <w:pPr>
        <w:tabs>
          <w:tab w:val="num" w:pos="5880"/>
        </w:tabs>
        <w:ind w:left="5880"/>
      </w:pPr>
      <w:rPr>
        <w:b/>
        <w:bCs/>
        <w:color w:val="000000"/>
        <w:position w:val="0"/>
        <w:sz w:val="22"/>
        <w:szCs w:val="22"/>
      </w:rPr>
    </w:lvl>
    <w:lvl w:ilvl="6">
      <w:start w:val="1"/>
      <w:numFmt w:val="decimal"/>
      <w:lvlText w:val="%7."/>
      <w:lvlJc w:val="left"/>
      <w:pPr>
        <w:tabs>
          <w:tab w:val="num" w:pos="6600"/>
        </w:tabs>
        <w:ind w:left="6600"/>
      </w:pPr>
      <w:rPr>
        <w:b/>
        <w:bCs/>
        <w:color w:val="000000"/>
        <w:position w:val="0"/>
        <w:sz w:val="22"/>
        <w:szCs w:val="22"/>
      </w:rPr>
    </w:lvl>
    <w:lvl w:ilvl="7">
      <w:start w:val="1"/>
      <w:numFmt w:val="lowerLetter"/>
      <w:lvlText w:val="%8."/>
      <w:lvlJc w:val="left"/>
      <w:pPr>
        <w:tabs>
          <w:tab w:val="num" w:pos="7320"/>
        </w:tabs>
        <w:ind w:left="7320"/>
      </w:pPr>
      <w:rPr>
        <w:b/>
        <w:bCs/>
        <w:color w:val="000000"/>
        <w:position w:val="0"/>
        <w:sz w:val="22"/>
        <w:szCs w:val="22"/>
      </w:rPr>
    </w:lvl>
    <w:lvl w:ilvl="8">
      <w:start w:val="1"/>
      <w:numFmt w:val="lowerRoman"/>
      <w:lvlText w:val="%9."/>
      <w:lvlJc w:val="left"/>
      <w:pPr>
        <w:tabs>
          <w:tab w:val="num" w:pos="8040"/>
        </w:tabs>
        <w:ind w:left="8040"/>
      </w:pPr>
      <w:rPr>
        <w:b/>
        <w:bCs/>
        <w:color w:val="000000"/>
        <w:position w:val="0"/>
        <w:sz w:val="22"/>
        <w:szCs w:val="22"/>
      </w:rPr>
    </w:lvl>
  </w:abstractNum>
  <w:abstractNum w:abstractNumId="58">
    <w:nsid w:val="298C2348"/>
    <w:multiLevelType w:val="multilevel"/>
    <w:tmpl w:val="934439C6"/>
    <w:styleLink w:val="List36"/>
    <w:lvl w:ilvl="0">
      <w:start w:val="1"/>
      <w:numFmt w:val="bullet"/>
      <w:lvlText w:val="-"/>
      <w:lvlJc w:val="left"/>
      <w:pPr>
        <w:tabs>
          <w:tab w:val="num" w:pos="1068"/>
        </w:tabs>
        <w:ind w:left="1068"/>
      </w:pPr>
      <w:rPr>
        <w:b/>
        <w:bCs/>
        <w:color w:val="000000"/>
        <w:position w:val="0"/>
        <w:sz w:val="20"/>
        <w:szCs w:val="20"/>
      </w:rPr>
    </w:lvl>
    <w:lvl w:ilvl="1">
      <w:start w:val="4"/>
      <w:numFmt w:val="decimal"/>
      <w:lvlText w:val="%2."/>
      <w:lvlJc w:val="left"/>
      <w:pPr>
        <w:tabs>
          <w:tab w:val="num" w:pos="810"/>
        </w:tabs>
        <w:ind w:left="810" w:hanging="330"/>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7188"/>
        </w:tabs>
        <w:ind w:left="7188"/>
      </w:pPr>
      <w:rPr>
        <w:b/>
        <w:bCs/>
        <w:color w:val="000000"/>
        <w:position w:val="0"/>
        <w:sz w:val="22"/>
        <w:szCs w:val="22"/>
      </w:rPr>
    </w:lvl>
  </w:abstractNum>
  <w:abstractNum w:abstractNumId="59">
    <w:nsid w:val="29CC2544"/>
    <w:multiLevelType w:val="multilevel"/>
    <w:tmpl w:val="CB7A8470"/>
    <w:styleLink w:val="List117"/>
    <w:lvl w:ilvl="0">
      <w:start w:val="1"/>
      <w:numFmt w:val="decimal"/>
      <w:lvlText w:val="%1."/>
      <w:lvlJc w:val="left"/>
      <w:pPr>
        <w:tabs>
          <w:tab w:val="num" w:pos="690"/>
        </w:tabs>
        <w:ind w:left="690" w:hanging="330"/>
      </w:pPr>
      <w:rPr>
        <w:color w:val="000000"/>
        <w:position w:val="0"/>
        <w:sz w:val="22"/>
        <w:szCs w:val="22"/>
      </w:rPr>
    </w:lvl>
    <w:lvl w:ilvl="1">
      <w:start w:val="1"/>
      <w:numFmt w:val="decimal"/>
      <w:lvlText w:val="%2."/>
      <w:lvlJc w:val="left"/>
      <w:pPr>
        <w:tabs>
          <w:tab w:val="num" w:pos="1440"/>
        </w:tabs>
        <w:ind w:left="1440"/>
      </w:pPr>
      <w:rPr>
        <w:color w:val="000000"/>
        <w:position w:val="0"/>
        <w:sz w:val="22"/>
        <w:szCs w:val="22"/>
      </w:rPr>
    </w:lvl>
    <w:lvl w:ilvl="2">
      <w:start w:val="1"/>
      <w:numFmt w:val="upp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60">
    <w:nsid w:val="29CD529F"/>
    <w:multiLevelType w:val="multilevel"/>
    <w:tmpl w:val="D89ED21E"/>
    <w:styleLink w:val="List20"/>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61">
    <w:nsid w:val="2A194835"/>
    <w:multiLevelType w:val="multilevel"/>
    <w:tmpl w:val="9A6E0AA0"/>
    <w:styleLink w:val="List9"/>
    <w:lvl w:ilvl="0">
      <w:start w:val="1"/>
      <w:numFmt w:val="decimal"/>
      <w:lvlText w:val="%1."/>
      <w:lvlJc w:val="left"/>
      <w:pPr>
        <w:tabs>
          <w:tab w:val="num" w:pos="720"/>
        </w:tabs>
        <w:ind w:left="720"/>
      </w:pPr>
      <w:rPr>
        <w:color w:val="000000"/>
        <w:position w:val="0"/>
        <w:sz w:val="22"/>
        <w:szCs w:val="22"/>
      </w:rPr>
    </w:lvl>
    <w:lvl w:ilvl="1">
      <w:start w:val="1"/>
      <w:numFmt w:val="upperLetter"/>
      <w:lvlText w:val="%2."/>
      <w:lvlJc w:val="left"/>
      <w:pPr>
        <w:tabs>
          <w:tab w:val="num" w:pos="1410"/>
        </w:tabs>
        <w:ind w:left="1410" w:hanging="33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62">
    <w:nsid w:val="2AA251FA"/>
    <w:multiLevelType w:val="multilevel"/>
    <w:tmpl w:val="75C8ECF4"/>
    <w:styleLink w:val="List91"/>
    <w:lvl w:ilvl="0">
      <w:start w:val="1"/>
      <w:numFmt w:val="decimal"/>
      <w:lvlText w:val="%1."/>
      <w:lvlJc w:val="left"/>
      <w:pPr>
        <w:tabs>
          <w:tab w:val="num" w:pos="1440"/>
        </w:tabs>
        <w:ind w:left="1440"/>
      </w:pPr>
      <w:rPr>
        <w:color w:val="000000"/>
        <w:position w:val="0"/>
        <w:sz w:val="22"/>
        <w:szCs w:val="22"/>
      </w:rPr>
    </w:lvl>
    <w:lvl w:ilvl="1">
      <w:start w:val="1"/>
      <w:numFmt w:val="lowerLetter"/>
      <w:lvlText w:val="%2."/>
      <w:lvlJc w:val="left"/>
      <w:pPr>
        <w:tabs>
          <w:tab w:val="num" w:pos="2130"/>
        </w:tabs>
        <w:ind w:left="2130" w:hanging="330"/>
      </w:pPr>
      <w:rPr>
        <w:color w:val="000000"/>
        <w:position w:val="0"/>
        <w:sz w:val="22"/>
        <w:szCs w:val="22"/>
      </w:rPr>
    </w:lvl>
    <w:lvl w:ilvl="2">
      <w:start w:val="1"/>
      <w:numFmt w:val="lowerRoman"/>
      <w:lvlText w:val="%3."/>
      <w:lvlJc w:val="left"/>
      <w:pPr>
        <w:tabs>
          <w:tab w:val="num" w:pos="2880"/>
        </w:tabs>
        <w:ind w:left="2880"/>
      </w:pPr>
      <w:rPr>
        <w:color w:val="000000"/>
        <w:position w:val="0"/>
        <w:sz w:val="22"/>
        <w:szCs w:val="22"/>
      </w:rPr>
    </w:lvl>
    <w:lvl w:ilvl="3">
      <w:start w:val="1"/>
      <w:numFmt w:val="decimal"/>
      <w:lvlText w:val="%4."/>
      <w:lvlJc w:val="left"/>
      <w:pPr>
        <w:tabs>
          <w:tab w:val="num" w:pos="3600"/>
        </w:tabs>
        <w:ind w:left="3600"/>
      </w:pPr>
      <w:rPr>
        <w:color w:val="000000"/>
        <w:position w:val="0"/>
        <w:sz w:val="22"/>
        <w:szCs w:val="22"/>
      </w:rPr>
    </w:lvl>
    <w:lvl w:ilvl="4">
      <w:start w:val="1"/>
      <w:numFmt w:val="lowerLetter"/>
      <w:lvlText w:val="%5."/>
      <w:lvlJc w:val="left"/>
      <w:pPr>
        <w:tabs>
          <w:tab w:val="num" w:pos="4320"/>
        </w:tabs>
        <w:ind w:left="4320"/>
      </w:pPr>
      <w:rPr>
        <w:color w:val="000000"/>
        <w:position w:val="0"/>
        <w:sz w:val="22"/>
        <w:szCs w:val="22"/>
      </w:rPr>
    </w:lvl>
    <w:lvl w:ilvl="5">
      <w:start w:val="1"/>
      <w:numFmt w:val="lowerRoman"/>
      <w:lvlText w:val="%6."/>
      <w:lvlJc w:val="left"/>
      <w:pPr>
        <w:tabs>
          <w:tab w:val="num" w:pos="5040"/>
        </w:tabs>
        <w:ind w:left="5040"/>
      </w:pPr>
      <w:rPr>
        <w:color w:val="000000"/>
        <w:position w:val="0"/>
        <w:sz w:val="22"/>
        <w:szCs w:val="22"/>
      </w:rPr>
    </w:lvl>
    <w:lvl w:ilvl="6">
      <w:start w:val="1"/>
      <w:numFmt w:val="decimal"/>
      <w:lvlText w:val="%7."/>
      <w:lvlJc w:val="left"/>
      <w:pPr>
        <w:tabs>
          <w:tab w:val="num" w:pos="5760"/>
        </w:tabs>
        <w:ind w:left="5760"/>
      </w:pPr>
      <w:rPr>
        <w:color w:val="000000"/>
        <w:position w:val="0"/>
        <w:sz w:val="22"/>
        <w:szCs w:val="22"/>
      </w:rPr>
    </w:lvl>
    <w:lvl w:ilvl="7">
      <w:start w:val="1"/>
      <w:numFmt w:val="lowerLetter"/>
      <w:lvlText w:val="%8."/>
      <w:lvlJc w:val="left"/>
      <w:pPr>
        <w:tabs>
          <w:tab w:val="num" w:pos="6480"/>
        </w:tabs>
        <w:ind w:left="6480"/>
      </w:pPr>
      <w:rPr>
        <w:color w:val="000000"/>
        <w:position w:val="0"/>
        <w:sz w:val="22"/>
        <w:szCs w:val="22"/>
      </w:rPr>
    </w:lvl>
    <w:lvl w:ilvl="8">
      <w:start w:val="1"/>
      <w:numFmt w:val="lowerRoman"/>
      <w:lvlText w:val="%9."/>
      <w:lvlJc w:val="left"/>
      <w:pPr>
        <w:tabs>
          <w:tab w:val="num" w:pos="7200"/>
        </w:tabs>
        <w:ind w:left="7200"/>
      </w:pPr>
      <w:rPr>
        <w:color w:val="000000"/>
        <w:position w:val="0"/>
        <w:sz w:val="22"/>
        <w:szCs w:val="22"/>
      </w:rPr>
    </w:lvl>
  </w:abstractNum>
  <w:abstractNum w:abstractNumId="63">
    <w:nsid w:val="2B0B7886"/>
    <w:multiLevelType w:val="multilevel"/>
    <w:tmpl w:val="12C8EE3A"/>
    <w:styleLink w:val="List132"/>
    <w:lvl w:ilvl="0">
      <w:start w:val="1"/>
      <w:numFmt w:val="decimal"/>
      <w:lvlText w:val="%1."/>
      <w:lvlJc w:val="left"/>
      <w:pPr>
        <w:tabs>
          <w:tab w:val="num" w:pos="720"/>
        </w:tabs>
        <w:ind w:left="720"/>
      </w:pPr>
      <w:rPr>
        <w:b/>
        <w:bCs/>
        <w:color w:val="000000"/>
        <w:position w:val="0"/>
        <w:sz w:val="22"/>
        <w:szCs w:val="22"/>
      </w:rPr>
    </w:lvl>
    <w:lvl w:ilvl="1">
      <w:start w:val="1"/>
      <w:numFmt w:val="decimal"/>
      <w:lvlText w:val="%2."/>
      <w:lvlJc w:val="left"/>
      <w:pPr>
        <w:tabs>
          <w:tab w:val="num" w:pos="1410"/>
        </w:tabs>
        <w:ind w:left="1410" w:hanging="330"/>
      </w:pPr>
      <w:rPr>
        <w:b/>
        <w:bCs/>
        <w:color w:val="000000"/>
        <w:position w:val="0"/>
        <w:sz w:val="22"/>
        <w:szCs w:val="22"/>
      </w:rPr>
    </w:lvl>
    <w:lvl w:ilvl="2">
      <w:start w:val="1"/>
      <w:numFmt w:val="upperLetter"/>
      <w:lvlText w:val="%3."/>
      <w:lvlJc w:val="left"/>
      <w:pPr>
        <w:tabs>
          <w:tab w:val="num" w:pos="2340"/>
        </w:tabs>
        <w:ind w:left="234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64">
    <w:nsid w:val="2C090315"/>
    <w:multiLevelType w:val="multilevel"/>
    <w:tmpl w:val="EED64282"/>
    <w:styleLink w:val="List84"/>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65">
    <w:nsid w:val="2CDC3E06"/>
    <w:multiLevelType w:val="multilevel"/>
    <w:tmpl w:val="3FA04492"/>
    <w:styleLink w:val="List49"/>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66">
    <w:nsid w:val="2D9A3142"/>
    <w:multiLevelType w:val="multilevel"/>
    <w:tmpl w:val="F55C5304"/>
    <w:styleLink w:val="List99"/>
    <w:lvl w:ilvl="0">
      <w:start w:val="1"/>
      <w:numFmt w:val="decimal"/>
      <w:lvlText w:val="%1."/>
      <w:lvlJc w:val="left"/>
      <w:pPr>
        <w:tabs>
          <w:tab w:val="num" w:pos="330"/>
        </w:tabs>
        <w:ind w:left="330" w:hanging="330"/>
      </w:pPr>
      <w:rPr>
        <w:b/>
        <w:bCs/>
        <w:color w:val="000000"/>
        <w:position w:val="0"/>
        <w:sz w:val="22"/>
        <w:szCs w:val="22"/>
      </w:rPr>
    </w:lvl>
    <w:lvl w:ilvl="1">
      <w:start w:val="1"/>
      <w:numFmt w:val="decimal"/>
      <w:lvlText w:val="%2."/>
      <w:lvlJc w:val="left"/>
      <w:pPr>
        <w:tabs>
          <w:tab w:val="num" w:pos="1080"/>
        </w:tabs>
        <w:ind w:left="1080"/>
      </w:pPr>
      <w:rPr>
        <w:b/>
        <w:bCs/>
        <w:color w:val="000000"/>
        <w:position w:val="0"/>
        <w:sz w:val="22"/>
        <w:szCs w:val="22"/>
      </w:rPr>
    </w:lvl>
    <w:lvl w:ilvl="2">
      <w:start w:val="1"/>
      <w:numFmt w:val="lowerRoman"/>
      <w:lvlText w:val="%3."/>
      <w:lvlJc w:val="left"/>
      <w:pPr>
        <w:tabs>
          <w:tab w:val="num" w:pos="1800"/>
        </w:tabs>
        <w:ind w:left="1800"/>
      </w:pPr>
      <w:rPr>
        <w:b/>
        <w:bCs/>
        <w:color w:val="000000"/>
        <w:position w:val="0"/>
        <w:sz w:val="22"/>
        <w:szCs w:val="22"/>
      </w:rPr>
    </w:lvl>
    <w:lvl w:ilvl="3">
      <w:start w:val="1"/>
      <w:numFmt w:val="decimal"/>
      <w:lvlText w:val="%4."/>
      <w:lvlJc w:val="left"/>
      <w:pPr>
        <w:tabs>
          <w:tab w:val="num" w:pos="2520"/>
        </w:tabs>
        <w:ind w:left="2520"/>
      </w:pPr>
      <w:rPr>
        <w:b/>
        <w:bCs/>
        <w:color w:val="000000"/>
        <w:position w:val="0"/>
        <w:sz w:val="22"/>
        <w:szCs w:val="22"/>
      </w:rPr>
    </w:lvl>
    <w:lvl w:ilvl="4">
      <w:start w:val="1"/>
      <w:numFmt w:val="lowerLetter"/>
      <w:lvlText w:val="%5."/>
      <w:lvlJc w:val="left"/>
      <w:pPr>
        <w:tabs>
          <w:tab w:val="num" w:pos="3240"/>
        </w:tabs>
        <w:ind w:left="3240"/>
      </w:pPr>
      <w:rPr>
        <w:b/>
        <w:bCs/>
        <w:color w:val="000000"/>
        <w:position w:val="0"/>
        <w:sz w:val="22"/>
        <w:szCs w:val="22"/>
      </w:rPr>
    </w:lvl>
    <w:lvl w:ilvl="5">
      <w:start w:val="1"/>
      <w:numFmt w:val="lowerRoman"/>
      <w:lvlText w:val="%6."/>
      <w:lvlJc w:val="left"/>
      <w:pPr>
        <w:tabs>
          <w:tab w:val="num" w:pos="3960"/>
        </w:tabs>
        <w:ind w:left="3960"/>
      </w:pPr>
      <w:rPr>
        <w:b/>
        <w:bCs/>
        <w:color w:val="000000"/>
        <w:position w:val="0"/>
        <w:sz w:val="22"/>
        <w:szCs w:val="22"/>
      </w:rPr>
    </w:lvl>
    <w:lvl w:ilvl="6">
      <w:start w:val="1"/>
      <w:numFmt w:val="decimal"/>
      <w:lvlText w:val="%7."/>
      <w:lvlJc w:val="left"/>
      <w:pPr>
        <w:tabs>
          <w:tab w:val="num" w:pos="4680"/>
        </w:tabs>
        <w:ind w:left="4680"/>
      </w:pPr>
      <w:rPr>
        <w:b/>
        <w:bCs/>
        <w:color w:val="000000"/>
        <w:position w:val="0"/>
        <w:sz w:val="22"/>
        <w:szCs w:val="22"/>
      </w:rPr>
    </w:lvl>
    <w:lvl w:ilvl="7">
      <w:start w:val="1"/>
      <w:numFmt w:val="lowerLetter"/>
      <w:lvlText w:val="%8."/>
      <w:lvlJc w:val="left"/>
      <w:pPr>
        <w:tabs>
          <w:tab w:val="num" w:pos="5400"/>
        </w:tabs>
        <w:ind w:left="5400"/>
      </w:pPr>
      <w:rPr>
        <w:b/>
        <w:bCs/>
        <w:color w:val="000000"/>
        <w:position w:val="0"/>
        <w:sz w:val="22"/>
        <w:szCs w:val="22"/>
      </w:rPr>
    </w:lvl>
    <w:lvl w:ilvl="8">
      <w:start w:val="1"/>
      <w:numFmt w:val="lowerRoman"/>
      <w:lvlText w:val="%9."/>
      <w:lvlJc w:val="left"/>
      <w:pPr>
        <w:tabs>
          <w:tab w:val="num" w:pos="6120"/>
        </w:tabs>
        <w:ind w:left="6120"/>
      </w:pPr>
      <w:rPr>
        <w:b/>
        <w:bCs/>
        <w:color w:val="000000"/>
        <w:position w:val="0"/>
        <w:sz w:val="22"/>
        <w:szCs w:val="22"/>
      </w:rPr>
    </w:lvl>
  </w:abstractNum>
  <w:abstractNum w:abstractNumId="67">
    <w:nsid w:val="2D9D1777"/>
    <w:multiLevelType w:val="multilevel"/>
    <w:tmpl w:val="E5E6293C"/>
    <w:styleLink w:val="List34"/>
    <w:lvl w:ilvl="0">
      <w:start w:val="1"/>
      <w:numFmt w:val="bullet"/>
      <w:lvlText w:val="-"/>
      <w:lvlJc w:val="left"/>
      <w:pPr>
        <w:tabs>
          <w:tab w:val="num" w:pos="1068"/>
        </w:tabs>
        <w:ind w:left="1068"/>
      </w:pPr>
      <w:rPr>
        <w:b/>
        <w:bCs/>
        <w:color w:val="000000"/>
        <w:position w:val="0"/>
        <w:sz w:val="20"/>
        <w:szCs w:val="20"/>
      </w:rPr>
    </w:lvl>
    <w:lvl w:ilvl="1">
      <w:start w:val="1"/>
      <w:numFmt w:val="decimal"/>
      <w:lvlText w:val="%2."/>
      <w:lvlJc w:val="left"/>
      <w:pPr>
        <w:tabs>
          <w:tab w:val="num" w:pos="1788"/>
        </w:tabs>
        <w:ind w:left="1788"/>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930"/>
        </w:tabs>
        <w:ind w:left="930" w:hanging="330"/>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7188"/>
        </w:tabs>
        <w:ind w:left="7188"/>
      </w:pPr>
      <w:rPr>
        <w:b/>
        <w:bCs/>
        <w:color w:val="000000"/>
        <w:position w:val="0"/>
        <w:sz w:val="22"/>
        <w:szCs w:val="22"/>
      </w:rPr>
    </w:lvl>
  </w:abstractNum>
  <w:abstractNum w:abstractNumId="68">
    <w:nsid w:val="2DB81664"/>
    <w:multiLevelType w:val="multilevel"/>
    <w:tmpl w:val="6114A1BA"/>
    <w:styleLink w:val="List25"/>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69">
    <w:nsid w:val="323E26CA"/>
    <w:multiLevelType w:val="multilevel"/>
    <w:tmpl w:val="87AEA598"/>
    <w:styleLink w:val="List90"/>
    <w:lvl w:ilvl="0">
      <w:start w:val="1"/>
      <w:numFmt w:val="decimal"/>
      <w:lvlText w:val="%1."/>
      <w:lvlJc w:val="left"/>
      <w:pPr>
        <w:tabs>
          <w:tab w:val="num" w:pos="1410"/>
        </w:tabs>
        <w:ind w:left="1410" w:hanging="330"/>
      </w:pPr>
      <w:rPr>
        <w:color w:val="000000"/>
        <w:position w:val="0"/>
        <w:sz w:val="22"/>
        <w:szCs w:val="22"/>
      </w:rPr>
    </w:lvl>
    <w:lvl w:ilvl="1">
      <w:start w:val="1"/>
      <w:numFmt w:val="lowerLetter"/>
      <w:lvlText w:val="%2."/>
      <w:lvlJc w:val="left"/>
      <w:pPr>
        <w:tabs>
          <w:tab w:val="num" w:pos="2160"/>
        </w:tabs>
        <w:ind w:left="2160"/>
      </w:pPr>
      <w:rPr>
        <w:color w:val="000000"/>
        <w:position w:val="0"/>
        <w:sz w:val="22"/>
        <w:szCs w:val="22"/>
      </w:rPr>
    </w:lvl>
    <w:lvl w:ilvl="2">
      <w:start w:val="1"/>
      <w:numFmt w:val="lowerRoman"/>
      <w:lvlText w:val="%3."/>
      <w:lvlJc w:val="left"/>
      <w:pPr>
        <w:tabs>
          <w:tab w:val="num" w:pos="2880"/>
        </w:tabs>
        <w:ind w:left="2880"/>
      </w:pPr>
      <w:rPr>
        <w:color w:val="000000"/>
        <w:position w:val="0"/>
        <w:sz w:val="22"/>
        <w:szCs w:val="22"/>
      </w:rPr>
    </w:lvl>
    <w:lvl w:ilvl="3">
      <w:start w:val="1"/>
      <w:numFmt w:val="decimal"/>
      <w:lvlText w:val="%4."/>
      <w:lvlJc w:val="left"/>
      <w:pPr>
        <w:tabs>
          <w:tab w:val="num" w:pos="3600"/>
        </w:tabs>
        <w:ind w:left="3600"/>
      </w:pPr>
      <w:rPr>
        <w:color w:val="000000"/>
        <w:position w:val="0"/>
        <w:sz w:val="22"/>
        <w:szCs w:val="22"/>
      </w:rPr>
    </w:lvl>
    <w:lvl w:ilvl="4">
      <w:start w:val="1"/>
      <w:numFmt w:val="lowerLetter"/>
      <w:lvlText w:val="%5."/>
      <w:lvlJc w:val="left"/>
      <w:pPr>
        <w:tabs>
          <w:tab w:val="num" w:pos="4320"/>
        </w:tabs>
        <w:ind w:left="4320"/>
      </w:pPr>
      <w:rPr>
        <w:color w:val="000000"/>
        <w:position w:val="0"/>
        <w:sz w:val="22"/>
        <w:szCs w:val="22"/>
      </w:rPr>
    </w:lvl>
    <w:lvl w:ilvl="5">
      <w:start w:val="1"/>
      <w:numFmt w:val="lowerRoman"/>
      <w:lvlText w:val="%6."/>
      <w:lvlJc w:val="left"/>
      <w:pPr>
        <w:tabs>
          <w:tab w:val="num" w:pos="5040"/>
        </w:tabs>
        <w:ind w:left="5040"/>
      </w:pPr>
      <w:rPr>
        <w:color w:val="000000"/>
        <w:position w:val="0"/>
        <w:sz w:val="22"/>
        <w:szCs w:val="22"/>
      </w:rPr>
    </w:lvl>
    <w:lvl w:ilvl="6">
      <w:start w:val="1"/>
      <w:numFmt w:val="decimal"/>
      <w:lvlText w:val="%7."/>
      <w:lvlJc w:val="left"/>
      <w:pPr>
        <w:tabs>
          <w:tab w:val="num" w:pos="5760"/>
        </w:tabs>
        <w:ind w:left="5760"/>
      </w:pPr>
      <w:rPr>
        <w:color w:val="000000"/>
        <w:position w:val="0"/>
        <w:sz w:val="22"/>
        <w:szCs w:val="22"/>
      </w:rPr>
    </w:lvl>
    <w:lvl w:ilvl="7">
      <w:start w:val="1"/>
      <w:numFmt w:val="lowerLetter"/>
      <w:lvlText w:val="%8."/>
      <w:lvlJc w:val="left"/>
      <w:pPr>
        <w:tabs>
          <w:tab w:val="num" w:pos="6480"/>
        </w:tabs>
        <w:ind w:left="6480"/>
      </w:pPr>
      <w:rPr>
        <w:color w:val="000000"/>
        <w:position w:val="0"/>
        <w:sz w:val="22"/>
        <w:szCs w:val="22"/>
      </w:rPr>
    </w:lvl>
    <w:lvl w:ilvl="8">
      <w:start w:val="1"/>
      <w:numFmt w:val="lowerRoman"/>
      <w:lvlText w:val="%9."/>
      <w:lvlJc w:val="left"/>
      <w:pPr>
        <w:tabs>
          <w:tab w:val="num" w:pos="7200"/>
        </w:tabs>
        <w:ind w:left="7200"/>
      </w:pPr>
      <w:rPr>
        <w:color w:val="000000"/>
        <w:position w:val="0"/>
        <w:sz w:val="22"/>
        <w:szCs w:val="22"/>
      </w:rPr>
    </w:lvl>
  </w:abstractNum>
  <w:abstractNum w:abstractNumId="70">
    <w:nsid w:val="32C3205A"/>
    <w:multiLevelType w:val="multilevel"/>
    <w:tmpl w:val="B2142CCA"/>
    <w:styleLink w:val="List44"/>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71">
    <w:nsid w:val="33C71004"/>
    <w:multiLevelType w:val="multilevel"/>
    <w:tmpl w:val="4312814C"/>
    <w:styleLink w:val="List690"/>
    <w:lvl w:ilvl="0">
      <w:start w:val="1"/>
      <w:numFmt w:val="decimal"/>
      <w:lvlText w:val="%1."/>
      <w:lvlJc w:val="left"/>
      <w:pPr>
        <w:tabs>
          <w:tab w:val="num" w:pos="360"/>
        </w:tabs>
        <w:ind w:left="360"/>
      </w:pPr>
      <w:rPr>
        <w:color w:val="000000"/>
        <w:position w:val="0"/>
        <w:sz w:val="22"/>
        <w:szCs w:val="22"/>
      </w:rPr>
    </w:lvl>
    <w:lvl w:ilvl="1">
      <w:start w:val="1"/>
      <w:numFmt w:val="decimal"/>
      <w:lvlText w:val="%2."/>
      <w:lvlJc w:val="left"/>
      <w:pPr>
        <w:tabs>
          <w:tab w:val="num" w:pos="1080"/>
        </w:tabs>
        <w:ind w:left="1080"/>
      </w:pPr>
      <w:rPr>
        <w:color w:val="000000"/>
        <w:position w:val="0"/>
        <w:sz w:val="22"/>
        <w:szCs w:val="22"/>
      </w:rPr>
    </w:lvl>
    <w:lvl w:ilvl="2">
      <w:start w:val="1"/>
      <w:numFmt w:val="lowerRoman"/>
      <w:lvlText w:val="%3."/>
      <w:lvlJc w:val="left"/>
      <w:pPr>
        <w:tabs>
          <w:tab w:val="num" w:pos="1800"/>
        </w:tabs>
        <w:ind w:left="1800"/>
      </w:pPr>
      <w:rPr>
        <w:color w:val="000000"/>
        <w:position w:val="0"/>
        <w:sz w:val="22"/>
        <w:szCs w:val="22"/>
      </w:rPr>
    </w:lvl>
    <w:lvl w:ilvl="3">
      <w:start w:val="1"/>
      <w:numFmt w:val="decimal"/>
      <w:lvlText w:val="%4."/>
      <w:lvlJc w:val="left"/>
      <w:pPr>
        <w:tabs>
          <w:tab w:val="num" w:pos="2520"/>
        </w:tabs>
        <w:ind w:left="2520"/>
      </w:pPr>
      <w:rPr>
        <w:color w:val="000000"/>
        <w:position w:val="0"/>
        <w:sz w:val="22"/>
        <w:szCs w:val="22"/>
      </w:rPr>
    </w:lvl>
    <w:lvl w:ilvl="4">
      <w:start w:val="1"/>
      <w:numFmt w:val="lowerLetter"/>
      <w:lvlText w:val="%5."/>
      <w:lvlJc w:val="left"/>
      <w:pPr>
        <w:tabs>
          <w:tab w:val="num" w:pos="3240"/>
        </w:tabs>
        <w:ind w:left="3240"/>
      </w:pPr>
      <w:rPr>
        <w:color w:val="000000"/>
        <w:position w:val="0"/>
        <w:sz w:val="22"/>
        <w:szCs w:val="22"/>
      </w:rPr>
    </w:lvl>
    <w:lvl w:ilvl="5">
      <w:start w:val="1"/>
      <w:numFmt w:val="lowerRoman"/>
      <w:lvlText w:val="%6."/>
      <w:lvlJc w:val="left"/>
      <w:pPr>
        <w:tabs>
          <w:tab w:val="num" w:pos="3960"/>
        </w:tabs>
        <w:ind w:left="3960"/>
      </w:pPr>
      <w:rPr>
        <w:color w:val="000000"/>
        <w:position w:val="0"/>
        <w:sz w:val="22"/>
        <w:szCs w:val="22"/>
      </w:rPr>
    </w:lvl>
    <w:lvl w:ilvl="6">
      <w:start w:val="1"/>
      <w:numFmt w:val="decimal"/>
      <w:lvlText w:val="%7."/>
      <w:lvlJc w:val="left"/>
      <w:pPr>
        <w:tabs>
          <w:tab w:val="num" w:pos="4680"/>
        </w:tabs>
        <w:ind w:left="4680"/>
      </w:pPr>
      <w:rPr>
        <w:color w:val="000000"/>
        <w:position w:val="0"/>
        <w:sz w:val="22"/>
        <w:szCs w:val="22"/>
      </w:rPr>
    </w:lvl>
    <w:lvl w:ilvl="7">
      <w:start w:val="1"/>
      <w:numFmt w:val="lowerLetter"/>
      <w:lvlText w:val="%8."/>
      <w:lvlJc w:val="left"/>
      <w:pPr>
        <w:tabs>
          <w:tab w:val="num" w:pos="5400"/>
        </w:tabs>
        <w:ind w:left="5400"/>
      </w:pPr>
      <w:rPr>
        <w:color w:val="000000"/>
        <w:position w:val="0"/>
        <w:sz w:val="22"/>
        <w:szCs w:val="22"/>
      </w:rPr>
    </w:lvl>
    <w:lvl w:ilvl="8">
      <w:start w:val="1"/>
      <w:numFmt w:val="lowerRoman"/>
      <w:lvlText w:val="%9."/>
      <w:lvlJc w:val="left"/>
      <w:pPr>
        <w:tabs>
          <w:tab w:val="num" w:pos="6120"/>
        </w:tabs>
        <w:ind w:left="6120"/>
      </w:pPr>
      <w:rPr>
        <w:color w:val="000000"/>
        <w:position w:val="0"/>
        <w:sz w:val="22"/>
        <w:szCs w:val="22"/>
      </w:rPr>
    </w:lvl>
  </w:abstractNum>
  <w:abstractNum w:abstractNumId="72">
    <w:nsid w:val="34393B1C"/>
    <w:multiLevelType w:val="multilevel"/>
    <w:tmpl w:val="A6B86184"/>
    <w:styleLink w:val="List109"/>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73">
    <w:nsid w:val="377B3605"/>
    <w:multiLevelType w:val="multilevel"/>
    <w:tmpl w:val="4698B3E2"/>
    <w:styleLink w:val="List17"/>
    <w:lvl w:ilvl="0">
      <w:start w:val="1"/>
      <w:numFmt w:val="decimal"/>
      <w:lvlText w:val="%1."/>
      <w:lvlJc w:val="left"/>
      <w:pPr>
        <w:tabs>
          <w:tab w:val="num" w:pos="1740"/>
        </w:tabs>
        <w:ind w:left="1740" w:hanging="330"/>
      </w:pPr>
      <w:rPr>
        <w:color w:val="000000"/>
        <w:position w:val="0"/>
        <w:sz w:val="22"/>
        <w:szCs w:val="22"/>
      </w:rPr>
    </w:lvl>
    <w:lvl w:ilvl="1">
      <w:start w:val="1"/>
      <w:numFmt w:val="decimal"/>
      <w:lvlText w:val="%2."/>
      <w:lvlJc w:val="left"/>
      <w:pPr>
        <w:tabs>
          <w:tab w:val="num" w:pos="2490"/>
        </w:tabs>
        <w:ind w:left="2490"/>
      </w:pPr>
      <w:rPr>
        <w:color w:val="000000"/>
        <w:position w:val="0"/>
        <w:sz w:val="22"/>
        <w:szCs w:val="22"/>
      </w:rPr>
    </w:lvl>
    <w:lvl w:ilvl="2">
      <w:start w:val="1"/>
      <w:numFmt w:val="lowerRoman"/>
      <w:lvlText w:val="%3."/>
      <w:lvlJc w:val="left"/>
      <w:pPr>
        <w:tabs>
          <w:tab w:val="num" w:pos="3210"/>
        </w:tabs>
        <w:ind w:left="3210"/>
      </w:pPr>
      <w:rPr>
        <w:color w:val="000000"/>
        <w:position w:val="0"/>
        <w:sz w:val="22"/>
        <w:szCs w:val="22"/>
      </w:rPr>
    </w:lvl>
    <w:lvl w:ilvl="3">
      <w:start w:val="1"/>
      <w:numFmt w:val="decimal"/>
      <w:lvlText w:val="%4."/>
      <w:lvlJc w:val="left"/>
      <w:pPr>
        <w:tabs>
          <w:tab w:val="num" w:pos="3930"/>
        </w:tabs>
        <w:ind w:left="3930"/>
      </w:pPr>
      <w:rPr>
        <w:color w:val="000000"/>
        <w:position w:val="0"/>
        <w:sz w:val="22"/>
        <w:szCs w:val="22"/>
      </w:rPr>
    </w:lvl>
    <w:lvl w:ilvl="4">
      <w:start w:val="1"/>
      <w:numFmt w:val="lowerLetter"/>
      <w:lvlText w:val="%5."/>
      <w:lvlJc w:val="left"/>
      <w:pPr>
        <w:tabs>
          <w:tab w:val="num" w:pos="4650"/>
        </w:tabs>
        <w:ind w:left="4650"/>
      </w:pPr>
      <w:rPr>
        <w:color w:val="000000"/>
        <w:position w:val="0"/>
        <w:sz w:val="22"/>
        <w:szCs w:val="22"/>
      </w:rPr>
    </w:lvl>
    <w:lvl w:ilvl="5">
      <w:start w:val="1"/>
      <w:numFmt w:val="lowerRoman"/>
      <w:lvlText w:val="%6."/>
      <w:lvlJc w:val="left"/>
      <w:pPr>
        <w:tabs>
          <w:tab w:val="num" w:pos="5370"/>
        </w:tabs>
        <w:ind w:left="5370"/>
      </w:pPr>
      <w:rPr>
        <w:color w:val="000000"/>
        <w:position w:val="0"/>
        <w:sz w:val="22"/>
        <w:szCs w:val="22"/>
      </w:rPr>
    </w:lvl>
    <w:lvl w:ilvl="6">
      <w:start w:val="1"/>
      <w:numFmt w:val="decimal"/>
      <w:lvlText w:val="%7."/>
      <w:lvlJc w:val="left"/>
      <w:pPr>
        <w:tabs>
          <w:tab w:val="num" w:pos="6090"/>
        </w:tabs>
        <w:ind w:left="6090"/>
      </w:pPr>
      <w:rPr>
        <w:color w:val="000000"/>
        <w:position w:val="0"/>
        <w:sz w:val="22"/>
        <w:szCs w:val="22"/>
      </w:rPr>
    </w:lvl>
    <w:lvl w:ilvl="7">
      <w:start w:val="1"/>
      <w:numFmt w:val="lowerLetter"/>
      <w:lvlText w:val="%8."/>
      <w:lvlJc w:val="left"/>
      <w:pPr>
        <w:tabs>
          <w:tab w:val="num" w:pos="6810"/>
        </w:tabs>
        <w:ind w:left="6810"/>
      </w:pPr>
      <w:rPr>
        <w:color w:val="000000"/>
        <w:position w:val="0"/>
        <w:sz w:val="22"/>
        <w:szCs w:val="22"/>
      </w:rPr>
    </w:lvl>
    <w:lvl w:ilvl="8">
      <w:start w:val="1"/>
      <w:numFmt w:val="lowerRoman"/>
      <w:lvlText w:val="%9."/>
      <w:lvlJc w:val="left"/>
      <w:pPr>
        <w:tabs>
          <w:tab w:val="num" w:pos="7530"/>
        </w:tabs>
        <w:ind w:left="7530"/>
      </w:pPr>
      <w:rPr>
        <w:color w:val="000000"/>
        <w:position w:val="0"/>
        <w:sz w:val="22"/>
        <w:szCs w:val="22"/>
      </w:rPr>
    </w:lvl>
  </w:abstractNum>
  <w:abstractNum w:abstractNumId="74">
    <w:nsid w:val="39FA5B92"/>
    <w:multiLevelType w:val="multilevel"/>
    <w:tmpl w:val="534AA8D6"/>
    <w:styleLink w:val="List107"/>
    <w:lvl w:ilvl="0">
      <w:start w:val="1"/>
      <w:numFmt w:val="decimal"/>
      <w:lvlText w:val="%1."/>
      <w:lvlJc w:val="left"/>
      <w:pPr>
        <w:tabs>
          <w:tab w:val="num" w:pos="690"/>
        </w:tabs>
        <w:ind w:left="690" w:hanging="330"/>
      </w:pPr>
      <w:rPr>
        <w:color w:val="000000"/>
        <w:position w:val="0"/>
        <w:sz w:val="22"/>
        <w:szCs w:val="22"/>
      </w:rPr>
    </w:lvl>
    <w:lvl w:ilvl="1">
      <w:start w:val="1"/>
      <w:numFmt w:val="decimal"/>
      <w:lvlText w:val="%2."/>
      <w:lvlJc w:val="left"/>
      <w:pPr>
        <w:tabs>
          <w:tab w:val="num" w:pos="1440"/>
        </w:tabs>
        <w:ind w:left="144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75">
    <w:nsid w:val="3A7A0BF0"/>
    <w:multiLevelType w:val="multilevel"/>
    <w:tmpl w:val="46BABB16"/>
    <w:styleLink w:val="List45"/>
    <w:lvl w:ilvl="0">
      <w:start w:val="1"/>
      <w:numFmt w:val="decimal"/>
      <w:lvlText w:val="%1."/>
      <w:lvlJc w:val="left"/>
      <w:pPr>
        <w:tabs>
          <w:tab w:val="num" w:pos="690"/>
        </w:tabs>
        <w:ind w:left="690" w:hanging="330"/>
      </w:pPr>
      <w:rPr>
        <w:color w:val="000000"/>
        <w:position w:val="0"/>
        <w:sz w:val="22"/>
        <w:szCs w:val="22"/>
      </w:rPr>
    </w:lvl>
    <w:lvl w:ilvl="1">
      <w:start w:val="1"/>
      <w:numFmt w:val="upperLetter"/>
      <w:lvlText w:val="%2."/>
      <w:lvlJc w:val="left"/>
      <w:pPr>
        <w:tabs>
          <w:tab w:val="num" w:pos="1440"/>
        </w:tabs>
        <w:ind w:left="144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76">
    <w:nsid w:val="3D4B2DA6"/>
    <w:multiLevelType w:val="multilevel"/>
    <w:tmpl w:val="E80A497C"/>
    <w:styleLink w:val="List127"/>
    <w:lvl w:ilvl="0">
      <w:start w:val="1"/>
      <w:numFmt w:val="bullet"/>
      <w:lvlText w:val="-"/>
      <w:lvlJc w:val="left"/>
      <w:pPr>
        <w:tabs>
          <w:tab w:val="num" w:pos="1068"/>
        </w:tabs>
        <w:ind w:left="1068"/>
      </w:pPr>
      <w:rPr>
        <w:b/>
        <w:bCs/>
        <w:color w:val="000000"/>
        <w:position w:val="0"/>
        <w:sz w:val="20"/>
        <w:szCs w:val="20"/>
      </w:rPr>
    </w:lvl>
    <w:lvl w:ilvl="1">
      <w:start w:val="64"/>
      <w:numFmt w:val="decimal"/>
      <w:lvlText w:val="%2."/>
      <w:lvlJc w:val="left"/>
      <w:pPr>
        <w:tabs>
          <w:tab w:val="num" w:pos="450"/>
        </w:tabs>
        <w:ind w:left="450" w:hanging="330"/>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7188"/>
        </w:tabs>
        <w:ind w:left="7188"/>
      </w:pPr>
      <w:rPr>
        <w:b/>
        <w:bCs/>
        <w:color w:val="000000"/>
        <w:position w:val="0"/>
        <w:sz w:val="22"/>
        <w:szCs w:val="22"/>
      </w:rPr>
    </w:lvl>
  </w:abstractNum>
  <w:abstractNum w:abstractNumId="77">
    <w:nsid w:val="3E493A6E"/>
    <w:multiLevelType w:val="multilevel"/>
    <w:tmpl w:val="895AB7A2"/>
    <w:styleLink w:val="List112"/>
    <w:lvl w:ilvl="0">
      <w:start w:val="1"/>
      <w:numFmt w:val="decimal"/>
      <w:lvlText w:val="%1."/>
      <w:lvlJc w:val="left"/>
      <w:pPr>
        <w:tabs>
          <w:tab w:val="num" w:pos="930"/>
        </w:tabs>
        <w:ind w:left="930" w:hanging="330"/>
      </w:pPr>
      <w:rPr>
        <w:color w:val="000000"/>
        <w:position w:val="0"/>
        <w:sz w:val="22"/>
        <w:szCs w:val="22"/>
      </w:rPr>
    </w:lvl>
    <w:lvl w:ilvl="1">
      <w:start w:val="1"/>
      <w:numFmt w:val="decimal"/>
      <w:lvlText w:val="%1.%2."/>
      <w:lvlJc w:val="left"/>
      <w:pPr>
        <w:tabs>
          <w:tab w:val="num" w:pos="960"/>
        </w:tabs>
        <w:ind w:left="960"/>
      </w:pPr>
      <w:rPr>
        <w:color w:val="000000"/>
        <w:position w:val="0"/>
        <w:sz w:val="22"/>
        <w:szCs w:val="22"/>
      </w:rPr>
    </w:lvl>
    <w:lvl w:ilvl="2">
      <w:start w:val="1"/>
      <w:numFmt w:val="decimal"/>
      <w:lvlText w:val="%2."/>
      <w:lvlJc w:val="left"/>
      <w:pPr>
        <w:tabs>
          <w:tab w:val="num" w:pos="2400"/>
        </w:tabs>
        <w:ind w:left="1680"/>
      </w:pPr>
      <w:rPr>
        <w:color w:val="000000"/>
        <w:position w:val="0"/>
        <w:sz w:val="22"/>
        <w:szCs w:val="22"/>
      </w:rPr>
    </w:lvl>
    <w:lvl w:ilvl="3">
      <w:start w:val="1"/>
      <w:numFmt w:val="decimal"/>
      <w:lvlText w:val="%2."/>
      <w:lvlJc w:val="left"/>
      <w:pPr>
        <w:tabs>
          <w:tab w:val="num" w:pos="3840"/>
        </w:tabs>
        <w:ind w:left="2400"/>
      </w:pPr>
      <w:rPr>
        <w:color w:val="000000"/>
        <w:position w:val="0"/>
        <w:sz w:val="22"/>
        <w:szCs w:val="22"/>
      </w:rPr>
    </w:lvl>
    <w:lvl w:ilvl="4">
      <w:start w:val="1"/>
      <w:numFmt w:val="decimal"/>
      <w:lvlText w:val="%2."/>
      <w:lvlJc w:val="left"/>
      <w:pPr>
        <w:tabs>
          <w:tab w:val="num" w:pos="5280"/>
        </w:tabs>
        <w:ind w:left="3120"/>
      </w:pPr>
      <w:rPr>
        <w:color w:val="000000"/>
        <w:position w:val="0"/>
        <w:sz w:val="22"/>
        <w:szCs w:val="22"/>
      </w:rPr>
    </w:lvl>
    <w:lvl w:ilvl="5">
      <w:start w:val="1"/>
      <w:numFmt w:val="decimal"/>
      <w:lvlText w:val="%2."/>
      <w:lvlJc w:val="left"/>
      <w:pPr>
        <w:tabs>
          <w:tab w:val="num" w:pos="6720"/>
        </w:tabs>
        <w:ind w:left="3840"/>
      </w:pPr>
      <w:rPr>
        <w:color w:val="000000"/>
        <w:position w:val="0"/>
        <w:sz w:val="22"/>
        <w:szCs w:val="22"/>
      </w:rPr>
    </w:lvl>
    <w:lvl w:ilvl="6">
      <w:start w:val="1"/>
      <w:numFmt w:val="decimal"/>
      <w:lvlText w:val="%2."/>
      <w:lvlJc w:val="left"/>
      <w:pPr>
        <w:tabs>
          <w:tab w:val="num" w:pos="8160"/>
        </w:tabs>
        <w:ind w:left="4560"/>
      </w:pPr>
      <w:rPr>
        <w:color w:val="000000"/>
        <w:position w:val="0"/>
        <w:sz w:val="22"/>
        <w:szCs w:val="22"/>
      </w:rPr>
    </w:lvl>
    <w:lvl w:ilvl="7">
      <w:start w:val="1"/>
      <w:numFmt w:val="decimal"/>
      <w:lvlText w:val="%2."/>
      <w:lvlJc w:val="left"/>
      <w:pPr>
        <w:tabs>
          <w:tab w:val="num" w:pos="9600"/>
        </w:tabs>
        <w:ind w:left="5280"/>
      </w:pPr>
      <w:rPr>
        <w:color w:val="000000"/>
        <w:position w:val="0"/>
        <w:sz w:val="22"/>
        <w:szCs w:val="22"/>
      </w:rPr>
    </w:lvl>
    <w:lvl w:ilvl="8">
      <w:start w:val="1"/>
      <w:numFmt w:val="decimal"/>
      <w:lvlText w:val="%2."/>
      <w:lvlJc w:val="left"/>
      <w:pPr>
        <w:tabs>
          <w:tab w:val="num" w:pos="11040"/>
        </w:tabs>
        <w:ind w:left="6000"/>
      </w:pPr>
      <w:rPr>
        <w:color w:val="000000"/>
        <w:position w:val="0"/>
        <w:sz w:val="22"/>
        <w:szCs w:val="22"/>
      </w:rPr>
    </w:lvl>
  </w:abstractNum>
  <w:abstractNum w:abstractNumId="78">
    <w:nsid w:val="3E6F6B54"/>
    <w:multiLevelType w:val="multilevel"/>
    <w:tmpl w:val="A5C894A6"/>
    <w:styleLink w:val="List42"/>
    <w:lvl w:ilvl="0">
      <w:start w:val="1"/>
      <w:numFmt w:val="decimal"/>
      <w:lvlText w:val="%1."/>
      <w:lvlJc w:val="left"/>
      <w:pPr>
        <w:tabs>
          <w:tab w:val="num" w:pos="690"/>
        </w:tabs>
        <w:ind w:left="690" w:hanging="330"/>
      </w:pPr>
      <w:rPr>
        <w:i/>
        <w:iCs/>
        <w:color w:val="000000"/>
        <w:position w:val="0"/>
        <w:sz w:val="22"/>
        <w:szCs w:val="22"/>
      </w:rPr>
    </w:lvl>
    <w:lvl w:ilvl="1">
      <w:start w:val="1"/>
      <w:numFmt w:val="decimal"/>
      <w:lvlText w:val="%1.%2."/>
      <w:lvlJc w:val="left"/>
      <w:pPr>
        <w:tabs>
          <w:tab w:val="num" w:pos="720"/>
        </w:tabs>
        <w:ind w:left="720"/>
      </w:pPr>
      <w:rPr>
        <w:i/>
        <w:iCs/>
        <w:color w:val="000000"/>
        <w:position w:val="0"/>
        <w:sz w:val="22"/>
        <w:szCs w:val="22"/>
      </w:rPr>
    </w:lvl>
    <w:lvl w:ilvl="2">
      <w:start w:val="1"/>
      <w:numFmt w:val="decimal"/>
      <w:lvlText w:val="%2."/>
      <w:lvlJc w:val="left"/>
      <w:pPr>
        <w:tabs>
          <w:tab w:val="num" w:pos="2160"/>
        </w:tabs>
        <w:ind w:left="1440"/>
      </w:pPr>
      <w:rPr>
        <w:i/>
        <w:iCs/>
        <w:color w:val="000000"/>
        <w:position w:val="0"/>
        <w:sz w:val="22"/>
        <w:szCs w:val="22"/>
      </w:rPr>
    </w:lvl>
    <w:lvl w:ilvl="3">
      <w:start w:val="1"/>
      <w:numFmt w:val="decimal"/>
      <w:lvlText w:val="%2."/>
      <w:lvlJc w:val="left"/>
      <w:pPr>
        <w:tabs>
          <w:tab w:val="num" w:pos="3600"/>
        </w:tabs>
        <w:ind w:left="2160"/>
      </w:pPr>
      <w:rPr>
        <w:i/>
        <w:iCs/>
        <w:color w:val="000000"/>
        <w:position w:val="0"/>
        <w:sz w:val="22"/>
        <w:szCs w:val="22"/>
      </w:rPr>
    </w:lvl>
    <w:lvl w:ilvl="4">
      <w:start w:val="1"/>
      <w:numFmt w:val="decimal"/>
      <w:lvlText w:val="%2."/>
      <w:lvlJc w:val="left"/>
      <w:pPr>
        <w:tabs>
          <w:tab w:val="num" w:pos="5040"/>
        </w:tabs>
        <w:ind w:left="2880"/>
      </w:pPr>
      <w:rPr>
        <w:i/>
        <w:iCs/>
        <w:color w:val="000000"/>
        <w:position w:val="0"/>
        <w:sz w:val="22"/>
        <w:szCs w:val="22"/>
      </w:rPr>
    </w:lvl>
    <w:lvl w:ilvl="5">
      <w:start w:val="1"/>
      <w:numFmt w:val="decimal"/>
      <w:lvlText w:val="%2."/>
      <w:lvlJc w:val="left"/>
      <w:pPr>
        <w:tabs>
          <w:tab w:val="num" w:pos="6480"/>
        </w:tabs>
        <w:ind w:left="3600"/>
      </w:pPr>
      <w:rPr>
        <w:i/>
        <w:iCs/>
        <w:color w:val="000000"/>
        <w:position w:val="0"/>
        <w:sz w:val="22"/>
        <w:szCs w:val="22"/>
      </w:rPr>
    </w:lvl>
    <w:lvl w:ilvl="6">
      <w:start w:val="1"/>
      <w:numFmt w:val="decimal"/>
      <w:lvlText w:val="%2."/>
      <w:lvlJc w:val="left"/>
      <w:pPr>
        <w:tabs>
          <w:tab w:val="num" w:pos="7920"/>
        </w:tabs>
        <w:ind w:left="4320"/>
      </w:pPr>
      <w:rPr>
        <w:i/>
        <w:iCs/>
        <w:color w:val="000000"/>
        <w:position w:val="0"/>
        <w:sz w:val="22"/>
        <w:szCs w:val="22"/>
      </w:rPr>
    </w:lvl>
    <w:lvl w:ilvl="7">
      <w:start w:val="1"/>
      <w:numFmt w:val="decimal"/>
      <w:lvlText w:val="%2."/>
      <w:lvlJc w:val="left"/>
      <w:pPr>
        <w:tabs>
          <w:tab w:val="num" w:pos="9360"/>
        </w:tabs>
        <w:ind w:left="5040"/>
      </w:pPr>
      <w:rPr>
        <w:i/>
        <w:iCs/>
        <w:color w:val="000000"/>
        <w:position w:val="0"/>
        <w:sz w:val="22"/>
        <w:szCs w:val="22"/>
      </w:rPr>
    </w:lvl>
    <w:lvl w:ilvl="8">
      <w:start w:val="1"/>
      <w:numFmt w:val="decimal"/>
      <w:lvlText w:val="%2."/>
      <w:lvlJc w:val="left"/>
      <w:pPr>
        <w:tabs>
          <w:tab w:val="num" w:pos="10800"/>
        </w:tabs>
        <w:ind w:left="5760"/>
      </w:pPr>
      <w:rPr>
        <w:i/>
        <w:iCs/>
        <w:color w:val="000000"/>
        <w:position w:val="0"/>
        <w:sz w:val="22"/>
        <w:szCs w:val="22"/>
      </w:rPr>
    </w:lvl>
  </w:abstractNum>
  <w:abstractNum w:abstractNumId="79">
    <w:nsid w:val="3ED069A8"/>
    <w:multiLevelType w:val="multilevel"/>
    <w:tmpl w:val="5EF8D100"/>
    <w:styleLink w:val="List135"/>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2."/>
      <w:lvlJc w:val="left"/>
      <w:pPr>
        <w:tabs>
          <w:tab w:val="num" w:pos="1440"/>
        </w:tabs>
        <w:ind w:left="144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80">
    <w:nsid w:val="3EE068A5"/>
    <w:multiLevelType w:val="multilevel"/>
    <w:tmpl w:val="9822EA8E"/>
    <w:styleLink w:val="List82"/>
    <w:lvl w:ilvl="0">
      <w:start w:val="1"/>
      <w:numFmt w:val="bullet"/>
      <w:lvlText w:val="-"/>
      <w:lvlJc w:val="left"/>
      <w:pPr>
        <w:tabs>
          <w:tab w:val="num" w:pos="1068"/>
        </w:tabs>
        <w:ind w:left="1068"/>
      </w:pPr>
      <w:rPr>
        <w:color w:val="000000"/>
        <w:position w:val="0"/>
        <w:sz w:val="20"/>
        <w:szCs w:val="20"/>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0"/>
        <w:szCs w:val="20"/>
      </w:rPr>
    </w:lvl>
    <w:lvl w:ilvl="3">
      <w:numFmt w:val="bullet"/>
      <w:lvlText w:val="•"/>
      <w:lvlJc w:val="left"/>
      <w:pPr>
        <w:tabs>
          <w:tab w:val="num" w:pos="3198"/>
        </w:tabs>
        <w:ind w:left="3198" w:hanging="330"/>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0"/>
        <w:szCs w:val="20"/>
      </w:rPr>
    </w:lvl>
    <w:lvl w:ilvl="8">
      <w:start w:val="1"/>
      <w:numFmt w:val="upperRoman"/>
      <w:lvlText w:val="%9."/>
      <w:lvlJc w:val="left"/>
      <w:pPr>
        <w:tabs>
          <w:tab w:val="num" w:pos="7188"/>
        </w:tabs>
        <w:ind w:left="7188"/>
      </w:pPr>
      <w:rPr>
        <w:color w:val="000000"/>
        <w:position w:val="0"/>
        <w:sz w:val="22"/>
        <w:szCs w:val="22"/>
      </w:rPr>
    </w:lvl>
  </w:abstractNum>
  <w:abstractNum w:abstractNumId="81">
    <w:nsid w:val="3F5A2F06"/>
    <w:multiLevelType w:val="multilevel"/>
    <w:tmpl w:val="785CE99C"/>
    <w:styleLink w:val="List56"/>
    <w:lvl w:ilvl="0">
      <w:start w:val="1"/>
      <w:numFmt w:val="decimal"/>
      <w:lvlText w:val="%1."/>
      <w:lvlJc w:val="left"/>
      <w:pPr>
        <w:tabs>
          <w:tab w:val="num" w:pos="720"/>
        </w:tabs>
        <w:ind w:left="720"/>
      </w:pPr>
      <w:rPr>
        <w:color w:val="000000"/>
        <w:position w:val="0"/>
        <w:sz w:val="22"/>
        <w:szCs w:val="22"/>
      </w:rPr>
    </w:lvl>
    <w:lvl w:ilvl="1">
      <w:start w:val="1"/>
      <w:numFmt w:val="lowerLetter"/>
      <w:lvlText w:val="%2."/>
      <w:lvlJc w:val="left"/>
      <w:pPr>
        <w:tabs>
          <w:tab w:val="num" w:pos="1440"/>
        </w:tabs>
        <w:ind w:left="144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50"/>
        </w:tabs>
        <w:ind w:left="2850" w:hanging="33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82">
    <w:nsid w:val="40467233"/>
    <w:multiLevelType w:val="multilevel"/>
    <w:tmpl w:val="ACACCBB6"/>
    <w:styleLink w:val="List116"/>
    <w:lvl w:ilvl="0">
      <w:start w:val="1"/>
      <w:numFmt w:val="decimal"/>
      <w:lvlText w:val="%1."/>
      <w:lvlJc w:val="left"/>
      <w:pPr>
        <w:tabs>
          <w:tab w:val="num" w:pos="720"/>
        </w:tabs>
        <w:ind w:left="720"/>
      </w:pPr>
      <w:rPr>
        <w:color w:val="000000"/>
        <w:position w:val="0"/>
        <w:sz w:val="22"/>
        <w:szCs w:val="22"/>
      </w:rPr>
    </w:lvl>
    <w:lvl w:ilvl="1">
      <w:start w:val="1"/>
      <w:numFmt w:val="decimal"/>
      <w:lvlText w:val="%2."/>
      <w:lvlJc w:val="left"/>
      <w:pPr>
        <w:tabs>
          <w:tab w:val="num" w:pos="1410"/>
        </w:tabs>
        <w:ind w:left="1410" w:hanging="33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83">
    <w:nsid w:val="42045DA1"/>
    <w:multiLevelType w:val="multilevel"/>
    <w:tmpl w:val="4DEEFFA2"/>
    <w:styleLink w:val="List142"/>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84">
    <w:nsid w:val="43380BCE"/>
    <w:multiLevelType w:val="multilevel"/>
    <w:tmpl w:val="FA309A8C"/>
    <w:styleLink w:val="List123"/>
    <w:lvl w:ilvl="0">
      <w:start w:val="3"/>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85">
    <w:nsid w:val="433B7BF1"/>
    <w:multiLevelType w:val="multilevel"/>
    <w:tmpl w:val="483ECBCC"/>
    <w:styleLink w:val="List47"/>
    <w:lvl w:ilvl="0">
      <w:start w:val="1"/>
      <w:numFmt w:val="decimal"/>
      <w:lvlText w:val="%1."/>
      <w:lvlJc w:val="left"/>
      <w:pPr>
        <w:tabs>
          <w:tab w:val="num" w:pos="2460"/>
        </w:tabs>
        <w:ind w:left="2460" w:hanging="330"/>
      </w:pPr>
      <w:rPr>
        <w:b/>
        <w:bCs/>
        <w:color w:val="000000"/>
        <w:position w:val="0"/>
        <w:sz w:val="22"/>
        <w:szCs w:val="22"/>
      </w:rPr>
    </w:lvl>
    <w:lvl w:ilvl="1">
      <w:start w:val="1"/>
      <w:numFmt w:val="decimal"/>
      <w:lvlText w:val="%1.%2."/>
      <w:lvlJc w:val="left"/>
      <w:pPr>
        <w:tabs>
          <w:tab w:val="num" w:pos="2490"/>
        </w:tabs>
        <w:ind w:left="2490"/>
      </w:pPr>
      <w:rPr>
        <w:b/>
        <w:bCs/>
        <w:color w:val="000000"/>
        <w:position w:val="0"/>
        <w:sz w:val="22"/>
        <w:szCs w:val="22"/>
      </w:rPr>
    </w:lvl>
    <w:lvl w:ilvl="2">
      <w:start w:val="1"/>
      <w:numFmt w:val="decimal"/>
      <w:lvlText w:val="%2."/>
      <w:lvlJc w:val="left"/>
      <w:pPr>
        <w:tabs>
          <w:tab w:val="num" w:pos="3930"/>
        </w:tabs>
        <w:ind w:left="3210"/>
      </w:pPr>
      <w:rPr>
        <w:b/>
        <w:bCs/>
        <w:color w:val="000000"/>
        <w:position w:val="0"/>
        <w:sz w:val="22"/>
        <w:szCs w:val="22"/>
      </w:rPr>
    </w:lvl>
    <w:lvl w:ilvl="3">
      <w:start w:val="1"/>
      <w:numFmt w:val="decimal"/>
      <w:lvlText w:val="%2."/>
      <w:lvlJc w:val="left"/>
      <w:pPr>
        <w:tabs>
          <w:tab w:val="num" w:pos="5370"/>
        </w:tabs>
        <w:ind w:left="3930"/>
      </w:pPr>
      <w:rPr>
        <w:b/>
        <w:bCs/>
        <w:color w:val="000000"/>
        <w:position w:val="0"/>
        <w:sz w:val="22"/>
        <w:szCs w:val="22"/>
      </w:rPr>
    </w:lvl>
    <w:lvl w:ilvl="4">
      <w:start w:val="1"/>
      <w:numFmt w:val="decimal"/>
      <w:lvlText w:val="%2."/>
      <w:lvlJc w:val="left"/>
      <w:pPr>
        <w:tabs>
          <w:tab w:val="num" w:pos="6810"/>
        </w:tabs>
        <w:ind w:left="4650"/>
      </w:pPr>
      <w:rPr>
        <w:b/>
        <w:bCs/>
        <w:color w:val="000000"/>
        <w:position w:val="0"/>
        <w:sz w:val="22"/>
        <w:szCs w:val="22"/>
      </w:rPr>
    </w:lvl>
    <w:lvl w:ilvl="5">
      <w:start w:val="1"/>
      <w:numFmt w:val="decimal"/>
      <w:lvlText w:val="%2."/>
      <w:lvlJc w:val="left"/>
      <w:pPr>
        <w:tabs>
          <w:tab w:val="num" w:pos="8250"/>
        </w:tabs>
        <w:ind w:left="5370"/>
      </w:pPr>
      <w:rPr>
        <w:b/>
        <w:bCs/>
        <w:color w:val="000000"/>
        <w:position w:val="0"/>
        <w:sz w:val="22"/>
        <w:szCs w:val="22"/>
      </w:rPr>
    </w:lvl>
    <w:lvl w:ilvl="6">
      <w:start w:val="1"/>
      <w:numFmt w:val="decimal"/>
      <w:lvlText w:val="%2."/>
      <w:lvlJc w:val="left"/>
      <w:pPr>
        <w:tabs>
          <w:tab w:val="num" w:pos="9690"/>
        </w:tabs>
        <w:ind w:left="6090"/>
      </w:pPr>
      <w:rPr>
        <w:b/>
        <w:bCs/>
        <w:color w:val="000000"/>
        <w:position w:val="0"/>
        <w:sz w:val="22"/>
        <w:szCs w:val="22"/>
      </w:rPr>
    </w:lvl>
    <w:lvl w:ilvl="7">
      <w:start w:val="1"/>
      <w:numFmt w:val="decimal"/>
      <w:lvlText w:val="%2."/>
      <w:lvlJc w:val="left"/>
      <w:pPr>
        <w:tabs>
          <w:tab w:val="num" w:pos="11130"/>
        </w:tabs>
        <w:ind w:left="6810"/>
      </w:pPr>
      <w:rPr>
        <w:b/>
        <w:bCs/>
        <w:color w:val="000000"/>
        <w:position w:val="0"/>
        <w:sz w:val="22"/>
        <w:szCs w:val="22"/>
      </w:rPr>
    </w:lvl>
    <w:lvl w:ilvl="8">
      <w:start w:val="1"/>
      <w:numFmt w:val="decimal"/>
      <w:lvlText w:val="%2."/>
      <w:lvlJc w:val="left"/>
      <w:pPr>
        <w:tabs>
          <w:tab w:val="num" w:pos="12570"/>
        </w:tabs>
        <w:ind w:left="7530"/>
      </w:pPr>
      <w:rPr>
        <w:b/>
        <w:bCs/>
        <w:color w:val="000000"/>
        <w:position w:val="0"/>
        <w:sz w:val="22"/>
        <w:szCs w:val="22"/>
      </w:rPr>
    </w:lvl>
  </w:abstractNum>
  <w:abstractNum w:abstractNumId="86">
    <w:nsid w:val="43EA2A54"/>
    <w:multiLevelType w:val="multilevel"/>
    <w:tmpl w:val="278687B0"/>
    <w:styleLink w:val="List89"/>
    <w:lvl w:ilvl="0">
      <w:start w:val="1"/>
      <w:numFmt w:val="decimal"/>
      <w:lvlText w:val="%1."/>
      <w:lvlJc w:val="left"/>
      <w:pPr>
        <w:tabs>
          <w:tab w:val="num" w:pos="1035"/>
        </w:tabs>
        <w:ind w:left="1035" w:hanging="330"/>
      </w:pPr>
      <w:rPr>
        <w:b/>
        <w:bCs/>
        <w:color w:val="000000"/>
        <w:position w:val="0"/>
        <w:sz w:val="22"/>
        <w:szCs w:val="22"/>
      </w:rPr>
    </w:lvl>
    <w:lvl w:ilvl="1">
      <w:start w:val="1"/>
      <w:numFmt w:val="decimal"/>
      <w:lvlText w:val="%1.%2."/>
      <w:lvlJc w:val="left"/>
      <w:pPr>
        <w:tabs>
          <w:tab w:val="num" w:pos="1065"/>
        </w:tabs>
        <w:ind w:left="1065"/>
      </w:pPr>
      <w:rPr>
        <w:b/>
        <w:bCs/>
        <w:color w:val="000000"/>
        <w:position w:val="0"/>
        <w:sz w:val="22"/>
        <w:szCs w:val="22"/>
      </w:rPr>
    </w:lvl>
    <w:lvl w:ilvl="2">
      <w:start w:val="1"/>
      <w:numFmt w:val="decimal"/>
      <w:lvlText w:val="%2."/>
      <w:lvlJc w:val="left"/>
      <w:pPr>
        <w:tabs>
          <w:tab w:val="num" w:pos="2505"/>
        </w:tabs>
        <w:ind w:left="1785"/>
      </w:pPr>
      <w:rPr>
        <w:b/>
        <w:bCs/>
        <w:color w:val="000000"/>
        <w:position w:val="0"/>
        <w:sz w:val="22"/>
        <w:szCs w:val="22"/>
      </w:rPr>
    </w:lvl>
    <w:lvl w:ilvl="3">
      <w:start w:val="1"/>
      <w:numFmt w:val="decimal"/>
      <w:lvlText w:val="%2."/>
      <w:lvlJc w:val="left"/>
      <w:pPr>
        <w:tabs>
          <w:tab w:val="num" w:pos="3945"/>
        </w:tabs>
        <w:ind w:left="2505"/>
      </w:pPr>
      <w:rPr>
        <w:b/>
        <w:bCs/>
        <w:color w:val="000000"/>
        <w:position w:val="0"/>
        <w:sz w:val="22"/>
        <w:szCs w:val="22"/>
      </w:rPr>
    </w:lvl>
    <w:lvl w:ilvl="4">
      <w:start w:val="1"/>
      <w:numFmt w:val="decimal"/>
      <w:lvlText w:val="%2."/>
      <w:lvlJc w:val="left"/>
      <w:pPr>
        <w:tabs>
          <w:tab w:val="num" w:pos="5385"/>
        </w:tabs>
        <w:ind w:left="3225"/>
      </w:pPr>
      <w:rPr>
        <w:b/>
        <w:bCs/>
        <w:color w:val="000000"/>
        <w:position w:val="0"/>
        <w:sz w:val="22"/>
        <w:szCs w:val="22"/>
      </w:rPr>
    </w:lvl>
    <w:lvl w:ilvl="5">
      <w:start w:val="1"/>
      <w:numFmt w:val="decimal"/>
      <w:lvlText w:val="%2."/>
      <w:lvlJc w:val="left"/>
      <w:pPr>
        <w:tabs>
          <w:tab w:val="num" w:pos="6825"/>
        </w:tabs>
        <w:ind w:left="3945"/>
      </w:pPr>
      <w:rPr>
        <w:b/>
        <w:bCs/>
        <w:color w:val="000000"/>
        <w:position w:val="0"/>
        <w:sz w:val="22"/>
        <w:szCs w:val="22"/>
      </w:rPr>
    </w:lvl>
    <w:lvl w:ilvl="6">
      <w:start w:val="1"/>
      <w:numFmt w:val="decimal"/>
      <w:lvlText w:val="%2."/>
      <w:lvlJc w:val="left"/>
      <w:pPr>
        <w:tabs>
          <w:tab w:val="num" w:pos="8265"/>
        </w:tabs>
        <w:ind w:left="4665"/>
      </w:pPr>
      <w:rPr>
        <w:b/>
        <w:bCs/>
        <w:color w:val="000000"/>
        <w:position w:val="0"/>
        <w:sz w:val="22"/>
        <w:szCs w:val="22"/>
      </w:rPr>
    </w:lvl>
    <w:lvl w:ilvl="7">
      <w:start w:val="1"/>
      <w:numFmt w:val="decimal"/>
      <w:lvlText w:val="%2."/>
      <w:lvlJc w:val="left"/>
      <w:pPr>
        <w:tabs>
          <w:tab w:val="num" w:pos="9705"/>
        </w:tabs>
        <w:ind w:left="5385"/>
      </w:pPr>
      <w:rPr>
        <w:b/>
        <w:bCs/>
        <w:color w:val="000000"/>
        <w:position w:val="0"/>
        <w:sz w:val="22"/>
        <w:szCs w:val="22"/>
      </w:rPr>
    </w:lvl>
    <w:lvl w:ilvl="8">
      <w:start w:val="1"/>
      <w:numFmt w:val="decimal"/>
      <w:lvlText w:val="%2."/>
      <w:lvlJc w:val="left"/>
      <w:pPr>
        <w:tabs>
          <w:tab w:val="num" w:pos="11145"/>
        </w:tabs>
        <w:ind w:left="6105"/>
      </w:pPr>
      <w:rPr>
        <w:b/>
        <w:bCs/>
        <w:color w:val="000000"/>
        <w:position w:val="0"/>
        <w:sz w:val="22"/>
        <w:szCs w:val="22"/>
      </w:rPr>
    </w:lvl>
  </w:abstractNum>
  <w:abstractNum w:abstractNumId="87">
    <w:nsid w:val="444C60A5"/>
    <w:multiLevelType w:val="multilevel"/>
    <w:tmpl w:val="DCE4DBB2"/>
    <w:styleLink w:val="List38"/>
    <w:lvl w:ilvl="0">
      <w:start w:val="1"/>
      <w:numFmt w:val="bullet"/>
      <w:lvlText w:val="-"/>
      <w:lvlJc w:val="left"/>
      <w:pPr>
        <w:tabs>
          <w:tab w:val="num" w:pos="1068"/>
        </w:tabs>
        <w:ind w:left="1068"/>
      </w:pPr>
      <w:rPr>
        <w:b/>
        <w:bCs/>
        <w:color w:val="000000"/>
        <w:position w:val="0"/>
        <w:sz w:val="20"/>
        <w:szCs w:val="20"/>
      </w:rPr>
    </w:lvl>
    <w:lvl w:ilvl="1">
      <w:start w:val="6"/>
      <w:numFmt w:val="decimal"/>
      <w:lvlText w:val="%2."/>
      <w:lvlJc w:val="left"/>
      <w:pPr>
        <w:tabs>
          <w:tab w:val="num" w:pos="930"/>
        </w:tabs>
        <w:ind w:left="930" w:hanging="330"/>
      </w:pPr>
      <w:rPr>
        <w:b/>
        <w:bCs/>
        <w:color w:val="000000"/>
        <w:position w:val="0"/>
        <w:sz w:val="22"/>
        <w:szCs w:val="22"/>
      </w:rPr>
    </w:lvl>
    <w:lvl w:ilvl="2">
      <w:start w:val="1"/>
      <w:numFmt w:val="bullet"/>
      <w:lvlText w:val=""/>
      <w:lvlJc w:val="left"/>
      <w:pPr>
        <w:tabs>
          <w:tab w:val="num" w:pos="2508"/>
        </w:tabs>
        <w:ind w:left="2508"/>
      </w:pPr>
      <w:rPr>
        <w:b/>
        <w:bCs/>
        <w:color w:val="000000"/>
        <w:position w:val="0"/>
        <w:sz w:val="20"/>
        <w:szCs w:val="20"/>
      </w:rPr>
    </w:lvl>
    <w:lvl w:ilvl="3">
      <w:start w:val="1"/>
      <w:numFmt w:val="bullet"/>
      <w:lvlText w:val="•"/>
      <w:lvlJc w:val="left"/>
      <w:pPr>
        <w:tabs>
          <w:tab w:val="num" w:pos="3228"/>
        </w:tabs>
        <w:ind w:left="3228"/>
      </w:pPr>
      <w:rPr>
        <w:b/>
        <w:bCs/>
        <w:color w:val="000000"/>
        <w:position w:val="0"/>
        <w:sz w:val="20"/>
        <w:szCs w:val="20"/>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0"/>
        <w:szCs w:val="20"/>
      </w:rPr>
    </w:lvl>
    <w:lvl w:ilvl="8">
      <w:start w:val="1"/>
      <w:numFmt w:val="upperRoman"/>
      <w:lvlText w:val="%9."/>
      <w:lvlJc w:val="left"/>
      <w:pPr>
        <w:tabs>
          <w:tab w:val="num" w:pos="7188"/>
        </w:tabs>
        <w:ind w:left="7188"/>
      </w:pPr>
      <w:rPr>
        <w:b/>
        <w:bCs/>
        <w:color w:val="000000"/>
        <w:position w:val="0"/>
        <w:sz w:val="22"/>
        <w:szCs w:val="22"/>
      </w:rPr>
    </w:lvl>
  </w:abstractNum>
  <w:abstractNum w:abstractNumId="88">
    <w:nsid w:val="44746A7B"/>
    <w:multiLevelType w:val="multilevel"/>
    <w:tmpl w:val="6A70DADA"/>
    <w:styleLink w:val="List28"/>
    <w:lvl w:ilvl="0">
      <w:start w:val="1"/>
      <w:numFmt w:val="bullet"/>
      <w:lvlText w:val="-"/>
      <w:lvlJc w:val="left"/>
      <w:pPr>
        <w:tabs>
          <w:tab w:val="num" w:pos="1068"/>
        </w:tabs>
        <w:ind w:left="1068"/>
      </w:pPr>
      <w:rPr>
        <w:b/>
        <w:bCs/>
        <w:color w:val="000000"/>
        <w:position w:val="0"/>
        <w:sz w:val="22"/>
        <w:szCs w:val="22"/>
      </w:rPr>
    </w:lvl>
    <w:lvl w:ilvl="1">
      <w:start w:val="1"/>
      <w:numFmt w:val="decimal"/>
      <w:lvlText w:val="%2."/>
      <w:lvlJc w:val="left"/>
      <w:pPr>
        <w:tabs>
          <w:tab w:val="num" w:pos="1758"/>
        </w:tabs>
        <w:ind w:left="1758" w:hanging="330"/>
      </w:pPr>
      <w:rPr>
        <w:b/>
        <w:bCs/>
        <w:color w:val="000000"/>
        <w:position w:val="0"/>
        <w:sz w:val="22"/>
        <w:szCs w:val="22"/>
      </w:rPr>
    </w:lvl>
    <w:lvl w:ilvl="2">
      <w:start w:val="1"/>
      <w:numFmt w:val="bullet"/>
      <w:lvlText w:val=""/>
      <w:lvlJc w:val="left"/>
      <w:pPr>
        <w:tabs>
          <w:tab w:val="num" w:pos="2508"/>
        </w:tabs>
        <w:ind w:left="2508"/>
      </w:pPr>
      <w:rPr>
        <w:b/>
        <w:bCs/>
        <w:color w:val="000000"/>
        <w:position w:val="0"/>
        <w:sz w:val="22"/>
        <w:szCs w:val="22"/>
      </w:rPr>
    </w:lvl>
    <w:lvl w:ilvl="3">
      <w:start w:val="1"/>
      <w:numFmt w:val="bullet"/>
      <w:lvlText w:val="•"/>
      <w:lvlJc w:val="left"/>
      <w:pPr>
        <w:tabs>
          <w:tab w:val="num" w:pos="3228"/>
        </w:tabs>
        <w:ind w:left="3228"/>
      </w:pPr>
      <w:rPr>
        <w:b/>
        <w:bCs/>
        <w:color w:val="000000"/>
        <w:position w:val="0"/>
        <w:sz w:val="22"/>
        <w:szCs w:val="22"/>
      </w:rPr>
    </w:lvl>
    <w:lvl w:ilvl="4">
      <w:start w:val="1"/>
      <w:numFmt w:val="upperLetter"/>
      <w:lvlText w:val="%5."/>
      <w:lvlJc w:val="left"/>
      <w:pPr>
        <w:tabs>
          <w:tab w:val="num" w:pos="3948"/>
        </w:tabs>
        <w:ind w:left="3948"/>
      </w:pPr>
      <w:rPr>
        <w:b/>
        <w:bCs/>
        <w:color w:val="000000"/>
        <w:position w:val="0"/>
        <w:sz w:val="22"/>
        <w:szCs w:val="22"/>
      </w:rPr>
    </w:lvl>
    <w:lvl w:ilvl="5">
      <w:start w:val="1"/>
      <w:numFmt w:val="upperLetter"/>
      <w:lvlText w:val="%6."/>
      <w:lvlJc w:val="left"/>
      <w:pPr>
        <w:tabs>
          <w:tab w:val="num" w:pos="4668"/>
        </w:tabs>
        <w:ind w:left="4668"/>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2"/>
        <w:szCs w:val="22"/>
      </w:rPr>
    </w:lvl>
    <w:lvl w:ilvl="8">
      <w:start w:val="1"/>
      <w:numFmt w:val="upperRoman"/>
      <w:lvlText w:val="%9."/>
      <w:lvlJc w:val="left"/>
      <w:pPr>
        <w:tabs>
          <w:tab w:val="num" w:pos="7188"/>
        </w:tabs>
        <w:ind w:left="7188"/>
      </w:pPr>
      <w:rPr>
        <w:b/>
        <w:bCs/>
        <w:color w:val="000000"/>
        <w:position w:val="0"/>
        <w:sz w:val="22"/>
        <w:szCs w:val="22"/>
      </w:rPr>
    </w:lvl>
  </w:abstractNum>
  <w:abstractNum w:abstractNumId="89">
    <w:nsid w:val="4887242F"/>
    <w:multiLevelType w:val="multilevel"/>
    <w:tmpl w:val="D19603D8"/>
    <w:styleLink w:val="List114"/>
    <w:lvl w:ilvl="0">
      <w:start w:val="1"/>
      <w:numFmt w:val="decimal"/>
      <w:lvlText w:val="%1."/>
      <w:lvlJc w:val="left"/>
      <w:pPr>
        <w:tabs>
          <w:tab w:val="num" w:pos="720"/>
        </w:tabs>
        <w:ind w:left="720"/>
      </w:pPr>
      <w:rPr>
        <w:b/>
        <w:bCs/>
        <w:color w:val="000000"/>
        <w:position w:val="0"/>
        <w:sz w:val="22"/>
        <w:szCs w:val="22"/>
      </w:rPr>
    </w:lvl>
    <w:lvl w:ilvl="1">
      <w:start w:val="1"/>
      <w:numFmt w:val="decimal"/>
      <w:lvlText w:val="%2."/>
      <w:lvlJc w:val="left"/>
      <w:pPr>
        <w:tabs>
          <w:tab w:val="num" w:pos="1410"/>
        </w:tabs>
        <w:ind w:left="1410" w:hanging="33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90">
    <w:nsid w:val="4941760E"/>
    <w:multiLevelType w:val="multilevel"/>
    <w:tmpl w:val="7A5EEFAA"/>
    <w:styleLink w:val="List10"/>
    <w:lvl w:ilvl="0">
      <w:start w:val="1"/>
      <w:numFmt w:val="decimal"/>
      <w:lvlText w:val="%1."/>
      <w:lvlJc w:val="left"/>
      <w:pPr>
        <w:tabs>
          <w:tab w:val="num" w:pos="720"/>
        </w:tabs>
        <w:ind w:left="720"/>
      </w:pPr>
      <w:rPr>
        <w:color w:val="000000"/>
        <w:position w:val="0"/>
        <w:sz w:val="22"/>
        <w:szCs w:val="22"/>
      </w:rPr>
    </w:lvl>
    <w:lvl w:ilvl="1">
      <w:start w:val="1"/>
      <w:numFmt w:val="upperLetter"/>
      <w:lvlText w:val="%2."/>
      <w:lvlJc w:val="left"/>
      <w:pPr>
        <w:tabs>
          <w:tab w:val="num" w:pos="1440"/>
        </w:tabs>
        <w:ind w:left="1440"/>
      </w:pPr>
      <w:rPr>
        <w:color w:val="000000"/>
        <w:position w:val="0"/>
        <w:sz w:val="22"/>
        <w:szCs w:val="22"/>
      </w:rPr>
    </w:lvl>
    <w:lvl w:ilvl="2">
      <w:start w:val="1"/>
      <w:numFmt w:val="lowerLetter"/>
      <w:lvlText w:val="%3)"/>
      <w:lvlJc w:val="left"/>
      <w:pPr>
        <w:tabs>
          <w:tab w:val="num" w:pos="2310"/>
        </w:tabs>
        <w:ind w:left="2310" w:hanging="33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91">
    <w:nsid w:val="498D5B36"/>
    <w:multiLevelType w:val="multilevel"/>
    <w:tmpl w:val="E7FC56F0"/>
    <w:styleLink w:val="List26"/>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92">
    <w:nsid w:val="49F740A8"/>
    <w:multiLevelType w:val="multilevel"/>
    <w:tmpl w:val="73F4D584"/>
    <w:styleLink w:val="List1000"/>
    <w:lvl w:ilvl="0">
      <w:start w:val="1"/>
      <w:numFmt w:val="decimal"/>
      <w:lvlText w:val="%1."/>
      <w:lvlJc w:val="left"/>
      <w:pPr>
        <w:tabs>
          <w:tab w:val="num" w:pos="2250"/>
        </w:tabs>
        <w:ind w:left="2250" w:hanging="330"/>
      </w:pPr>
      <w:rPr>
        <w:color w:val="000000"/>
        <w:position w:val="0"/>
        <w:sz w:val="22"/>
        <w:szCs w:val="22"/>
      </w:rPr>
    </w:lvl>
    <w:lvl w:ilvl="1">
      <w:start w:val="1"/>
      <w:numFmt w:val="upperLetter"/>
      <w:lvlText w:val="%2."/>
      <w:lvlJc w:val="left"/>
      <w:pPr>
        <w:tabs>
          <w:tab w:val="num" w:pos="3000"/>
        </w:tabs>
        <w:ind w:left="3000"/>
      </w:pPr>
      <w:rPr>
        <w:color w:val="000000"/>
        <w:position w:val="0"/>
        <w:sz w:val="22"/>
        <w:szCs w:val="22"/>
      </w:rPr>
    </w:lvl>
    <w:lvl w:ilvl="2">
      <w:start w:val="1"/>
      <w:numFmt w:val="lowerLetter"/>
      <w:lvlText w:val="%3)"/>
      <w:lvlJc w:val="left"/>
      <w:pPr>
        <w:tabs>
          <w:tab w:val="num" w:pos="3900"/>
        </w:tabs>
        <w:ind w:left="3900"/>
      </w:pPr>
      <w:rPr>
        <w:color w:val="000000"/>
        <w:position w:val="0"/>
        <w:sz w:val="22"/>
        <w:szCs w:val="22"/>
      </w:rPr>
    </w:lvl>
    <w:lvl w:ilvl="3">
      <w:start w:val="1"/>
      <w:numFmt w:val="lowerLetter"/>
      <w:lvlText w:val="%4."/>
      <w:lvlJc w:val="left"/>
      <w:pPr>
        <w:tabs>
          <w:tab w:val="num" w:pos="4440"/>
        </w:tabs>
        <w:ind w:left="4440"/>
      </w:pPr>
      <w:rPr>
        <w:color w:val="000000"/>
        <w:position w:val="0"/>
        <w:sz w:val="22"/>
        <w:szCs w:val="22"/>
      </w:rPr>
    </w:lvl>
    <w:lvl w:ilvl="4">
      <w:start w:val="1"/>
      <w:numFmt w:val="lowerLetter"/>
      <w:lvlText w:val="%5."/>
      <w:lvlJc w:val="left"/>
      <w:pPr>
        <w:tabs>
          <w:tab w:val="num" w:pos="5160"/>
        </w:tabs>
        <w:ind w:left="5160"/>
      </w:pPr>
      <w:rPr>
        <w:color w:val="000000"/>
        <w:position w:val="0"/>
        <w:sz w:val="22"/>
        <w:szCs w:val="22"/>
      </w:rPr>
    </w:lvl>
    <w:lvl w:ilvl="5">
      <w:start w:val="1"/>
      <w:numFmt w:val="lowerRoman"/>
      <w:lvlText w:val="%6."/>
      <w:lvlJc w:val="left"/>
      <w:pPr>
        <w:tabs>
          <w:tab w:val="num" w:pos="5880"/>
        </w:tabs>
        <w:ind w:left="5880"/>
      </w:pPr>
      <w:rPr>
        <w:color w:val="000000"/>
        <w:position w:val="0"/>
        <w:sz w:val="22"/>
        <w:szCs w:val="22"/>
      </w:rPr>
    </w:lvl>
    <w:lvl w:ilvl="6">
      <w:start w:val="1"/>
      <w:numFmt w:val="decimal"/>
      <w:lvlText w:val="%7."/>
      <w:lvlJc w:val="left"/>
      <w:pPr>
        <w:tabs>
          <w:tab w:val="num" w:pos="6600"/>
        </w:tabs>
        <w:ind w:left="6600"/>
      </w:pPr>
      <w:rPr>
        <w:color w:val="000000"/>
        <w:position w:val="0"/>
        <w:sz w:val="22"/>
        <w:szCs w:val="22"/>
      </w:rPr>
    </w:lvl>
    <w:lvl w:ilvl="7">
      <w:start w:val="1"/>
      <w:numFmt w:val="lowerLetter"/>
      <w:lvlText w:val="%8."/>
      <w:lvlJc w:val="left"/>
      <w:pPr>
        <w:tabs>
          <w:tab w:val="num" w:pos="7320"/>
        </w:tabs>
        <w:ind w:left="7320"/>
      </w:pPr>
      <w:rPr>
        <w:color w:val="000000"/>
        <w:position w:val="0"/>
        <w:sz w:val="22"/>
        <w:szCs w:val="22"/>
      </w:rPr>
    </w:lvl>
    <w:lvl w:ilvl="8">
      <w:start w:val="1"/>
      <w:numFmt w:val="lowerRoman"/>
      <w:lvlText w:val="%9."/>
      <w:lvlJc w:val="left"/>
      <w:pPr>
        <w:tabs>
          <w:tab w:val="num" w:pos="8040"/>
        </w:tabs>
        <w:ind w:left="8040"/>
      </w:pPr>
      <w:rPr>
        <w:color w:val="000000"/>
        <w:position w:val="0"/>
        <w:sz w:val="22"/>
        <w:szCs w:val="22"/>
      </w:rPr>
    </w:lvl>
  </w:abstractNum>
  <w:abstractNum w:abstractNumId="93">
    <w:nsid w:val="4AE871B2"/>
    <w:multiLevelType w:val="multilevel"/>
    <w:tmpl w:val="061A64CA"/>
    <w:styleLink w:val="List130"/>
    <w:lvl w:ilvl="0">
      <w:start w:val="1"/>
      <w:numFmt w:val="decimal"/>
      <w:lvlText w:val="%1."/>
      <w:lvlJc w:val="left"/>
      <w:pPr>
        <w:tabs>
          <w:tab w:val="num" w:pos="930"/>
        </w:tabs>
        <w:ind w:left="930" w:hanging="330"/>
      </w:pPr>
      <w:rPr>
        <w:b/>
        <w:bCs/>
        <w:color w:val="000000"/>
        <w:position w:val="0"/>
        <w:sz w:val="22"/>
        <w:szCs w:val="22"/>
      </w:rPr>
    </w:lvl>
    <w:lvl w:ilvl="1">
      <w:start w:val="1"/>
      <w:numFmt w:val="decimal"/>
      <w:lvlText w:val="%1.%2."/>
      <w:lvlJc w:val="left"/>
      <w:pPr>
        <w:tabs>
          <w:tab w:val="num" w:pos="960"/>
        </w:tabs>
        <w:ind w:left="960"/>
      </w:pPr>
      <w:rPr>
        <w:b/>
        <w:bCs/>
        <w:color w:val="000000"/>
        <w:position w:val="0"/>
        <w:sz w:val="22"/>
        <w:szCs w:val="22"/>
      </w:rPr>
    </w:lvl>
    <w:lvl w:ilvl="2">
      <w:start w:val="1"/>
      <w:numFmt w:val="decimal"/>
      <w:lvlText w:val="%2."/>
      <w:lvlJc w:val="left"/>
      <w:pPr>
        <w:tabs>
          <w:tab w:val="num" w:pos="2400"/>
        </w:tabs>
        <w:ind w:left="1680"/>
      </w:pPr>
      <w:rPr>
        <w:b/>
        <w:bCs/>
        <w:color w:val="000000"/>
        <w:position w:val="0"/>
        <w:sz w:val="22"/>
        <w:szCs w:val="22"/>
      </w:rPr>
    </w:lvl>
    <w:lvl w:ilvl="3">
      <w:start w:val="1"/>
      <w:numFmt w:val="decimal"/>
      <w:lvlText w:val="%2."/>
      <w:lvlJc w:val="left"/>
      <w:pPr>
        <w:tabs>
          <w:tab w:val="num" w:pos="3840"/>
        </w:tabs>
        <w:ind w:left="2400"/>
      </w:pPr>
      <w:rPr>
        <w:b/>
        <w:bCs/>
        <w:color w:val="000000"/>
        <w:position w:val="0"/>
        <w:sz w:val="22"/>
        <w:szCs w:val="22"/>
      </w:rPr>
    </w:lvl>
    <w:lvl w:ilvl="4">
      <w:start w:val="1"/>
      <w:numFmt w:val="decimal"/>
      <w:lvlText w:val="%2."/>
      <w:lvlJc w:val="left"/>
      <w:pPr>
        <w:tabs>
          <w:tab w:val="num" w:pos="5280"/>
        </w:tabs>
        <w:ind w:left="3120"/>
      </w:pPr>
      <w:rPr>
        <w:b/>
        <w:bCs/>
        <w:color w:val="000000"/>
        <w:position w:val="0"/>
        <w:sz w:val="22"/>
        <w:szCs w:val="22"/>
      </w:rPr>
    </w:lvl>
    <w:lvl w:ilvl="5">
      <w:start w:val="1"/>
      <w:numFmt w:val="decimal"/>
      <w:lvlText w:val="%2."/>
      <w:lvlJc w:val="left"/>
      <w:pPr>
        <w:tabs>
          <w:tab w:val="num" w:pos="6720"/>
        </w:tabs>
        <w:ind w:left="3840"/>
      </w:pPr>
      <w:rPr>
        <w:b/>
        <w:bCs/>
        <w:color w:val="000000"/>
        <w:position w:val="0"/>
        <w:sz w:val="22"/>
        <w:szCs w:val="22"/>
      </w:rPr>
    </w:lvl>
    <w:lvl w:ilvl="6">
      <w:start w:val="1"/>
      <w:numFmt w:val="decimal"/>
      <w:lvlText w:val="%2."/>
      <w:lvlJc w:val="left"/>
      <w:pPr>
        <w:tabs>
          <w:tab w:val="num" w:pos="8160"/>
        </w:tabs>
        <w:ind w:left="4560"/>
      </w:pPr>
      <w:rPr>
        <w:b/>
        <w:bCs/>
        <w:color w:val="000000"/>
        <w:position w:val="0"/>
        <w:sz w:val="22"/>
        <w:szCs w:val="22"/>
      </w:rPr>
    </w:lvl>
    <w:lvl w:ilvl="7">
      <w:start w:val="1"/>
      <w:numFmt w:val="decimal"/>
      <w:lvlText w:val="%2."/>
      <w:lvlJc w:val="left"/>
      <w:pPr>
        <w:tabs>
          <w:tab w:val="num" w:pos="9600"/>
        </w:tabs>
        <w:ind w:left="5280"/>
      </w:pPr>
      <w:rPr>
        <w:b/>
        <w:bCs/>
        <w:color w:val="000000"/>
        <w:position w:val="0"/>
        <w:sz w:val="22"/>
        <w:szCs w:val="22"/>
      </w:rPr>
    </w:lvl>
    <w:lvl w:ilvl="8">
      <w:start w:val="1"/>
      <w:numFmt w:val="decimal"/>
      <w:lvlText w:val="%2."/>
      <w:lvlJc w:val="left"/>
      <w:pPr>
        <w:tabs>
          <w:tab w:val="num" w:pos="11040"/>
        </w:tabs>
        <w:ind w:left="6000"/>
      </w:pPr>
      <w:rPr>
        <w:b/>
        <w:bCs/>
        <w:color w:val="000000"/>
        <w:position w:val="0"/>
        <w:sz w:val="22"/>
        <w:szCs w:val="22"/>
      </w:rPr>
    </w:lvl>
  </w:abstractNum>
  <w:abstractNum w:abstractNumId="94">
    <w:nsid w:val="4B1A7810"/>
    <w:multiLevelType w:val="multilevel"/>
    <w:tmpl w:val="79BED280"/>
    <w:styleLink w:val="List51"/>
    <w:lvl w:ilvl="0">
      <w:start w:val="1"/>
      <w:numFmt w:val="decimal"/>
      <w:lvlText w:val="%1."/>
      <w:lvlJc w:val="left"/>
      <w:pPr>
        <w:tabs>
          <w:tab w:val="num" w:pos="720"/>
        </w:tabs>
        <w:ind w:left="720"/>
      </w:pPr>
      <w:rPr>
        <w:b/>
        <w:bCs/>
        <w:color w:val="000000"/>
        <w:position w:val="0"/>
        <w:sz w:val="22"/>
        <w:szCs w:val="22"/>
      </w:rPr>
    </w:lvl>
    <w:lvl w:ilvl="1">
      <w:start w:val="3"/>
      <w:numFmt w:val="upperLetter"/>
      <w:lvlText w:val="%2."/>
      <w:lvlJc w:val="left"/>
      <w:pPr>
        <w:tabs>
          <w:tab w:val="num" w:pos="450"/>
        </w:tabs>
        <w:ind w:left="450" w:hanging="330"/>
      </w:pPr>
      <w:rPr>
        <w:b/>
        <w:bCs/>
        <w:color w:val="000000"/>
        <w:position w:val="0"/>
        <w:sz w:val="22"/>
        <w:szCs w:val="22"/>
      </w:rPr>
    </w:lvl>
    <w:lvl w:ilvl="2">
      <w:start w:val="1"/>
      <w:numFmt w:val="lowerLetter"/>
      <w:lvlText w:val="%3)"/>
      <w:lvlJc w:val="left"/>
      <w:pPr>
        <w:tabs>
          <w:tab w:val="num" w:pos="2340"/>
        </w:tabs>
        <w:ind w:left="234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95">
    <w:nsid w:val="4B5C442D"/>
    <w:multiLevelType w:val="multilevel"/>
    <w:tmpl w:val="85D4B93A"/>
    <w:styleLink w:val="List8"/>
    <w:lvl w:ilvl="0">
      <w:start w:val="1"/>
      <w:numFmt w:val="decimal"/>
      <w:lvlText w:val="%1."/>
      <w:lvlJc w:val="left"/>
      <w:pPr>
        <w:tabs>
          <w:tab w:val="num" w:pos="690"/>
        </w:tabs>
        <w:ind w:left="690" w:hanging="330"/>
      </w:pPr>
      <w:rPr>
        <w:color w:val="000000"/>
        <w:position w:val="0"/>
        <w:sz w:val="22"/>
        <w:szCs w:val="22"/>
      </w:rPr>
    </w:lvl>
    <w:lvl w:ilvl="1">
      <w:start w:val="1"/>
      <w:numFmt w:val="upperLetter"/>
      <w:lvlText w:val="%2."/>
      <w:lvlJc w:val="left"/>
      <w:pPr>
        <w:tabs>
          <w:tab w:val="num" w:pos="1440"/>
        </w:tabs>
        <w:ind w:left="144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96">
    <w:nsid w:val="4BC32CC4"/>
    <w:multiLevelType w:val="multilevel"/>
    <w:tmpl w:val="2EFA7FA8"/>
    <w:styleLink w:val="List94"/>
    <w:lvl w:ilvl="0">
      <w:start w:val="1"/>
      <w:numFmt w:val="bullet"/>
      <w:lvlText w:val="-"/>
      <w:lvlJc w:val="left"/>
      <w:pPr>
        <w:tabs>
          <w:tab w:val="num" w:pos="1068"/>
        </w:tabs>
        <w:ind w:left="1068"/>
      </w:pPr>
      <w:rPr>
        <w:color w:val="000000"/>
        <w:position w:val="0"/>
        <w:sz w:val="20"/>
        <w:szCs w:val="20"/>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0"/>
        <w:szCs w:val="20"/>
      </w:rPr>
    </w:lvl>
    <w:lvl w:ilvl="3">
      <w:start w:val="1"/>
      <w:numFmt w:val="bullet"/>
      <w:lvlText w:val="•"/>
      <w:lvlJc w:val="left"/>
      <w:pPr>
        <w:tabs>
          <w:tab w:val="num" w:pos="3228"/>
        </w:tabs>
        <w:ind w:left="3228"/>
      </w:pPr>
      <w:rPr>
        <w:color w:val="000000"/>
        <w:position w:val="0"/>
        <w:sz w:val="20"/>
        <w:szCs w:val="20"/>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numFmt w:val="bullet"/>
      <w:lvlText w:val="o"/>
      <w:lvlJc w:val="left"/>
      <w:pPr>
        <w:tabs>
          <w:tab w:val="num" w:pos="2970"/>
        </w:tabs>
        <w:ind w:left="2970" w:hanging="330"/>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97">
    <w:nsid w:val="4D6F5978"/>
    <w:multiLevelType w:val="multilevel"/>
    <w:tmpl w:val="30547786"/>
    <w:styleLink w:val="List146"/>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98">
    <w:nsid w:val="4E0D10A3"/>
    <w:multiLevelType w:val="multilevel"/>
    <w:tmpl w:val="DFFC8210"/>
    <w:styleLink w:val="List41"/>
    <w:lvl w:ilvl="0">
      <w:start w:val="1"/>
      <w:numFmt w:val="decimal"/>
      <w:lvlText w:val="%1."/>
      <w:lvlJc w:val="left"/>
      <w:pPr>
        <w:tabs>
          <w:tab w:val="num" w:pos="1200"/>
        </w:tabs>
        <w:ind w:left="1200"/>
      </w:pPr>
      <w:rPr>
        <w:b/>
        <w:bCs/>
        <w:color w:val="000000"/>
        <w:position w:val="0"/>
        <w:sz w:val="22"/>
        <w:szCs w:val="22"/>
      </w:rPr>
    </w:lvl>
    <w:lvl w:ilvl="1">
      <w:start w:val="1"/>
      <w:numFmt w:val="lowerLetter"/>
      <w:lvlText w:val="%2."/>
      <w:lvlJc w:val="left"/>
      <w:pPr>
        <w:tabs>
          <w:tab w:val="num" w:pos="1920"/>
        </w:tabs>
        <w:ind w:left="1920"/>
      </w:pPr>
      <w:rPr>
        <w:b/>
        <w:bCs/>
        <w:color w:val="000000"/>
        <w:position w:val="0"/>
        <w:sz w:val="22"/>
        <w:szCs w:val="22"/>
      </w:rPr>
    </w:lvl>
    <w:lvl w:ilvl="2">
      <w:start w:val="1"/>
      <w:numFmt w:val="lowerRoman"/>
      <w:lvlText w:val="%3."/>
      <w:lvlJc w:val="left"/>
      <w:pPr>
        <w:tabs>
          <w:tab w:val="num" w:pos="2640"/>
        </w:tabs>
        <w:ind w:left="2640"/>
      </w:pPr>
      <w:rPr>
        <w:b/>
        <w:bCs/>
        <w:color w:val="000000"/>
        <w:position w:val="0"/>
        <w:sz w:val="22"/>
        <w:szCs w:val="22"/>
      </w:rPr>
    </w:lvl>
    <w:lvl w:ilvl="3">
      <w:start w:val="1"/>
      <w:numFmt w:val="upperLetter"/>
      <w:lvlText w:val="%4."/>
      <w:lvlJc w:val="left"/>
      <w:pPr>
        <w:tabs>
          <w:tab w:val="num" w:pos="1408"/>
        </w:tabs>
        <w:ind w:left="1408" w:hanging="358"/>
      </w:pPr>
      <w:rPr>
        <w:b/>
        <w:bCs/>
        <w:color w:val="000000"/>
        <w:position w:val="0"/>
        <w:sz w:val="22"/>
        <w:szCs w:val="22"/>
      </w:rPr>
    </w:lvl>
    <w:lvl w:ilvl="4">
      <w:start w:val="1"/>
      <w:numFmt w:val="lowerLetter"/>
      <w:lvlText w:val="%5."/>
      <w:lvlJc w:val="left"/>
      <w:pPr>
        <w:tabs>
          <w:tab w:val="num" w:pos="4080"/>
        </w:tabs>
        <w:ind w:left="4080"/>
      </w:pPr>
      <w:rPr>
        <w:b/>
        <w:bCs/>
        <w:color w:val="000000"/>
        <w:position w:val="0"/>
        <w:sz w:val="22"/>
        <w:szCs w:val="22"/>
      </w:rPr>
    </w:lvl>
    <w:lvl w:ilvl="5">
      <w:start w:val="1"/>
      <w:numFmt w:val="lowerRoman"/>
      <w:lvlText w:val="%6."/>
      <w:lvlJc w:val="left"/>
      <w:pPr>
        <w:tabs>
          <w:tab w:val="num" w:pos="4800"/>
        </w:tabs>
        <w:ind w:left="4800"/>
      </w:pPr>
      <w:rPr>
        <w:b/>
        <w:bCs/>
        <w:color w:val="000000"/>
        <w:position w:val="0"/>
        <w:sz w:val="22"/>
        <w:szCs w:val="22"/>
      </w:rPr>
    </w:lvl>
    <w:lvl w:ilvl="6">
      <w:start w:val="1"/>
      <w:numFmt w:val="decimal"/>
      <w:lvlText w:val="%7."/>
      <w:lvlJc w:val="left"/>
      <w:pPr>
        <w:tabs>
          <w:tab w:val="num" w:pos="5520"/>
        </w:tabs>
        <w:ind w:left="5520"/>
      </w:pPr>
      <w:rPr>
        <w:b/>
        <w:bCs/>
        <w:color w:val="000000"/>
        <w:position w:val="0"/>
        <w:sz w:val="22"/>
        <w:szCs w:val="22"/>
      </w:rPr>
    </w:lvl>
    <w:lvl w:ilvl="7">
      <w:start w:val="1"/>
      <w:numFmt w:val="lowerLetter"/>
      <w:lvlText w:val="%8."/>
      <w:lvlJc w:val="left"/>
      <w:pPr>
        <w:tabs>
          <w:tab w:val="num" w:pos="6240"/>
        </w:tabs>
        <w:ind w:left="6240"/>
      </w:pPr>
      <w:rPr>
        <w:b/>
        <w:bCs/>
        <w:color w:val="000000"/>
        <w:position w:val="0"/>
        <w:sz w:val="22"/>
        <w:szCs w:val="22"/>
      </w:rPr>
    </w:lvl>
    <w:lvl w:ilvl="8">
      <w:start w:val="1"/>
      <w:numFmt w:val="lowerRoman"/>
      <w:lvlText w:val="%9."/>
      <w:lvlJc w:val="left"/>
      <w:pPr>
        <w:tabs>
          <w:tab w:val="num" w:pos="6960"/>
        </w:tabs>
        <w:ind w:left="6960"/>
      </w:pPr>
      <w:rPr>
        <w:b/>
        <w:bCs/>
        <w:color w:val="000000"/>
        <w:position w:val="0"/>
        <w:sz w:val="22"/>
        <w:szCs w:val="22"/>
      </w:rPr>
    </w:lvl>
  </w:abstractNum>
  <w:abstractNum w:abstractNumId="99">
    <w:nsid w:val="4EC10E0E"/>
    <w:multiLevelType w:val="multilevel"/>
    <w:tmpl w:val="DA988398"/>
    <w:styleLink w:val="List60"/>
    <w:lvl w:ilvl="0">
      <w:numFmt w:val="bullet"/>
      <w:lvlText w:val="-"/>
      <w:lvlJc w:val="left"/>
      <w:pPr>
        <w:tabs>
          <w:tab w:val="num" w:pos="1038"/>
        </w:tabs>
        <w:ind w:left="1038" w:hanging="330"/>
      </w:pPr>
      <w:rPr>
        <w:color w:val="000000"/>
        <w:position w:val="0"/>
        <w:sz w:val="22"/>
        <w:szCs w:val="22"/>
        <w:lang w:val="de-DE"/>
      </w:rPr>
    </w:lvl>
    <w:lvl w:ilvl="1">
      <w:start w:val="1"/>
      <w:numFmt w:val="decimal"/>
      <w:lvlText w:val="%2."/>
      <w:lvlJc w:val="left"/>
      <w:pPr>
        <w:tabs>
          <w:tab w:val="num" w:pos="1788"/>
        </w:tabs>
        <w:ind w:left="1788"/>
      </w:pPr>
      <w:rPr>
        <w:color w:val="000000"/>
        <w:position w:val="0"/>
        <w:sz w:val="22"/>
        <w:szCs w:val="22"/>
        <w:lang w:val="de-DE"/>
      </w:rPr>
    </w:lvl>
    <w:lvl w:ilvl="2">
      <w:start w:val="1"/>
      <w:numFmt w:val="bullet"/>
      <w:lvlText w:val=""/>
      <w:lvlJc w:val="left"/>
      <w:pPr>
        <w:tabs>
          <w:tab w:val="num" w:pos="2508"/>
        </w:tabs>
        <w:ind w:left="2508"/>
      </w:pPr>
      <w:rPr>
        <w:color w:val="000000"/>
        <w:position w:val="0"/>
        <w:sz w:val="20"/>
        <w:szCs w:val="20"/>
        <w:lang w:val="de-DE"/>
      </w:rPr>
    </w:lvl>
    <w:lvl w:ilvl="3">
      <w:start w:val="1"/>
      <w:numFmt w:val="bullet"/>
      <w:lvlText w:val="•"/>
      <w:lvlJc w:val="left"/>
      <w:pPr>
        <w:tabs>
          <w:tab w:val="num" w:pos="3228"/>
        </w:tabs>
        <w:ind w:left="3228"/>
      </w:pPr>
      <w:rPr>
        <w:color w:val="000000"/>
        <w:position w:val="0"/>
        <w:sz w:val="20"/>
        <w:szCs w:val="20"/>
        <w:lang w:val="de-DE"/>
      </w:rPr>
    </w:lvl>
    <w:lvl w:ilvl="4">
      <w:start w:val="1"/>
      <w:numFmt w:val="upperLetter"/>
      <w:lvlText w:val="%5."/>
      <w:lvlJc w:val="left"/>
      <w:pPr>
        <w:tabs>
          <w:tab w:val="num" w:pos="3948"/>
        </w:tabs>
        <w:ind w:left="3948"/>
      </w:pPr>
      <w:rPr>
        <w:color w:val="000000"/>
        <w:position w:val="0"/>
        <w:sz w:val="22"/>
        <w:szCs w:val="22"/>
        <w:lang w:val="de-DE"/>
      </w:rPr>
    </w:lvl>
    <w:lvl w:ilvl="5">
      <w:start w:val="1"/>
      <w:numFmt w:val="upperLetter"/>
      <w:lvlText w:val="%6."/>
      <w:lvlJc w:val="left"/>
      <w:pPr>
        <w:tabs>
          <w:tab w:val="num" w:pos="4668"/>
        </w:tabs>
        <w:ind w:left="4668"/>
      </w:pPr>
      <w:rPr>
        <w:color w:val="000000"/>
        <w:position w:val="0"/>
        <w:sz w:val="22"/>
        <w:szCs w:val="22"/>
        <w:lang w:val="de-DE"/>
      </w:rPr>
    </w:lvl>
    <w:lvl w:ilvl="6">
      <w:start w:val="1"/>
      <w:numFmt w:val="decimal"/>
      <w:lvlText w:val="%7."/>
      <w:lvlJc w:val="left"/>
      <w:pPr>
        <w:tabs>
          <w:tab w:val="num" w:pos="5388"/>
        </w:tabs>
        <w:ind w:left="5388"/>
      </w:pPr>
      <w:rPr>
        <w:color w:val="000000"/>
        <w:position w:val="0"/>
        <w:sz w:val="22"/>
        <w:szCs w:val="22"/>
        <w:lang w:val="de-DE"/>
      </w:rPr>
    </w:lvl>
    <w:lvl w:ilvl="7">
      <w:start w:val="1"/>
      <w:numFmt w:val="bullet"/>
      <w:lvlText w:val="o"/>
      <w:lvlJc w:val="left"/>
      <w:pPr>
        <w:tabs>
          <w:tab w:val="num" w:pos="6108"/>
        </w:tabs>
        <w:ind w:left="6108"/>
      </w:pPr>
      <w:rPr>
        <w:color w:val="000000"/>
        <w:position w:val="0"/>
        <w:sz w:val="20"/>
        <w:szCs w:val="20"/>
        <w:lang w:val="de-DE"/>
      </w:rPr>
    </w:lvl>
    <w:lvl w:ilvl="8">
      <w:start w:val="1"/>
      <w:numFmt w:val="upperRoman"/>
      <w:lvlText w:val="%9."/>
      <w:lvlJc w:val="left"/>
      <w:pPr>
        <w:tabs>
          <w:tab w:val="num" w:pos="7188"/>
        </w:tabs>
        <w:ind w:left="7188"/>
      </w:pPr>
      <w:rPr>
        <w:color w:val="000000"/>
        <w:position w:val="0"/>
        <w:sz w:val="22"/>
        <w:szCs w:val="22"/>
        <w:lang w:val="de-DE"/>
      </w:rPr>
    </w:lvl>
  </w:abstractNum>
  <w:abstractNum w:abstractNumId="100">
    <w:nsid w:val="516A1AD6"/>
    <w:multiLevelType w:val="multilevel"/>
    <w:tmpl w:val="952EA0C8"/>
    <w:styleLink w:val="List40"/>
    <w:lvl w:ilvl="0">
      <w:start w:val="1"/>
      <w:numFmt w:val="decimal"/>
      <w:lvlText w:val="%1."/>
      <w:lvlJc w:val="left"/>
      <w:pPr>
        <w:tabs>
          <w:tab w:val="num" w:pos="1773"/>
        </w:tabs>
        <w:ind w:left="1773"/>
      </w:pPr>
      <w:rPr>
        <w:color w:val="000000"/>
        <w:position w:val="0"/>
        <w:sz w:val="22"/>
        <w:szCs w:val="22"/>
      </w:rPr>
    </w:lvl>
    <w:lvl w:ilvl="1">
      <w:start w:val="1"/>
      <w:numFmt w:val="lowerLetter"/>
      <w:lvlText w:val="%2."/>
      <w:lvlJc w:val="left"/>
      <w:pPr>
        <w:tabs>
          <w:tab w:val="num" w:pos="2493"/>
        </w:tabs>
        <w:ind w:left="2493"/>
      </w:pPr>
      <w:rPr>
        <w:color w:val="000000"/>
        <w:position w:val="0"/>
        <w:sz w:val="22"/>
        <w:szCs w:val="22"/>
      </w:rPr>
    </w:lvl>
    <w:lvl w:ilvl="2">
      <w:start w:val="1"/>
      <w:numFmt w:val="lowerRoman"/>
      <w:lvlText w:val="%3."/>
      <w:lvlJc w:val="left"/>
      <w:pPr>
        <w:tabs>
          <w:tab w:val="num" w:pos="3213"/>
        </w:tabs>
        <w:ind w:left="3213"/>
      </w:pPr>
      <w:rPr>
        <w:color w:val="000000"/>
        <w:position w:val="0"/>
        <w:sz w:val="22"/>
        <w:szCs w:val="22"/>
      </w:rPr>
    </w:lvl>
    <w:lvl w:ilvl="3">
      <w:start w:val="1"/>
      <w:numFmt w:val="decimal"/>
      <w:lvlText w:val="%4."/>
      <w:lvlJc w:val="left"/>
      <w:pPr>
        <w:tabs>
          <w:tab w:val="num" w:pos="3903"/>
        </w:tabs>
        <w:ind w:left="3903" w:hanging="330"/>
      </w:pPr>
      <w:rPr>
        <w:color w:val="000000"/>
        <w:position w:val="0"/>
        <w:sz w:val="22"/>
        <w:szCs w:val="22"/>
      </w:rPr>
    </w:lvl>
    <w:lvl w:ilvl="4">
      <w:start w:val="1"/>
      <w:numFmt w:val="upperLetter"/>
      <w:lvlText w:val="%5."/>
      <w:lvlJc w:val="left"/>
      <w:pPr>
        <w:tabs>
          <w:tab w:val="num" w:pos="4653"/>
        </w:tabs>
        <w:ind w:left="4653"/>
      </w:pPr>
      <w:rPr>
        <w:color w:val="000000"/>
        <w:position w:val="0"/>
        <w:sz w:val="22"/>
        <w:szCs w:val="22"/>
      </w:rPr>
    </w:lvl>
    <w:lvl w:ilvl="5">
      <w:start w:val="1"/>
      <w:numFmt w:val="lowerRoman"/>
      <w:lvlText w:val="%6)"/>
      <w:lvlJc w:val="left"/>
      <w:pPr>
        <w:tabs>
          <w:tab w:val="num" w:pos="5913"/>
        </w:tabs>
        <w:ind w:left="5913"/>
      </w:pPr>
      <w:rPr>
        <w:color w:val="000000"/>
        <w:position w:val="0"/>
        <w:sz w:val="22"/>
        <w:szCs w:val="22"/>
      </w:rPr>
    </w:lvl>
    <w:lvl w:ilvl="6">
      <w:start w:val="1"/>
      <w:numFmt w:val="decimal"/>
      <w:lvlText w:val="%7)"/>
      <w:lvlJc w:val="left"/>
      <w:pPr>
        <w:tabs>
          <w:tab w:val="num" w:pos="6093"/>
        </w:tabs>
        <w:ind w:left="6093"/>
      </w:pPr>
      <w:rPr>
        <w:color w:val="000000"/>
        <w:position w:val="0"/>
        <w:sz w:val="22"/>
        <w:szCs w:val="22"/>
      </w:rPr>
    </w:lvl>
    <w:lvl w:ilvl="7">
      <w:start w:val="1"/>
      <w:numFmt w:val="lowerLetter"/>
      <w:lvlText w:val="%8."/>
      <w:lvlJc w:val="left"/>
      <w:pPr>
        <w:tabs>
          <w:tab w:val="num" w:pos="6813"/>
        </w:tabs>
        <w:ind w:left="6813"/>
      </w:pPr>
      <w:rPr>
        <w:color w:val="000000"/>
        <w:position w:val="0"/>
        <w:sz w:val="22"/>
        <w:szCs w:val="22"/>
      </w:rPr>
    </w:lvl>
    <w:lvl w:ilvl="8">
      <w:start w:val="1"/>
      <w:numFmt w:val="lowerRoman"/>
      <w:lvlText w:val="%9."/>
      <w:lvlJc w:val="left"/>
      <w:pPr>
        <w:tabs>
          <w:tab w:val="num" w:pos="7533"/>
        </w:tabs>
        <w:ind w:left="7533"/>
      </w:pPr>
      <w:rPr>
        <w:color w:val="000000"/>
        <w:position w:val="0"/>
        <w:sz w:val="22"/>
        <w:szCs w:val="22"/>
      </w:rPr>
    </w:lvl>
  </w:abstractNum>
  <w:abstractNum w:abstractNumId="101">
    <w:nsid w:val="52EA2505"/>
    <w:multiLevelType w:val="multilevel"/>
    <w:tmpl w:val="C4D849A2"/>
    <w:styleLink w:val="List12"/>
    <w:lvl w:ilvl="0">
      <w:start w:val="1"/>
      <w:numFmt w:val="decimal"/>
      <w:lvlText w:val="%1."/>
      <w:lvlJc w:val="left"/>
      <w:pPr>
        <w:tabs>
          <w:tab w:val="num" w:pos="1065"/>
        </w:tabs>
        <w:ind w:left="1065"/>
      </w:pPr>
      <w:rPr>
        <w:color w:val="000000"/>
        <w:position w:val="0"/>
        <w:sz w:val="22"/>
        <w:szCs w:val="22"/>
      </w:rPr>
    </w:lvl>
    <w:lvl w:ilvl="1">
      <w:start w:val="1"/>
      <w:numFmt w:val="decimal"/>
      <w:lvlText w:val="%2."/>
      <w:lvlJc w:val="left"/>
      <w:pPr>
        <w:tabs>
          <w:tab w:val="num" w:pos="1785"/>
        </w:tabs>
        <w:ind w:left="1785"/>
      </w:pPr>
      <w:rPr>
        <w:color w:val="000000"/>
        <w:position w:val="0"/>
        <w:sz w:val="22"/>
        <w:szCs w:val="22"/>
      </w:rPr>
    </w:lvl>
    <w:lvl w:ilvl="2">
      <w:start w:val="1"/>
      <w:numFmt w:val="lowerLetter"/>
      <w:lvlText w:val="%3)"/>
      <w:lvlJc w:val="left"/>
      <w:pPr>
        <w:tabs>
          <w:tab w:val="num" w:pos="1410"/>
        </w:tabs>
        <w:ind w:left="1410" w:hanging="330"/>
      </w:pPr>
      <w:rPr>
        <w:color w:val="000000"/>
        <w:position w:val="0"/>
        <w:sz w:val="22"/>
        <w:szCs w:val="22"/>
      </w:rPr>
    </w:lvl>
    <w:lvl w:ilvl="3">
      <w:start w:val="1"/>
      <w:numFmt w:val="decimal"/>
      <w:lvlText w:val="%4."/>
      <w:lvlJc w:val="left"/>
      <w:pPr>
        <w:tabs>
          <w:tab w:val="num" w:pos="3225"/>
        </w:tabs>
        <w:ind w:left="3225"/>
      </w:pPr>
      <w:rPr>
        <w:color w:val="000000"/>
        <w:position w:val="0"/>
        <w:sz w:val="22"/>
        <w:szCs w:val="22"/>
      </w:rPr>
    </w:lvl>
    <w:lvl w:ilvl="4">
      <w:start w:val="1"/>
      <w:numFmt w:val="lowerLetter"/>
      <w:lvlText w:val="%5."/>
      <w:lvlJc w:val="left"/>
      <w:pPr>
        <w:tabs>
          <w:tab w:val="num" w:pos="3945"/>
        </w:tabs>
        <w:ind w:left="3945"/>
      </w:pPr>
      <w:rPr>
        <w:color w:val="000000"/>
        <w:position w:val="0"/>
        <w:sz w:val="22"/>
        <w:szCs w:val="22"/>
      </w:rPr>
    </w:lvl>
    <w:lvl w:ilvl="5">
      <w:start w:val="1"/>
      <w:numFmt w:val="lowerRoman"/>
      <w:lvlText w:val="%6."/>
      <w:lvlJc w:val="left"/>
      <w:pPr>
        <w:tabs>
          <w:tab w:val="num" w:pos="4665"/>
        </w:tabs>
        <w:ind w:left="4665"/>
      </w:pPr>
      <w:rPr>
        <w:color w:val="000000"/>
        <w:position w:val="0"/>
        <w:sz w:val="22"/>
        <w:szCs w:val="22"/>
      </w:rPr>
    </w:lvl>
    <w:lvl w:ilvl="6">
      <w:start w:val="1"/>
      <w:numFmt w:val="decimal"/>
      <w:lvlText w:val="%7."/>
      <w:lvlJc w:val="left"/>
      <w:pPr>
        <w:tabs>
          <w:tab w:val="num" w:pos="5385"/>
        </w:tabs>
        <w:ind w:left="5385"/>
      </w:pPr>
      <w:rPr>
        <w:color w:val="000000"/>
        <w:position w:val="0"/>
        <w:sz w:val="22"/>
        <w:szCs w:val="22"/>
      </w:rPr>
    </w:lvl>
    <w:lvl w:ilvl="7">
      <w:start w:val="1"/>
      <w:numFmt w:val="lowerLetter"/>
      <w:lvlText w:val="%8."/>
      <w:lvlJc w:val="left"/>
      <w:pPr>
        <w:tabs>
          <w:tab w:val="num" w:pos="6105"/>
        </w:tabs>
        <w:ind w:left="6105"/>
      </w:pPr>
      <w:rPr>
        <w:color w:val="000000"/>
        <w:position w:val="0"/>
        <w:sz w:val="22"/>
        <w:szCs w:val="22"/>
      </w:rPr>
    </w:lvl>
    <w:lvl w:ilvl="8">
      <w:start w:val="1"/>
      <w:numFmt w:val="lowerRoman"/>
      <w:lvlText w:val="%9."/>
      <w:lvlJc w:val="left"/>
      <w:pPr>
        <w:tabs>
          <w:tab w:val="num" w:pos="6825"/>
        </w:tabs>
        <w:ind w:left="6825"/>
      </w:pPr>
      <w:rPr>
        <w:color w:val="000000"/>
        <w:position w:val="0"/>
        <w:sz w:val="22"/>
        <w:szCs w:val="22"/>
      </w:rPr>
    </w:lvl>
  </w:abstractNum>
  <w:abstractNum w:abstractNumId="102">
    <w:nsid w:val="53220C83"/>
    <w:multiLevelType w:val="multilevel"/>
    <w:tmpl w:val="4626820E"/>
    <w:styleLink w:val="List31"/>
    <w:lvl w:ilvl="0">
      <w:start w:val="1"/>
      <w:numFmt w:val="bullet"/>
      <w:lvlText w:val="-"/>
      <w:lvlJc w:val="left"/>
      <w:pPr>
        <w:tabs>
          <w:tab w:val="num" w:pos="1068"/>
        </w:tabs>
        <w:ind w:left="1068"/>
      </w:pPr>
      <w:rPr>
        <w:color w:val="000000"/>
        <w:position w:val="0"/>
        <w:sz w:val="22"/>
        <w:szCs w:val="22"/>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numFmt w:val="bullet"/>
      <w:lvlText w:val="•"/>
      <w:lvlJc w:val="left"/>
      <w:pPr>
        <w:tabs>
          <w:tab w:val="num" w:pos="1290"/>
        </w:tabs>
        <w:ind w:left="1290" w:hanging="330"/>
      </w:pPr>
      <w:rPr>
        <w:color w:val="000000"/>
        <w:position w:val="0"/>
        <w:sz w:val="24"/>
        <w:szCs w:val="24"/>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103">
    <w:nsid w:val="540E67F3"/>
    <w:multiLevelType w:val="multilevel"/>
    <w:tmpl w:val="43848B3C"/>
    <w:styleLink w:val="List111"/>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04">
    <w:nsid w:val="54AD479B"/>
    <w:multiLevelType w:val="multilevel"/>
    <w:tmpl w:val="A2A295FE"/>
    <w:styleLink w:val="List39"/>
    <w:lvl w:ilvl="0">
      <w:start w:val="1"/>
      <w:numFmt w:val="decimal"/>
      <w:lvlText w:val="%1."/>
      <w:lvlJc w:val="left"/>
      <w:pPr>
        <w:tabs>
          <w:tab w:val="num" w:pos="720"/>
        </w:tabs>
        <w:ind w:left="720"/>
      </w:pPr>
      <w:rPr>
        <w:color w:val="000000"/>
        <w:position w:val="0"/>
        <w:sz w:val="22"/>
        <w:szCs w:val="22"/>
      </w:rPr>
    </w:lvl>
    <w:lvl w:ilvl="1">
      <w:start w:val="3"/>
      <w:numFmt w:val="upperLetter"/>
      <w:lvlText w:val="%2."/>
      <w:lvlJc w:val="left"/>
      <w:pPr>
        <w:tabs>
          <w:tab w:val="num" w:pos="1320"/>
        </w:tabs>
        <w:ind w:left="1320" w:hanging="132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05">
    <w:nsid w:val="55002D7C"/>
    <w:multiLevelType w:val="multilevel"/>
    <w:tmpl w:val="43C2DB32"/>
    <w:styleLink w:val="List0"/>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06">
    <w:nsid w:val="55B25B6D"/>
    <w:multiLevelType w:val="multilevel"/>
    <w:tmpl w:val="6FB01FC4"/>
    <w:styleLink w:val="List64"/>
    <w:lvl w:ilvl="0">
      <w:start w:val="1"/>
      <w:numFmt w:val="bullet"/>
      <w:lvlText w:val="·"/>
      <w:lvlJc w:val="left"/>
      <w:pPr>
        <w:tabs>
          <w:tab w:val="num" w:pos="930"/>
        </w:tabs>
        <w:ind w:left="930" w:hanging="330"/>
      </w:pPr>
      <w:rPr>
        <w:color w:val="000000"/>
        <w:position w:val="0"/>
        <w:sz w:val="22"/>
        <w:szCs w:val="22"/>
      </w:rPr>
    </w:lvl>
    <w:lvl w:ilvl="1">
      <w:start w:val="1"/>
      <w:numFmt w:val="bullet"/>
      <w:lvlText w:val="·"/>
      <w:lvlJc w:val="left"/>
      <w:pPr>
        <w:tabs>
          <w:tab w:val="num" w:pos="960"/>
        </w:tabs>
        <w:ind w:left="960"/>
      </w:pPr>
      <w:rPr>
        <w:color w:val="000000"/>
        <w:position w:val="0"/>
        <w:sz w:val="20"/>
        <w:szCs w:val="20"/>
      </w:rPr>
    </w:lvl>
    <w:lvl w:ilvl="2">
      <w:start w:val="1"/>
      <w:numFmt w:val="bullet"/>
      <w:lvlText w:val="·"/>
      <w:lvlJc w:val="left"/>
      <w:pPr>
        <w:tabs>
          <w:tab w:val="num" w:pos="960"/>
        </w:tabs>
        <w:ind w:left="960"/>
      </w:pPr>
      <w:rPr>
        <w:color w:val="000000"/>
        <w:position w:val="0"/>
        <w:sz w:val="20"/>
        <w:szCs w:val="20"/>
      </w:rPr>
    </w:lvl>
    <w:lvl w:ilvl="3">
      <w:start w:val="1"/>
      <w:numFmt w:val="bullet"/>
      <w:lvlText w:val="·"/>
      <w:lvlJc w:val="left"/>
      <w:pPr>
        <w:tabs>
          <w:tab w:val="num" w:pos="960"/>
        </w:tabs>
        <w:ind w:left="960"/>
      </w:pPr>
      <w:rPr>
        <w:color w:val="000000"/>
        <w:position w:val="0"/>
        <w:sz w:val="20"/>
        <w:szCs w:val="20"/>
      </w:rPr>
    </w:lvl>
    <w:lvl w:ilvl="4">
      <w:start w:val="1"/>
      <w:numFmt w:val="bullet"/>
      <w:lvlText w:val="·"/>
      <w:lvlJc w:val="left"/>
      <w:pPr>
        <w:tabs>
          <w:tab w:val="num" w:pos="960"/>
        </w:tabs>
        <w:ind w:left="960"/>
      </w:pPr>
      <w:rPr>
        <w:color w:val="000000"/>
        <w:position w:val="0"/>
        <w:sz w:val="20"/>
        <w:szCs w:val="20"/>
      </w:rPr>
    </w:lvl>
    <w:lvl w:ilvl="5">
      <w:start w:val="1"/>
      <w:numFmt w:val="bullet"/>
      <w:lvlText w:val="·"/>
      <w:lvlJc w:val="left"/>
      <w:pPr>
        <w:tabs>
          <w:tab w:val="num" w:pos="960"/>
        </w:tabs>
        <w:ind w:left="960"/>
      </w:pPr>
      <w:rPr>
        <w:color w:val="000000"/>
        <w:position w:val="0"/>
        <w:sz w:val="20"/>
        <w:szCs w:val="20"/>
      </w:rPr>
    </w:lvl>
    <w:lvl w:ilvl="6">
      <w:start w:val="1"/>
      <w:numFmt w:val="bullet"/>
      <w:lvlText w:val="·"/>
      <w:lvlJc w:val="left"/>
      <w:pPr>
        <w:tabs>
          <w:tab w:val="num" w:pos="960"/>
        </w:tabs>
        <w:ind w:left="960"/>
      </w:pPr>
      <w:rPr>
        <w:color w:val="000000"/>
        <w:position w:val="0"/>
        <w:sz w:val="20"/>
        <w:szCs w:val="20"/>
      </w:rPr>
    </w:lvl>
    <w:lvl w:ilvl="7">
      <w:start w:val="1"/>
      <w:numFmt w:val="bullet"/>
      <w:lvlText w:val="·"/>
      <w:lvlJc w:val="left"/>
      <w:pPr>
        <w:tabs>
          <w:tab w:val="num" w:pos="960"/>
        </w:tabs>
        <w:ind w:left="960"/>
      </w:pPr>
      <w:rPr>
        <w:color w:val="000000"/>
        <w:position w:val="0"/>
        <w:sz w:val="20"/>
        <w:szCs w:val="20"/>
      </w:rPr>
    </w:lvl>
    <w:lvl w:ilvl="8">
      <w:start w:val="1"/>
      <w:numFmt w:val="bullet"/>
      <w:lvlText w:val="·"/>
      <w:lvlJc w:val="left"/>
      <w:pPr>
        <w:tabs>
          <w:tab w:val="num" w:pos="960"/>
        </w:tabs>
        <w:ind w:left="960"/>
      </w:pPr>
      <w:rPr>
        <w:color w:val="000000"/>
        <w:position w:val="0"/>
        <w:sz w:val="20"/>
        <w:szCs w:val="20"/>
      </w:rPr>
    </w:lvl>
  </w:abstractNum>
  <w:abstractNum w:abstractNumId="107">
    <w:nsid w:val="566244C6"/>
    <w:multiLevelType w:val="multilevel"/>
    <w:tmpl w:val="39E2F2B2"/>
    <w:styleLink w:val="List140"/>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08">
    <w:nsid w:val="578006CF"/>
    <w:multiLevelType w:val="multilevel"/>
    <w:tmpl w:val="BC1AC188"/>
    <w:styleLink w:val="List58"/>
    <w:lvl w:ilvl="0">
      <w:start w:val="2"/>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09">
    <w:nsid w:val="57F06BDD"/>
    <w:multiLevelType w:val="multilevel"/>
    <w:tmpl w:val="80800DA8"/>
    <w:styleLink w:val="List700"/>
    <w:lvl w:ilvl="0">
      <w:start w:val="1"/>
      <w:numFmt w:val="decimal"/>
      <w:lvlText w:val="%1."/>
      <w:lvlJc w:val="left"/>
      <w:pPr>
        <w:tabs>
          <w:tab w:val="num" w:pos="840"/>
        </w:tabs>
        <w:ind w:left="840"/>
      </w:pPr>
      <w:rPr>
        <w:color w:val="000000"/>
        <w:position w:val="0"/>
        <w:sz w:val="22"/>
        <w:szCs w:val="22"/>
      </w:rPr>
    </w:lvl>
    <w:lvl w:ilvl="1">
      <w:start w:val="1"/>
      <w:numFmt w:val="decimal"/>
      <w:lvlText w:val="%2."/>
      <w:lvlJc w:val="left"/>
      <w:pPr>
        <w:tabs>
          <w:tab w:val="num" w:pos="1560"/>
        </w:tabs>
        <w:ind w:left="1560"/>
      </w:pPr>
      <w:rPr>
        <w:color w:val="000000"/>
        <w:position w:val="0"/>
        <w:sz w:val="22"/>
        <w:szCs w:val="22"/>
      </w:rPr>
    </w:lvl>
    <w:lvl w:ilvl="2">
      <w:start w:val="1"/>
      <w:numFmt w:val="lowerRoman"/>
      <w:lvlText w:val="%3."/>
      <w:lvlJc w:val="left"/>
      <w:pPr>
        <w:tabs>
          <w:tab w:val="num" w:pos="2280"/>
        </w:tabs>
        <w:ind w:left="2280"/>
      </w:pPr>
      <w:rPr>
        <w:color w:val="000000"/>
        <w:position w:val="0"/>
        <w:sz w:val="22"/>
        <w:szCs w:val="22"/>
      </w:rPr>
    </w:lvl>
    <w:lvl w:ilvl="3">
      <w:start w:val="1"/>
      <w:numFmt w:val="decimal"/>
      <w:lvlText w:val="%4."/>
      <w:lvlJc w:val="left"/>
      <w:pPr>
        <w:tabs>
          <w:tab w:val="num" w:pos="3000"/>
        </w:tabs>
        <w:ind w:left="3000"/>
      </w:pPr>
      <w:rPr>
        <w:color w:val="000000"/>
        <w:position w:val="0"/>
        <w:sz w:val="22"/>
        <w:szCs w:val="22"/>
      </w:rPr>
    </w:lvl>
    <w:lvl w:ilvl="4">
      <w:start w:val="1"/>
      <w:numFmt w:val="lowerLetter"/>
      <w:lvlText w:val="%5."/>
      <w:lvlJc w:val="left"/>
      <w:pPr>
        <w:tabs>
          <w:tab w:val="num" w:pos="3720"/>
        </w:tabs>
        <w:ind w:left="3720"/>
      </w:pPr>
      <w:rPr>
        <w:color w:val="000000"/>
        <w:position w:val="0"/>
        <w:sz w:val="22"/>
        <w:szCs w:val="22"/>
      </w:rPr>
    </w:lvl>
    <w:lvl w:ilvl="5">
      <w:start w:val="1"/>
      <w:numFmt w:val="lowerRoman"/>
      <w:lvlText w:val="%6."/>
      <w:lvlJc w:val="left"/>
      <w:pPr>
        <w:tabs>
          <w:tab w:val="num" w:pos="4440"/>
        </w:tabs>
        <w:ind w:left="4440"/>
      </w:pPr>
      <w:rPr>
        <w:color w:val="000000"/>
        <w:position w:val="0"/>
        <w:sz w:val="22"/>
        <w:szCs w:val="22"/>
      </w:rPr>
    </w:lvl>
    <w:lvl w:ilvl="6">
      <w:start w:val="1"/>
      <w:numFmt w:val="decimal"/>
      <w:lvlText w:val="%7."/>
      <w:lvlJc w:val="left"/>
      <w:pPr>
        <w:tabs>
          <w:tab w:val="num" w:pos="5160"/>
        </w:tabs>
        <w:ind w:left="5160"/>
      </w:pPr>
      <w:rPr>
        <w:color w:val="000000"/>
        <w:position w:val="0"/>
        <w:sz w:val="22"/>
        <w:szCs w:val="22"/>
      </w:rPr>
    </w:lvl>
    <w:lvl w:ilvl="7">
      <w:start w:val="1"/>
      <w:numFmt w:val="lowerLetter"/>
      <w:lvlText w:val="%8."/>
      <w:lvlJc w:val="left"/>
      <w:pPr>
        <w:tabs>
          <w:tab w:val="num" w:pos="5880"/>
        </w:tabs>
        <w:ind w:left="5880"/>
      </w:pPr>
      <w:rPr>
        <w:color w:val="000000"/>
        <w:position w:val="0"/>
        <w:sz w:val="22"/>
        <w:szCs w:val="22"/>
      </w:rPr>
    </w:lvl>
    <w:lvl w:ilvl="8">
      <w:start w:val="1"/>
      <w:numFmt w:val="lowerRoman"/>
      <w:lvlText w:val="%9."/>
      <w:lvlJc w:val="left"/>
      <w:pPr>
        <w:tabs>
          <w:tab w:val="num" w:pos="6600"/>
        </w:tabs>
        <w:ind w:left="6600"/>
      </w:pPr>
      <w:rPr>
        <w:color w:val="000000"/>
        <w:position w:val="0"/>
        <w:sz w:val="22"/>
        <w:szCs w:val="22"/>
      </w:rPr>
    </w:lvl>
  </w:abstractNum>
  <w:abstractNum w:abstractNumId="110">
    <w:nsid w:val="58796E3E"/>
    <w:multiLevelType w:val="multilevel"/>
    <w:tmpl w:val="372288C4"/>
    <w:styleLink w:val="List67"/>
    <w:lvl w:ilvl="0">
      <w:start w:val="1"/>
      <w:numFmt w:val="decimal"/>
      <w:lvlText w:val="%1."/>
      <w:lvlJc w:val="left"/>
      <w:pPr>
        <w:tabs>
          <w:tab w:val="num" w:pos="1065"/>
        </w:tabs>
        <w:ind w:left="1065"/>
      </w:pPr>
      <w:rPr>
        <w:color w:val="000000"/>
        <w:position w:val="0"/>
        <w:sz w:val="22"/>
        <w:szCs w:val="22"/>
      </w:rPr>
    </w:lvl>
    <w:lvl w:ilvl="1">
      <w:start w:val="2"/>
      <w:numFmt w:val="decimal"/>
      <w:lvlText w:val="%2."/>
      <w:lvlJc w:val="left"/>
      <w:pPr>
        <w:tabs>
          <w:tab w:val="num" w:pos="1755"/>
        </w:tabs>
        <w:ind w:left="1755" w:hanging="330"/>
      </w:pPr>
      <w:rPr>
        <w:color w:val="000000"/>
        <w:position w:val="0"/>
        <w:sz w:val="22"/>
        <w:szCs w:val="22"/>
      </w:rPr>
    </w:lvl>
    <w:lvl w:ilvl="2">
      <w:start w:val="1"/>
      <w:numFmt w:val="lowerLetter"/>
      <w:lvlText w:val="%3)"/>
      <w:lvlJc w:val="left"/>
      <w:pPr>
        <w:tabs>
          <w:tab w:val="num" w:pos="2685"/>
        </w:tabs>
        <w:ind w:left="2685"/>
      </w:pPr>
      <w:rPr>
        <w:color w:val="000000"/>
        <w:position w:val="0"/>
        <w:sz w:val="22"/>
        <w:szCs w:val="22"/>
      </w:rPr>
    </w:lvl>
    <w:lvl w:ilvl="3">
      <w:start w:val="1"/>
      <w:numFmt w:val="decimal"/>
      <w:lvlText w:val="%4."/>
      <w:lvlJc w:val="left"/>
      <w:pPr>
        <w:tabs>
          <w:tab w:val="num" w:pos="3225"/>
        </w:tabs>
        <w:ind w:left="3225"/>
      </w:pPr>
      <w:rPr>
        <w:color w:val="000000"/>
        <w:position w:val="0"/>
        <w:sz w:val="22"/>
        <w:szCs w:val="22"/>
      </w:rPr>
    </w:lvl>
    <w:lvl w:ilvl="4">
      <w:start w:val="1"/>
      <w:numFmt w:val="lowerLetter"/>
      <w:lvlText w:val="%5."/>
      <w:lvlJc w:val="left"/>
      <w:pPr>
        <w:tabs>
          <w:tab w:val="num" w:pos="3945"/>
        </w:tabs>
        <w:ind w:left="3945"/>
      </w:pPr>
      <w:rPr>
        <w:color w:val="000000"/>
        <w:position w:val="0"/>
        <w:sz w:val="22"/>
        <w:szCs w:val="22"/>
      </w:rPr>
    </w:lvl>
    <w:lvl w:ilvl="5">
      <w:start w:val="1"/>
      <w:numFmt w:val="lowerRoman"/>
      <w:lvlText w:val="%6."/>
      <w:lvlJc w:val="left"/>
      <w:pPr>
        <w:tabs>
          <w:tab w:val="num" w:pos="4665"/>
        </w:tabs>
        <w:ind w:left="4665"/>
      </w:pPr>
      <w:rPr>
        <w:color w:val="000000"/>
        <w:position w:val="0"/>
        <w:sz w:val="22"/>
        <w:szCs w:val="22"/>
      </w:rPr>
    </w:lvl>
    <w:lvl w:ilvl="6">
      <w:start w:val="1"/>
      <w:numFmt w:val="decimal"/>
      <w:lvlText w:val="%7."/>
      <w:lvlJc w:val="left"/>
      <w:pPr>
        <w:tabs>
          <w:tab w:val="num" w:pos="5385"/>
        </w:tabs>
        <w:ind w:left="5385"/>
      </w:pPr>
      <w:rPr>
        <w:color w:val="000000"/>
        <w:position w:val="0"/>
        <w:sz w:val="22"/>
        <w:szCs w:val="22"/>
      </w:rPr>
    </w:lvl>
    <w:lvl w:ilvl="7">
      <w:start w:val="1"/>
      <w:numFmt w:val="lowerLetter"/>
      <w:lvlText w:val="%8."/>
      <w:lvlJc w:val="left"/>
      <w:pPr>
        <w:tabs>
          <w:tab w:val="num" w:pos="6105"/>
        </w:tabs>
        <w:ind w:left="6105"/>
      </w:pPr>
      <w:rPr>
        <w:color w:val="000000"/>
        <w:position w:val="0"/>
        <w:sz w:val="22"/>
        <w:szCs w:val="22"/>
      </w:rPr>
    </w:lvl>
    <w:lvl w:ilvl="8">
      <w:start w:val="1"/>
      <w:numFmt w:val="lowerRoman"/>
      <w:lvlText w:val="%9."/>
      <w:lvlJc w:val="left"/>
      <w:pPr>
        <w:tabs>
          <w:tab w:val="num" w:pos="6825"/>
        </w:tabs>
        <w:ind w:left="6825"/>
      </w:pPr>
      <w:rPr>
        <w:color w:val="000000"/>
        <w:position w:val="0"/>
        <w:sz w:val="22"/>
        <w:szCs w:val="22"/>
      </w:rPr>
    </w:lvl>
  </w:abstractNum>
  <w:abstractNum w:abstractNumId="111">
    <w:nsid w:val="5A3F5FC8"/>
    <w:multiLevelType w:val="multilevel"/>
    <w:tmpl w:val="7F50A2A6"/>
    <w:styleLink w:val="List54"/>
    <w:lvl w:ilvl="0">
      <w:start w:val="1"/>
      <w:numFmt w:val="decimal"/>
      <w:lvlText w:val="%1."/>
      <w:lvlJc w:val="left"/>
      <w:pPr>
        <w:tabs>
          <w:tab w:val="num" w:pos="720"/>
        </w:tabs>
        <w:ind w:left="720"/>
      </w:pPr>
      <w:rPr>
        <w:b/>
        <w:bCs/>
        <w:color w:val="000000"/>
        <w:position w:val="0"/>
        <w:sz w:val="22"/>
        <w:szCs w:val="22"/>
      </w:rPr>
    </w:lvl>
    <w:lvl w:ilvl="1">
      <w:start w:val="1"/>
      <w:numFmt w:val="lowerLetter"/>
      <w:lvlText w:val="%2."/>
      <w:lvlJc w:val="left"/>
      <w:pPr>
        <w:tabs>
          <w:tab w:val="num" w:pos="1410"/>
        </w:tabs>
        <w:ind w:left="1410" w:hanging="33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112">
    <w:nsid w:val="5D584F09"/>
    <w:multiLevelType w:val="multilevel"/>
    <w:tmpl w:val="A4861F80"/>
    <w:styleLink w:val="List70"/>
    <w:lvl w:ilvl="0">
      <w:start w:val="1"/>
      <w:numFmt w:val="decimal"/>
      <w:lvlText w:val="%1."/>
      <w:lvlJc w:val="left"/>
      <w:pPr>
        <w:tabs>
          <w:tab w:val="num" w:pos="1038"/>
        </w:tabs>
        <w:ind w:left="1038" w:hanging="330"/>
      </w:pPr>
      <w:rPr>
        <w:color w:val="000000"/>
        <w:position w:val="0"/>
        <w:sz w:val="22"/>
        <w:szCs w:val="22"/>
      </w:rPr>
    </w:lvl>
    <w:lvl w:ilvl="1">
      <w:start w:val="1"/>
      <w:numFmt w:val="upperLetter"/>
      <w:lvlText w:val="%2."/>
      <w:lvlJc w:val="left"/>
      <w:pPr>
        <w:tabs>
          <w:tab w:val="num" w:pos="1803"/>
        </w:tabs>
        <w:ind w:left="1803"/>
      </w:pPr>
      <w:rPr>
        <w:color w:val="000000"/>
        <w:position w:val="0"/>
        <w:sz w:val="22"/>
        <w:szCs w:val="22"/>
      </w:rPr>
    </w:lvl>
    <w:lvl w:ilvl="2">
      <w:start w:val="1"/>
      <w:numFmt w:val="lowerRoman"/>
      <w:lvlText w:val="%3."/>
      <w:lvlJc w:val="left"/>
      <w:pPr>
        <w:tabs>
          <w:tab w:val="num" w:pos="2508"/>
        </w:tabs>
        <w:ind w:left="2508"/>
      </w:pPr>
      <w:rPr>
        <w:color w:val="000000"/>
        <w:position w:val="0"/>
        <w:sz w:val="22"/>
        <w:szCs w:val="22"/>
      </w:rPr>
    </w:lvl>
    <w:lvl w:ilvl="3">
      <w:start w:val="1"/>
      <w:numFmt w:val="decimal"/>
      <w:lvlText w:val="%4."/>
      <w:lvlJc w:val="left"/>
      <w:pPr>
        <w:tabs>
          <w:tab w:val="num" w:pos="3228"/>
        </w:tabs>
        <w:ind w:left="3228"/>
      </w:pPr>
      <w:rPr>
        <w:color w:val="000000"/>
        <w:position w:val="0"/>
        <w:sz w:val="22"/>
        <w:szCs w:val="22"/>
      </w:rPr>
    </w:lvl>
    <w:lvl w:ilvl="4">
      <w:start w:val="1"/>
      <w:numFmt w:val="lowerLetter"/>
      <w:lvlText w:val="%5."/>
      <w:lvlJc w:val="left"/>
      <w:pPr>
        <w:tabs>
          <w:tab w:val="num" w:pos="3948"/>
        </w:tabs>
        <w:ind w:left="3948"/>
      </w:pPr>
      <w:rPr>
        <w:color w:val="000000"/>
        <w:position w:val="0"/>
        <w:sz w:val="22"/>
        <w:szCs w:val="22"/>
      </w:rPr>
    </w:lvl>
    <w:lvl w:ilvl="5">
      <w:start w:val="1"/>
      <w:numFmt w:val="lowerRoman"/>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lowerLetter"/>
      <w:lvlText w:val="%8."/>
      <w:lvlJc w:val="left"/>
      <w:pPr>
        <w:tabs>
          <w:tab w:val="num" w:pos="6108"/>
        </w:tabs>
        <w:ind w:left="6108"/>
      </w:pPr>
      <w:rPr>
        <w:color w:val="000000"/>
        <w:position w:val="0"/>
        <w:sz w:val="22"/>
        <w:szCs w:val="22"/>
      </w:rPr>
    </w:lvl>
    <w:lvl w:ilvl="8">
      <w:start w:val="1"/>
      <w:numFmt w:val="lowerRoman"/>
      <w:lvlText w:val="%9."/>
      <w:lvlJc w:val="left"/>
      <w:pPr>
        <w:tabs>
          <w:tab w:val="num" w:pos="6828"/>
        </w:tabs>
        <w:ind w:left="6828"/>
      </w:pPr>
      <w:rPr>
        <w:color w:val="000000"/>
        <w:position w:val="0"/>
        <w:sz w:val="22"/>
        <w:szCs w:val="22"/>
      </w:rPr>
    </w:lvl>
  </w:abstractNum>
  <w:abstractNum w:abstractNumId="113">
    <w:nsid w:val="5E244947"/>
    <w:multiLevelType w:val="multilevel"/>
    <w:tmpl w:val="C92E76C8"/>
    <w:styleLink w:val="List118"/>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14">
    <w:nsid w:val="605C661A"/>
    <w:multiLevelType w:val="multilevel"/>
    <w:tmpl w:val="8142619A"/>
    <w:styleLink w:val="List110"/>
    <w:lvl w:ilvl="0">
      <w:start w:val="1"/>
      <w:numFmt w:val="decimal"/>
      <w:lvlText w:val="%1."/>
      <w:lvlJc w:val="left"/>
      <w:pPr>
        <w:tabs>
          <w:tab w:val="num" w:pos="690"/>
        </w:tabs>
        <w:ind w:left="690" w:hanging="330"/>
      </w:pPr>
      <w:rPr>
        <w:color w:val="000000"/>
        <w:position w:val="0"/>
        <w:sz w:val="22"/>
        <w:szCs w:val="22"/>
      </w:rPr>
    </w:lvl>
    <w:lvl w:ilvl="1">
      <w:start w:val="1"/>
      <w:numFmt w:val="decimal"/>
      <w:lvlText w:val="%2."/>
      <w:lvlJc w:val="left"/>
      <w:pPr>
        <w:tabs>
          <w:tab w:val="num" w:pos="1440"/>
        </w:tabs>
        <w:ind w:left="144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15">
    <w:nsid w:val="606A0AFD"/>
    <w:multiLevelType w:val="multilevel"/>
    <w:tmpl w:val="65B093F4"/>
    <w:styleLink w:val="List57"/>
    <w:lvl w:ilvl="0">
      <w:start w:val="1"/>
      <w:numFmt w:val="decimal"/>
      <w:lvlText w:val="%1."/>
      <w:lvlJc w:val="left"/>
      <w:pPr>
        <w:tabs>
          <w:tab w:val="num" w:pos="720"/>
        </w:tabs>
        <w:ind w:left="720"/>
      </w:pPr>
      <w:rPr>
        <w:color w:val="000000"/>
        <w:position w:val="0"/>
        <w:sz w:val="22"/>
        <w:szCs w:val="22"/>
      </w:rPr>
    </w:lvl>
    <w:lvl w:ilvl="1">
      <w:start w:val="1"/>
      <w:numFmt w:val="lowerLetter"/>
      <w:lvlText w:val="%2."/>
      <w:lvlJc w:val="left"/>
      <w:pPr>
        <w:tabs>
          <w:tab w:val="num" w:pos="1410"/>
        </w:tabs>
        <w:ind w:left="1410" w:hanging="33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16">
    <w:nsid w:val="60DB0995"/>
    <w:multiLevelType w:val="multilevel"/>
    <w:tmpl w:val="9E106C70"/>
    <w:styleLink w:val="List22"/>
    <w:lvl w:ilvl="0">
      <w:start w:val="1"/>
      <w:numFmt w:val="decimal"/>
      <w:lvlText w:val="%1."/>
      <w:lvlJc w:val="left"/>
      <w:pPr>
        <w:tabs>
          <w:tab w:val="num" w:pos="720"/>
        </w:tabs>
        <w:ind w:left="720"/>
      </w:pPr>
      <w:rPr>
        <w:color w:val="000000"/>
        <w:position w:val="0"/>
        <w:sz w:val="22"/>
        <w:szCs w:val="22"/>
      </w:rPr>
    </w:lvl>
    <w:lvl w:ilvl="1">
      <w:start w:val="1"/>
      <w:numFmt w:val="upperLetter"/>
      <w:lvlText w:val="%2."/>
      <w:lvlJc w:val="left"/>
      <w:pPr>
        <w:tabs>
          <w:tab w:val="num" w:pos="1440"/>
        </w:tabs>
        <w:ind w:left="144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50"/>
        </w:tabs>
        <w:ind w:left="2850" w:hanging="33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17">
    <w:nsid w:val="618B6C7B"/>
    <w:multiLevelType w:val="multilevel"/>
    <w:tmpl w:val="F3500CCC"/>
    <w:styleLink w:val="List18"/>
    <w:lvl w:ilvl="0">
      <w:start w:val="1"/>
      <w:numFmt w:val="decimal"/>
      <w:lvlText w:val="%1."/>
      <w:lvlJc w:val="left"/>
      <w:pPr>
        <w:tabs>
          <w:tab w:val="num" w:pos="1770"/>
        </w:tabs>
        <w:ind w:left="1770"/>
      </w:pPr>
      <w:rPr>
        <w:color w:val="000000"/>
        <w:position w:val="0"/>
        <w:sz w:val="22"/>
        <w:szCs w:val="22"/>
      </w:rPr>
    </w:lvl>
    <w:lvl w:ilvl="1">
      <w:start w:val="1"/>
      <w:numFmt w:val="decimal"/>
      <w:lvlText w:val="%2."/>
      <w:lvlJc w:val="left"/>
      <w:pPr>
        <w:tabs>
          <w:tab w:val="num" w:pos="2460"/>
        </w:tabs>
        <w:ind w:left="2460" w:hanging="330"/>
      </w:pPr>
      <w:rPr>
        <w:color w:val="000000"/>
        <w:position w:val="0"/>
        <w:sz w:val="22"/>
        <w:szCs w:val="22"/>
      </w:rPr>
    </w:lvl>
    <w:lvl w:ilvl="2">
      <w:start w:val="1"/>
      <w:numFmt w:val="lowerRoman"/>
      <w:lvlText w:val="%3."/>
      <w:lvlJc w:val="left"/>
      <w:pPr>
        <w:tabs>
          <w:tab w:val="num" w:pos="3210"/>
        </w:tabs>
        <w:ind w:left="3210"/>
      </w:pPr>
      <w:rPr>
        <w:color w:val="000000"/>
        <w:position w:val="0"/>
        <w:sz w:val="22"/>
        <w:szCs w:val="22"/>
      </w:rPr>
    </w:lvl>
    <w:lvl w:ilvl="3">
      <w:start w:val="1"/>
      <w:numFmt w:val="decimal"/>
      <w:lvlText w:val="%4."/>
      <w:lvlJc w:val="left"/>
      <w:pPr>
        <w:tabs>
          <w:tab w:val="num" w:pos="3930"/>
        </w:tabs>
        <w:ind w:left="3930"/>
      </w:pPr>
      <w:rPr>
        <w:color w:val="000000"/>
        <w:position w:val="0"/>
        <w:sz w:val="22"/>
        <w:szCs w:val="22"/>
      </w:rPr>
    </w:lvl>
    <w:lvl w:ilvl="4">
      <w:start w:val="1"/>
      <w:numFmt w:val="lowerLetter"/>
      <w:lvlText w:val="%5."/>
      <w:lvlJc w:val="left"/>
      <w:pPr>
        <w:tabs>
          <w:tab w:val="num" w:pos="4650"/>
        </w:tabs>
        <w:ind w:left="4650"/>
      </w:pPr>
      <w:rPr>
        <w:color w:val="000000"/>
        <w:position w:val="0"/>
        <w:sz w:val="22"/>
        <w:szCs w:val="22"/>
      </w:rPr>
    </w:lvl>
    <w:lvl w:ilvl="5">
      <w:start w:val="1"/>
      <w:numFmt w:val="lowerRoman"/>
      <w:lvlText w:val="%6."/>
      <w:lvlJc w:val="left"/>
      <w:pPr>
        <w:tabs>
          <w:tab w:val="num" w:pos="5370"/>
        </w:tabs>
        <w:ind w:left="5370"/>
      </w:pPr>
      <w:rPr>
        <w:color w:val="000000"/>
        <w:position w:val="0"/>
        <w:sz w:val="22"/>
        <w:szCs w:val="22"/>
      </w:rPr>
    </w:lvl>
    <w:lvl w:ilvl="6">
      <w:start w:val="1"/>
      <w:numFmt w:val="decimal"/>
      <w:lvlText w:val="%7."/>
      <w:lvlJc w:val="left"/>
      <w:pPr>
        <w:tabs>
          <w:tab w:val="num" w:pos="6090"/>
        </w:tabs>
        <w:ind w:left="6090"/>
      </w:pPr>
      <w:rPr>
        <w:color w:val="000000"/>
        <w:position w:val="0"/>
        <w:sz w:val="22"/>
        <w:szCs w:val="22"/>
      </w:rPr>
    </w:lvl>
    <w:lvl w:ilvl="7">
      <w:start w:val="1"/>
      <w:numFmt w:val="lowerLetter"/>
      <w:lvlText w:val="%8."/>
      <w:lvlJc w:val="left"/>
      <w:pPr>
        <w:tabs>
          <w:tab w:val="num" w:pos="6810"/>
        </w:tabs>
        <w:ind w:left="6810"/>
      </w:pPr>
      <w:rPr>
        <w:color w:val="000000"/>
        <w:position w:val="0"/>
        <w:sz w:val="22"/>
        <w:szCs w:val="22"/>
      </w:rPr>
    </w:lvl>
    <w:lvl w:ilvl="8">
      <w:start w:val="1"/>
      <w:numFmt w:val="lowerRoman"/>
      <w:lvlText w:val="%9."/>
      <w:lvlJc w:val="left"/>
      <w:pPr>
        <w:tabs>
          <w:tab w:val="num" w:pos="7530"/>
        </w:tabs>
        <w:ind w:left="7530"/>
      </w:pPr>
      <w:rPr>
        <w:color w:val="000000"/>
        <w:position w:val="0"/>
        <w:sz w:val="22"/>
        <w:szCs w:val="22"/>
      </w:rPr>
    </w:lvl>
  </w:abstractNum>
  <w:abstractNum w:abstractNumId="118">
    <w:nsid w:val="627D3283"/>
    <w:multiLevelType w:val="multilevel"/>
    <w:tmpl w:val="F7A2A5AC"/>
    <w:styleLink w:val="List128"/>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19">
    <w:nsid w:val="630E48D5"/>
    <w:multiLevelType w:val="multilevel"/>
    <w:tmpl w:val="BE8EEEFC"/>
    <w:styleLink w:val="Liste42"/>
    <w:lvl w:ilvl="0">
      <w:start w:val="1"/>
      <w:numFmt w:val="bullet"/>
      <w:lvlText w:val="·"/>
      <w:lvlJc w:val="left"/>
      <w:pPr>
        <w:tabs>
          <w:tab w:val="num" w:pos="690"/>
        </w:tabs>
        <w:ind w:left="690" w:hanging="330"/>
      </w:pPr>
      <w:rPr>
        <w:color w:val="000000"/>
        <w:position w:val="0"/>
        <w:sz w:val="22"/>
        <w:szCs w:val="22"/>
      </w:rPr>
    </w:lvl>
    <w:lvl w:ilvl="1">
      <w:start w:val="1"/>
      <w:numFmt w:val="bullet"/>
      <w:lvlText w:val="·"/>
      <w:lvlJc w:val="left"/>
      <w:pPr>
        <w:tabs>
          <w:tab w:val="num" w:pos="720"/>
        </w:tabs>
        <w:ind w:left="720"/>
      </w:pPr>
      <w:rPr>
        <w:color w:val="000000"/>
        <w:position w:val="0"/>
        <w:sz w:val="20"/>
        <w:szCs w:val="20"/>
      </w:rPr>
    </w:lvl>
    <w:lvl w:ilvl="2">
      <w:start w:val="1"/>
      <w:numFmt w:val="bullet"/>
      <w:lvlText w:val="·"/>
      <w:lvlJc w:val="left"/>
      <w:pPr>
        <w:tabs>
          <w:tab w:val="num" w:pos="720"/>
        </w:tabs>
        <w:ind w:left="720"/>
      </w:pPr>
      <w:rPr>
        <w:color w:val="000000"/>
        <w:position w:val="0"/>
        <w:sz w:val="20"/>
        <w:szCs w:val="20"/>
      </w:rPr>
    </w:lvl>
    <w:lvl w:ilvl="3">
      <w:start w:val="1"/>
      <w:numFmt w:val="bullet"/>
      <w:lvlText w:val="·"/>
      <w:lvlJc w:val="left"/>
      <w:pPr>
        <w:tabs>
          <w:tab w:val="num" w:pos="720"/>
        </w:tabs>
        <w:ind w:left="720"/>
      </w:pPr>
      <w:rPr>
        <w:color w:val="000000"/>
        <w:position w:val="0"/>
        <w:sz w:val="20"/>
        <w:szCs w:val="20"/>
      </w:rPr>
    </w:lvl>
    <w:lvl w:ilvl="4">
      <w:start w:val="1"/>
      <w:numFmt w:val="bullet"/>
      <w:lvlText w:val="·"/>
      <w:lvlJc w:val="left"/>
      <w:pPr>
        <w:tabs>
          <w:tab w:val="num" w:pos="720"/>
        </w:tabs>
        <w:ind w:left="720"/>
      </w:pPr>
      <w:rPr>
        <w:color w:val="000000"/>
        <w:position w:val="0"/>
        <w:sz w:val="20"/>
        <w:szCs w:val="20"/>
      </w:rPr>
    </w:lvl>
    <w:lvl w:ilvl="5">
      <w:start w:val="1"/>
      <w:numFmt w:val="bullet"/>
      <w:lvlText w:val="·"/>
      <w:lvlJc w:val="left"/>
      <w:pPr>
        <w:tabs>
          <w:tab w:val="num" w:pos="720"/>
        </w:tabs>
        <w:ind w:left="720"/>
      </w:pPr>
      <w:rPr>
        <w:color w:val="000000"/>
        <w:position w:val="0"/>
        <w:sz w:val="20"/>
        <w:szCs w:val="20"/>
      </w:rPr>
    </w:lvl>
    <w:lvl w:ilvl="6">
      <w:start w:val="1"/>
      <w:numFmt w:val="bullet"/>
      <w:lvlText w:val="·"/>
      <w:lvlJc w:val="left"/>
      <w:pPr>
        <w:tabs>
          <w:tab w:val="num" w:pos="720"/>
        </w:tabs>
        <w:ind w:left="720"/>
      </w:pPr>
      <w:rPr>
        <w:color w:val="000000"/>
        <w:position w:val="0"/>
        <w:sz w:val="20"/>
        <w:szCs w:val="20"/>
      </w:rPr>
    </w:lvl>
    <w:lvl w:ilvl="7">
      <w:start w:val="1"/>
      <w:numFmt w:val="bullet"/>
      <w:lvlText w:val="·"/>
      <w:lvlJc w:val="left"/>
      <w:pPr>
        <w:tabs>
          <w:tab w:val="num" w:pos="720"/>
        </w:tabs>
        <w:ind w:left="720"/>
      </w:pPr>
      <w:rPr>
        <w:color w:val="000000"/>
        <w:position w:val="0"/>
        <w:sz w:val="20"/>
        <w:szCs w:val="20"/>
      </w:rPr>
    </w:lvl>
    <w:lvl w:ilvl="8">
      <w:start w:val="1"/>
      <w:numFmt w:val="bullet"/>
      <w:lvlText w:val="·"/>
      <w:lvlJc w:val="left"/>
      <w:pPr>
        <w:tabs>
          <w:tab w:val="num" w:pos="720"/>
        </w:tabs>
        <w:ind w:left="720"/>
      </w:pPr>
      <w:rPr>
        <w:color w:val="000000"/>
        <w:position w:val="0"/>
        <w:sz w:val="20"/>
        <w:szCs w:val="20"/>
      </w:rPr>
    </w:lvl>
  </w:abstractNum>
  <w:abstractNum w:abstractNumId="120">
    <w:nsid w:val="636A1CA7"/>
    <w:multiLevelType w:val="multilevel"/>
    <w:tmpl w:val="E43A19E0"/>
    <w:styleLink w:val="List139"/>
    <w:lvl w:ilvl="0">
      <w:start w:val="3"/>
      <w:numFmt w:val="bullet"/>
      <w:lvlText w:val="•"/>
      <w:lvlJc w:val="left"/>
      <w:pPr>
        <w:tabs>
          <w:tab w:val="num" w:pos="1160"/>
        </w:tabs>
        <w:ind w:left="1160" w:hanging="440"/>
      </w:pPr>
      <w:rPr>
        <w:position w:val="0"/>
        <w:sz w:val="24"/>
        <w:szCs w:val="24"/>
      </w:rPr>
    </w:lvl>
    <w:lvl w:ilvl="1">
      <w:start w:val="1"/>
      <w:numFmt w:val="bullet"/>
      <w:lvlText w:val="o"/>
      <w:lvlJc w:val="left"/>
      <w:pPr>
        <w:tabs>
          <w:tab w:val="num" w:pos="1770"/>
        </w:tabs>
        <w:ind w:left="1770" w:hanging="330"/>
      </w:pPr>
      <w:rPr>
        <w:position w:val="0"/>
        <w:sz w:val="22"/>
        <w:szCs w:val="22"/>
      </w:rPr>
    </w:lvl>
    <w:lvl w:ilvl="2">
      <w:start w:val="1"/>
      <w:numFmt w:val="bullet"/>
      <w:lvlText w:val=""/>
      <w:lvlJc w:val="left"/>
      <w:pPr>
        <w:tabs>
          <w:tab w:val="num" w:pos="2490"/>
        </w:tabs>
        <w:ind w:left="2490" w:hanging="330"/>
      </w:pPr>
      <w:rPr>
        <w:position w:val="0"/>
        <w:sz w:val="22"/>
        <w:szCs w:val="22"/>
      </w:rPr>
    </w:lvl>
    <w:lvl w:ilvl="3">
      <w:start w:val="1"/>
      <w:numFmt w:val="bullet"/>
      <w:lvlText w:val="•"/>
      <w:lvlJc w:val="left"/>
      <w:pPr>
        <w:tabs>
          <w:tab w:val="num" w:pos="3210"/>
        </w:tabs>
        <w:ind w:left="3210" w:hanging="330"/>
      </w:pPr>
      <w:rPr>
        <w:position w:val="0"/>
        <w:sz w:val="22"/>
        <w:szCs w:val="22"/>
      </w:rPr>
    </w:lvl>
    <w:lvl w:ilvl="4">
      <w:start w:val="1"/>
      <w:numFmt w:val="bullet"/>
      <w:lvlText w:val="o"/>
      <w:lvlJc w:val="left"/>
      <w:pPr>
        <w:tabs>
          <w:tab w:val="num" w:pos="3930"/>
        </w:tabs>
        <w:ind w:left="3930" w:hanging="330"/>
      </w:pPr>
      <w:rPr>
        <w:position w:val="0"/>
        <w:sz w:val="22"/>
        <w:szCs w:val="22"/>
      </w:rPr>
    </w:lvl>
    <w:lvl w:ilvl="5">
      <w:start w:val="1"/>
      <w:numFmt w:val="bullet"/>
      <w:lvlText w:val=""/>
      <w:lvlJc w:val="left"/>
      <w:pPr>
        <w:tabs>
          <w:tab w:val="num" w:pos="4650"/>
        </w:tabs>
        <w:ind w:left="4650" w:hanging="330"/>
      </w:pPr>
      <w:rPr>
        <w:position w:val="0"/>
        <w:sz w:val="22"/>
        <w:szCs w:val="22"/>
      </w:rPr>
    </w:lvl>
    <w:lvl w:ilvl="6">
      <w:start w:val="1"/>
      <w:numFmt w:val="bullet"/>
      <w:lvlText w:val="•"/>
      <w:lvlJc w:val="left"/>
      <w:pPr>
        <w:tabs>
          <w:tab w:val="num" w:pos="5370"/>
        </w:tabs>
        <w:ind w:left="5370" w:hanging="330"/>
      </w:pPr>
      <w:rPr>
        <w:position w:val="0"/>
        <w:sz w:val="22"/>
        <w:szCs w:val="22"/>
      </w:rPr>
    </w:lvl>
    <w:lvl w:ilvl="7">
      <w:start w:val="1"/>
      <w:numFmt w:val="bullet"/>
      <w:lvlText w:val="o"/>
      <w:lvlJc w:val="left"/>
      <w:pPr>
        <w:tabs>
          <w:tab w:val="num" w:pos="6090"/>
        </w:tabs>
        <w:ind w:left="6090" w:hanging="330"/>
      </w:pPr>
      <w:rPr>
        <w:position w:val="0"/>
        <w:sz w:val="22"/>
        <w:szCs w:val="22"/>
      </w:rPr>
    </w:lvl>
    <w:lvl w:ilvl="8">
      <w:start w:val="1"/>
      <w:numFmt w:val="bullet"/>
      <w:lvlText w:val=""/>
      <w:lvlJc w:val="left"/>
      <w:pPr>
        <w:tabs>
          <w:tab w:val="num" w:pos="6810"/>
        </w:tabs>
        <w:ind w:left="6810" w:hanging="330"/>
      </w:pPr>
      <w:rPr>
        <w:position w:val="0"/>
        <w:sz w:val="22"/>
        <w:szCs w:val="22"/>
      </w:rPr>
    </w:lvl>
  </w:abstractNum>
  <w:abstractNum w:abstractNumId="121">
    <w:nsid w:val="65C16D0F"/>
    <w:multiLevelType w:val="multilevel"/>
    <w:tmpl w:val="4FDAE4F6"/>
    <w:styleLink w:val="Liste32"/>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22">
    <w:nsid w:val="65DF6434"/>
    <w:multiLevelType w:val="multilevel"/>
    <w:tmpl w:val="B16878EC"/>
    <w:styleLink w:val="List43"/>
    <w:lvl w:ilvl="0">
      <w:start w:val="1"/>
      <w:numFmt w:val="decimal"/>
      <w:lvlText w:val="%1."/>
      <w:lvlJc w:val="left"/>
      <w:pPr>
        <w:tabs>
          <w:tab w:val="num" w:pos="690"/>
        </w:tabs>
        <w:ind w:left="690" w:hanging="330"/>
      </w:pPr>
      <w:rPr>
        <w:b/>
        <w:bCs/>
        <w:color w:val="000000"/>
        <w:position w:val="0"/>
        <w:sz w:val="22"/>
        <w:szCs w:val="22"/>
      </w:rPr>
    </w:lvl>
    <w:lvl w:ilvl="1">
      <w:start w:val="1"/>
      <w:numFmt w:val="decimal"/>
      <w:lvlText w:val="%1.%2."/>
      <w:lvlJc w:val="left"/>
      <w:pPr>
        <w:tabs>
          <w:tab w:val="num" w:pos="720"/>
        </w:tabs>
        <w:ind w:left="720"/>
      </w:pPr>
      <w:rPr>
        <w:b/>
        <w:bCs/>
        <w:color w:val="000000"/>
        <w:position w:val="0"/>
        <w:sz w:val="22"/>
        <w:szCs w:val="22"/>
      </w:rPr>
    </w:lvl>
    <w:lvl w:ilvl="2">
      <w:start w:val="1"/>
      <w:numFmt w:val="decimal"/>
      <w:lvlText w:val="%2."/>
      <w:lvlJc w:val="left"/>
      <w:pPr>
        <w:tabs>
          <w:tab w:val="num" w:pos="2160"/>
        </w:tabs>
        <w:ind w:left="1440"/>
      </w:pPr>
      <w:rPr>
        <w:b/>
        <w:bCs/>
        <w:color w:val="000000"/>
        <w:position w:val="0"/>
        <w:sz w:val="22"/>
        <w:szCs w:val="22"/>
      </w:rPr>
    </w:lvl>
    <w:lvl w:ilvl="3">
      <w:start w:val="1"/>
      <w:numFmt w:val="decimal"/>
      <w:lvlText w:val="%2."/>
      <w:lvlJc w:val="left"/>
      <w:pPr>
        <w:tabs>
          <w:tab w:val="num" w:pos="3600"/>
        </w:tabs>
        <w:ind w:left="2160"/>
      </w:pPr>
      <w:rPr>
        <w:b/>
        <w:bCs/>
        <w:color w:val="000000"/>
        <w:position w:val="0"/>
        <w:sz w:val="22"/>
        <w:szCs w:val="22"/>
      </w:rPr>
    </w:lvl>
    <w:lvl w:ilvl="4">
      <w:start w:val="1"/>
      <w:numFmt w:val="decimal"/>
      <w:lvlText w:val="%2."/>
      <w:lvlJc w:val="left"/>
      <w:pPr>
        <w:tabs>
          <w:tab w:val="num" w:pos="5040"/>
        </w:tabs>
        <w:ind w:left="2880"/>
      </w:pPr>
      <w:rPr>
        <w:b/>
        <w:bCs/>
        <w:color w:val="000000"/>
        <w:position w:val="0"/>
        <w:sz w:val="22"/>
        <w:szCs w:val="22"/>
      </w:rPr>
    </w:lvl>
    <w:lvl w:ilvl="5">
      <w:start w:val="1"/>
      <w:numFmt w:val="decimal"/>
      <w:lvlText w:val="%2."/>
      <w:lvlJc w:val="left"/>
      <w:pPr>
        <w:tabs>
          <w:tab w:val="num" w:pos="6480"/>
        </w:tabs>
        <w:ind w:left="3600"/>
      </w:pPr>
      <w:rPr>
        <w:b/>
        <w:bCs/>
        <w:color w:val="000000"/>
        <w:position w:val="0"/>
        <w:sz w:val="22"/>
        <w:szCs w:val="22"/>
      </w:rPr>
    </w:lvl>
    <w:lvl w:ilvl="6">
      <w:start w:val="1"/>
      <w:numFmt w:val="decimal"/>
      <w:lvlText w:val="%2."/>
      <w:lvlJc w:val="left"/>
      <w:pPr>
        <w:tabs>
          <w:tab w:val="num" w:pos="7920"/>
        </w:tabs>
        <w:ind w:left="4320"/>
      </w:pPr>
      <w:rPr>
        <w:b/>
        <w:bCs/>
        <w:color w:val="000000"/>
        <w:position w:val="0"/>
        <w:sz w:val="22"/>
        <w:szCs w:val="22"/>
      </w:rPr>
    </w:lvl>
    <w:lvl w:ilvl="7">
      <w:start w:val="1"/>
      <w:numFmt w:val="decimal"/>
      <w:lvlText w:val="%2."/>
      <w:lvlJc w:val="left"/>
      <w:pPr>
        <w:tabs>
          <w:tab w:val="num" w:pos="9360"/>
        </w:tabs>
        <w:ind w:left="5040"/>
      </w:pPr>
      <w:rPr>
        <w:b/>
        <w:bCs/>
        <w:color w:val="000000"/>
        <w:position w:val="0"/>
        <w:sz w:val="22"/>
        <w:szCs w:val="22"/>
      </w:rPr>
    </w:lvl>
    <w:lvl w:ilvl="8">
      <w:start w:val="1"/>
      <w:numFmt w:val="decimal"/>
      <w:lvlText w:val="%2."/>
      <w:lvlJc w:val="left"/>
      <w:pPr>
        <w:tabs>
          <w:tab w:val="num" w:pos="10800"/>
        </w:tabs>
        <w:ind w:left="5760"/>
      </w:pPr>
      <w:rPr>
        <w:b/>
        <w:bCs/>
        <w:color w:val="000000"/>
        <w:position w:val="0"/>
        <w:sz w:val="22"/>
        <w:szCs w:val="22"/>
      </w:rPr>
    </w:lvl>
  </w:abstractNum>
  <w:abstractNum w:abstractNumId="123">
    <w:nsid w:val="66371AE2"/>
    <w:multiLevelType w:val="multilevel"/>
    <w:tmpl w:val="FD56886E"/>
    <w:styleLink w:val="List124"/>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24">
    <w:nsid w:val="66964D41"/>
    <w:multiLevelType w:val="multilevel"/>
    <w:tmpl w:val="F75AF778"/>
    <w:styleLink w:val="List78"/>
    <w:lvl w:ilvl="0">
      <w:start w:val="9"/>
      <w:numFmt w:val="upperLetter"/>
      <w:lvlText w:val="%1."/>
      <w:lvlJc w:val="left"/>
      <w:pPr>
        <w:tabs>
          <w:tab w:val="num" w:pos="690"/>
        </w:tabs>
        <w:ind w:left="690" w:hanging="330"/>
      </w:pPr>
      <w:rPr>
        <w:b/>
        <w:bCs/>
        <w:color w:val="000000"/>
        <w:position w:val="0"/>
        <w:sz w:val="22"/>
        <w:szCs w:val="22"/>
      </w:rPr>
    </w:lvl>
    <w:lvl w:ilvl="1">
      <w:start w:val="1"/>
      <w:numFmt w:val="decimal"/>
      <w:lvlText w:val="%2."/>
      <w:lvlJc w:val="left"/>
      <w:pPr>
        <w:tabs>
          <w:tab w:val="num" w:pos="1440"/>
        </w:tabs>
        <w:ind w:left="144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125">
    <w:nsid w:val="66DF440C"/>
    <w:multiLevelType w:val="multilevel"/>
    <w:tmpl w:val="A7DC3494"/>
    <w:styleLink w:val="List48"/>
    <w:lvl w:ilvl="0">
      <w:start w:val="1"/>
      <w:numFmt w:val="decimal"/>
      <w:lvlText w:val="%1."/>
      <w:lvlJc w:val="left"/>
      <w:pPr>
        <w:tabs>
          <w:tab w:val="num" w:pos="720"/>
        </w:tabs>
        <w:ind w:left="720"/>
      </w:pPr>
      <w:rPr>
        <w:color w:val="000000"/>
        <w:position w:val="0"/>
        <w:sz w:val="22"/>
        <w:szCs w:val="22"/>
      </w:rPr>
    </w:lvl>
    <w:lvl w:ilvl="1">
      <w:start w:val="1"/>
      <w:numFmt w:val="upperLetter"/>
      <w:lvlText w:val="%2."/>
      <w:lvlJc w:val="left"/>
      <w:pPr>
        <w:tabs>
          <w:tab w:val="num" w:pos="1410"/>
        </w:tabs>
        <w:ind w:left="1410" w:hanging="330"/>
      </w:pPr>
      <w:rPr>
        <w:color w:val="000000"/>
        <w:position w:val="0"/>
        <w:sz w:val="22"/>
        <w:szCs w:val="22"/>
      </w:rPr>
    </w:lvl>
    <w:lvl w:ilvl="2">
      <w:start w:val="1"/>
      <w:numFmt w:val="lowerLetter"/>
      <w:lvlText w:val="%3)"/>
      <w:lvlJc w:val="left"/>
      <w:pPr>
        <w:tabs>
          <w:tab w:val="num" w:pos="2340"/>
        </w:tabs>
        <w:ind w:left="234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26">
    <w:nsid w:val="67085C0C"/>
    <w:multiLevelType w:val="multilevel"/>
    <w:tmpl w:val="F6A856CC"/>
    <w:styleLink w:val="List11"/>
    <w:lvl w:ilvl="0">
      <w:start w:val="1"/>
      <w:numFmt w:val="decimal"/>
      <w:lvlText w:val="%1."/>
      <w:lvlJc w:val="left"/>
      <w:pPr>
        <w:tabs>
          <w:tab w:val="num" w:pos="1035"/>
        </w:tabs>
        <w:ind w:left="1035" w:hanging="330"/>
      </w:pPr>
      <w:rPr>
        <w:color w:val="000000"/>
        <w:position w:val="0"/>
        <w:sz w:val="22"/>
        <w:szCs w:val="22"/>
      </w:rPr>
    </w:lvl>
    <w:lvl w:ilvl="1">
      <w:start w:val="1"/>
      <w:numFmt w:val="decimal"/>
      <w:lvlText w:val="%2."/>
      <w:lvlJc w:val="left"/>
      <w:pPr>
        <w:tabs>
          <w:tab w:val="num" w:pos="1785"/>
        </w:tabs>
        <w:ind w:left="1785"/>
      </w:pPr>
      <w:rPr>
        <w:color w:val="000000"/>
        <w:position w:val="0"/>
        <w:sz w:val="22"/>
        <w:szCs w:val="22"/>
      </w:rPr>
    </w:lvl>
    <w:lvl w:ilvl="2">
      <w:start w:val="1"/>
      <w:numFmt w:val="lowerLetter"/>
      <w:lvlText w:val="%3)"/>
      <w:lvlJc w:val="left"/>
      <w:pPr>
        <w:tabs>
          <w:tab w:val="num" w:pos="2685"/>
        </w:tabs>
        <w:ind w:left="2685"/>
      </w:pPr>
      <w:rPr>
        <w:color w:val="000000"/>
        <w:position w:val="0"/>
        <w:sz w:val="22"/>
        <w:szCs w:val="22"/>
      </w:rPr>
    </w:lvl>
    <w:lvl w:ilvl="3">
      <w:start w:val="1"/>
      <w:numFmt w:val="decimal"/>
      <w:lvlText w:val="%4."/>
      <w:lvlJc w:val="left"/>
      <w:pPr>
        <w:tabs>
          <w:tab w:val="num" w:pos="3225"/>
        </w:tabs>
        <w:ind w:left="3225"/>
      </w:pPr>
      <w:rPr>
        <w:color w:val="000000"/>
        <w:position w:val="0"/>
        <w:sz w:val="22"/>
        <w:szCs w:val="22"/>
      </w:rPr>
    </w:lvl>
    <w:lvl w:ilvl="4">
      <w:start w:val="1"/>
      <w:numFmt w:val="lowerLetter"/>
      <w:lvlText w:val="%5."/>
      <w:lvlJc w:val="left"/>
      <w:pPr>
        <w:tabs>
          <w:tab w:val="num" w:pos="3945"/>
        </w:tabs>
        <w:ind w:left="3945"/>
      </w:pPr>
      <w:rPr>
        <w:color w:val="000000"/>
        <w:position w:val="0"/>
        <w:sz w:val="22"/>
        <w:szCs w:val="22"/>
      </w:rPr>
    </w:lvl>
    <w:lvl w:ilvl="5">
      <w:start w:val="1"/>
      <w:numFmt w:val="lowerRoman"/>
      <w:lvlText w:val="%6."/>
      <w:lvlJc w:val="left"/>
      <w:pPr>
        <w:tabs>
          <w:tab w:val="num" w:pos="4665"/>
        </w:tabs>
        <w:ind w:left="4665"/>
      </w:pPr>
      <w:rPr>
        <w:color w:val="000000"/>
        <w:position w:val="0"/>
        <w:sz w:val="22"/>
        <w:szCs w:val="22"/>
      </w:rPr>
    </w:lvl>
    <w:lvl w:ilvl="6">
      <w:start w:val="1"/>
      <w:numFmt w:val="decimal"/>
      <w:lvlText w:val="%7."/>
      <w:lvlJc w:val="left"/>
      <w:pPr>
        <w:tabs>
          <w:tab w:val="num" w:pos="5385"/>
        </w:tabs>
        <w:ind w:left="5385"/>
      </w:pPr>
      <w:rPr>
        <w:color w:val="000000"/>
        <w:position w:val="0"/>
        <w:sz w:val="22"/>
        <w:szCs w:val="22"/>
      </w:rPr>
    </w:lvl>
    <w:lvl w:ilvl="7">
      <w:start w:val="1"/>
      <w:numFmt w:val="lowerLetter"/>
      <w:lvlText w:val="%8."/>
      <w:lvlJc w:val="left"/>
      <w:pPr>
        <w:tabs>
          <w:tab w:val="num" w:pos="6105"/>
        </w:tabs>
        <w:ind w:left="6105"/>
      </w:pPr>
      <w:rPr>
        <w:color w:val="000000"/>
        <w:position w:val="0"/>
        <w:sz w:val="22"/>
        <w:szCs w:val="22"/>
      </w:rPr>
    </w:lvl>
    <w:lvl w:ilvl="8">
      <w:start w:val="1"/>
      <w:numFmt w:val="lowerRoman"/>
      <w:lvlText w:val="%9."/>
      <w:lvlJc w:val="left"/>
      <w:pPr>
        <w:tabs>
          <w:tab w:val="num" w:pos="6825"/>
        </w:tabs>
        <w:ind w:left="6825"/>
      </w:pPr>
      <w:rPr>
        <w:color w:val="000000"/>
        <w:position w:val="0"/>
        <w:sz w:val="22"/>
        <w:szCs w:val="22"/>
      </w:rPr>
    </w:lvl>
  </w:abstractNum>
  <w:abstractNum w:abstractNumId="127">
    <w:nsid w:val="678C26F7"/>
    <w:multiLevelType w:val="multilevel"/>
    <w:tmpl w:val="3C2AA388"/>
    <w:styleLink w:val="List76"/>
    <w:lvl w:ilvl="0">
      <w:start w:val="1"/>
      <w:numFmt w:val="upperLetter"/>
      <w:lvlText w:val="%1."/>
      <w:lvlJc w:val="left"/>
      <w:pPr>
        <w:tabs>
          <w:tab w:val="num" w:pos="1065"/>
        </w:tabs>
        <w:ind w:left="1065"/>
      </w:pPr>
      <w:rPr>
        <w:color w:val="000000"/>
        <w:position w:val="0"/>
        <w:sz w:val="22"/>
        <w:szCs w:val="22"/>
      </w:rPr>
    </w:lvl>
    <w:lvl w:ilvl="1">
      <w:start w:val="3"/>
      <w:numFmt w:val="decimal"/>
      <w:lvlText w:val="%2."/>
      <w:lvlJc w:val="left"/>
      <w:pPr>
        <w:tabs>
          <w:tab w:val="num" w:pos="330"/>
        </w:tabs>
        <w:ind w:left="330" w:hanging="330"/>
      </w:pPr>
      <w:rPr>
        <w:color w:val="000000"/>
        <w:position w:val="0"/>
        <w:sz w:val="22"/>
        <w:szCs w:val="22"/>
      </w:rPr>
    </w:lvl>
    <w:lvl w:ilvl="2">
      <w:start w:val="1"/>
      <w:numFmt w:val="lowerRoman"/>
      <w:lvlText w:val="%3."/>
      <w:lvlJc w:val="left"/>
      <w:pPr>
        <w:tabs>
          <w:tab w:val="num" w:pos="2505"/>
        </w:tabs>
        <w:ind w:left="2505"/>
      </w:pPr>
      <w:rPr>
        <w:color w:val="000000"/>
        <w:position w:val="0"/>
        <w:sz w:val="22"/>
        <w:szCs w:val="22"/>
      </w:rPr>
    </w:lvl>
    <w:lvl w:ilvl="3">
      <w:start w:val="1"/>
      <w:numFmt w:val="decimal"/>
      <w:lvlText w:val="%4."/>
      <w:lvlJc w:val="left"/>
      <w:pPr>
        <w:tabs>
          <w:tab w:val="num" w:pos="3225"/>
        </w:tabs>
        <w:ind w:left="3225"/>
      </w:pPr>
      <w:rPr>
        <w:color w:val="000000"/>
        <w:position w:val="0"/>
        <w:sz w:val="22"/>
        <w:szCs w:val="22"/>
      </w:rPr>
    </w:lvl>
    <w:lvl w:ilvl="4">
      <w:start w:val="1"/>
      <w:numFmt w:val="lowerLetter"/>
      <w:lvlText w:val="%5."/>
      <w:lvlJc w:val="left"/>
      <w:pPr>
        <w:tabs>
          <w:tab w:val="num" w:pos="3945"/>
        </w:tabs>
        <w:ind w:left="3945"/>
      </w:pPr>
      <w:rPr>
        <w:color w:val="000000"/>
        <w:position w:val="0"/>
        <w:sz w:val="22"/>
        <w:szCs w:val="22"/>
      </w:rPr>
    </w:lvl>
    <w:lvl w:ilvl="5">
      <w:start w:val="1"/>
      <w:numFmt w:val="lowerRoman"/>
      <w:lvlText w:val="%6."/>
      <w:lvlJc w:val="left"/>
      <w:pPr>
        <w:tabs>
          <w:tab w:val="num" w:pos="4665"/>
        </w:tabs>
        <w:ind w:left="4665"/>
      </w:pPr>
      <w:rPr>
        <w:color w:val="000000"/>
        <w:position w:val="0"/>
        <w:sz w:val="22"/>
        <w:szCs w:val="22"/>
      </w:rPr>
    </w:lvl>
    <w:lvl w:ilvl="6">
      <w:start w:val="1"/>
      <w:numFmt w:val="decimal"/>
      <w:lvlText w:val="%7."/>
      <w:lvlJc w:val="left"/>
      <w:pPr>
        <w:tabs>
          <w:tab w:val="num" w:pos="5385"/>
        </w:tabs>
        <w:ind w:left="5385"/>
      </w:pPr>
      <w:rPr>
        <w:color w:val="000000"/>
        <w:position w:val="0"/>
        <w:sz w:val="22"/>
        <w:szCs w:val="22"/>
      </w:rPr>
    </w:lvl>
    <w:lvl w:ilvl="7">
      <w:start w:val="1"/>
      <w:numFmt w:val="lowerLetter"/>
      <w:lvlText w:val="%8."/>
      <w:lvlJc w:val="left"/>
      <w:pPr>
        <w:tabs>
          <w:tab w:val="num" w:pos="6105"/>
        </w:tabs>
        <w:ind w:left="6105"/>
      </w:pPr>
      <w:rPr>
        <w:color w:val="000000"/>
        <w:position w:val="0"/>
        <w:sz w:val="22"/>
        <w:szCs w:val="22"/>
      </w:rPr>
    </w:lvl>
    <w:lvl w:ilvl="8">
      <w:start w:val="1"/>
      <w:numFmt w:val="lowerRoman"/>
      <w:lvlText w:val="%9."/>
      <w:lvlJc w:val="left"/>
      <w:pPr>
        <w:tabs>
          <w:tab w:val="num" w:pos="6825"/>
        </w:tabs>
        <w:ind w:left="6825"/>
      </w:pPr>
      <w:rPr>
        <w:color w:val="000000"/>
        <w:position w:val="0"/>
        <w:sz w:val="22"/>
        <w:szCs w:val="22"/>
      </w:rPr>
    </w:lvl>
  </w:abstractNum>
  <w:abstractNum w:abstractNumId="128">
    <w:nsid w:val="67CB20FA"/>
    <w:multiLevelType w:val="multilevel"/>
    <w:tmpl w:val="A494714C"/>
    <w:styleLink w:val="List14"/>
    <w:lvl w:ilvl="0">
      <w:start w:val="1"/>
      <w:numFmt w:val="decimal"/>
      <w:lvlText w:val="%1."/>
      <w:lvlJc w:val="left"/>
      <w:pPr>
        <w:tabs>
          <w:tab w:val="num" w:pos="1743"/>
        </w:tabs>
        <w:ind w:left="1743" w:hanging="330"/>
      </w:pPr>
      <w:rPr>
        <w:color w:val="000000"/>
        <w:position w:val="0"/>
        <w:sz w:val="22"/>
        <w:szCs w:val="22"/>
      </w:rPr>
    </w:lvl>
    <w:lvl w:ilvl="1">
      <w:start w:val="1"/>
      <w:numFmt w:val="lowerLetter"/>
      <w:lvlText w:val="%2."/>
      <w:lvlJc w:val="left"/>
      <w:pPr>
        <w:tabs>
          <w:tab w:val="num" w:pos="2493"/>
        </w:tabs>
        <w:ind w:left="2493"/>
      </w:pPr>
      <w:rPr>
        <w:color w:val="000000"/>
        <w:position w:val="0"/>
        <w:sz w:val="22"/>
        <w:szCs w:val="22"/>
      </w:rPr>
    </w:lvl>
    <w:lvl w:ilvl="2">
      <w:start w:val="1"/>
      <w:numFmt w:val="lowerRoman"/>
      <w:lvlText w:val="%3."/>
      <w:lvlJc w:val="left"/>
      <w:pPr>
        <w:tabs>
          <w:tab w:val="num" w:pos="3213"/>
        </w:tabs>
        <w:ind w:left="3213"/>
      </w:pPr>
      <w:rPr>
        <w:color w:val="000000"/>
        <w:position w:val="0"/>
        <w:sz w:val="22"/>
        <w:szCs w:val="22"/>
      </w:rPr>
    </w:lvl>
    <w:lvl w:ilvl="3">
      <w:start w:val="1"/>
      <w:numFmt w:val="decimal"/>
      <w:lvlText w:val="%4."/>
      <w:lvlJc w:val="left"/>
      <w:pPr>
        <w:tabs>
          <w:tab w:val="num" w:pos="3933"/>
        </w:tabs>
        <w:ind w:left="3933"/>
      </w:pPr>
      <w:rPr>
        <w:color w:val="000000"/>
        <w:position w:val="0"/>
        <w:sz w:val="22"/>
        <w:szCs w:val="22"/>
      </w:rPr>
    </w:lvl>
    <w:lvl w:ilvl="4">
      <w:start w:val="1"/>
      <w:numFmt w:val="upperLetter"/>
      <w:lvlText w:val="%5."/>
      <w:lvlJc w:val="left"/>
      <w:pPr>
        <w:tabs>
          <w:tab w:val="num" w:pos="4653"/>
        </w:tabs>
        <w:ind w:left="4653"/>
      </w:pPr>
      <w:rPr>
        <w:color w:val="000000"/>
        <w:position w:val="0"/>
        <w:sz w:val="22"/>
        <w:szCs w:val="22"/>
      </w:rPr>
    </w:lvl>
    <w:lvl w:ilvl="5">
      <w:start w:val="1"/>
      <w:numFmt w:val="lowerRoman"/>
      <w:lvlText w:val="%6)"/>
      <w:lvlJc w:val="left"/>
      <w:pPr>
        <w:tabs>
          <w:tab w:val="num" w:pos="5913"/>
        </w:tabs>
        <w:ind w:left="5913"/>
      </w:pPr>
      <w:rPr>
        <w:color w:val="000000"/>
        <w:position w:val="0"/>
        <w:sz w:val="22"/>
        <w:szCs w:val="22"/>
      </w:rPr>
    </w:lvl>
    <w:lvl w:ilvl="6">
      <w:start w:val="1"/>
      <w:numFmt w:val="decimal"/>
      <w:lvlText w:val="%7)"/>
      <w:lvlJc w:val="left"/>
      <w:pPr>
        <w:tabs>
          <w:tab w:val="num" w:pos="6093"/>
        </w:tabs>
        <w:ind w:left="6093"/>
      </w:pPr>
      <w:rPr>
        <w:color w:val="000000"/>
        <w:position w:val="0"/>
        <w:sz w:val="22"/>
        <w:szCs w:val="22"/>
      </w:rPr>
    </w:lvl>
    <w:lvl w:ilvl="7">
      <w:start w:val="1"/>
      <w:numFmt w:val="lowerLetter"/>
      <w:lvlText w:val="%8."/>
      <w:lvlJc w:val="left"/>
      <w:pPr>
        <w:tabs>
          <w:tab w:val="num" w:pos="6813"/>
        </w:tabs>
        <w:ind w:left="6813"/>
      </w:pPr>
      <w:rPr>
        <w:color w:val="000000"/>
        <w:position w:val="0"/>
        <w:sz w:val="22"/>
        <w:szCs w:val="22"/>
      </w:rPr>
    </w:lvl>
    <w:lvl w:ilvl="8">
      <w:start w:val="1"/>
      <w:numFmt w:val="lowerRoman"/>
      <w:lvlText w:val="%9."/>
      <w:lvlJc w:val="left"/>
      <w:pPr>
        <w:tabs>
          <w:tab w:val="num" w:pos="7533"/>
        </w:tabs>
        <w:ind w:left="7533"/>
      </w:pPr>
      <w:rPr>
        <w:color w:val="000000"/>
        <w:position w:val="0"/>
        <w:sz w:val="22"/>
        <w:szCs w:val="22"/>
      </w:rPr>
    </w:lvl>
  </w:abstractNum>
  <w:abstractNum w:abstractNumId="129">
    <w:nsid w:val="689C73A2"/>
    <w:multiLevelType w:val="multilevel"/>
    <w:tmpl w:val="B4804048"/>
    <w:styleLink w:val="List71"/>
    <w:lvl w:ilvl="0">
      <w:start w:val="1"/>
      <w:numFmt w:val="decimal"/>
      <w:lvlText w:val="%1."/>
      <w:lvlJc w:val="left"/>
      <w:pPr>
        <w:tabs>
          <w:tab w:val="num" w:pos="1068"/>
        </w:tabs>
        <w:ind w:left="1068"/>
      </w:pPr>
      <w:rPr>
        <w:color w:val="000000"/>
        <w:position w:val="0"/>
        <w:sz w:val="22"/>
        <w:szCs w:val="22"/>
      </w:rPr>
    </w:lvl>
    <w:lvl w:ilvl="1">
      <w:start w:val="1"/>
      <w:numFmt w:val="upperLetter"/>
      <w:lvlText w:val="%2."/>
      <w:lvlJc w:val="left"/>
      <w:pPr>
        <w:tabs>
          <w:tab w:val="num" w:pos="1772"/>
        </w:tabs>
        <w:ind w:left="1772" w:hanging="344"/>
      </w:pPr>
      <w:rPr>
        <w:color w:val="000000"/>
        <w:position w:val="0"/>
        <w:sz w:val="22"/>
        <w:szCs w:val="22"/>
      </w:rPr>
    </w:lvl>
    <w:lvl w:ilvl="2">
      <w:start w:val="1"/>
      <w:numFmt w:val="lowerRoman"/>
      <w:lvlText w:val="%3."/>
      <w:lvlJc w:val="left"/>
      <w:pPr>
        <w:tabs>
          <w:tab w:val="num" w:pos="2508"/>
        </w:tabs>
        <w:ind w:left="2508"/>
      </w:pPr>
      <w:rPr>
        <w:color w:val="000000"/>
        <w:position w:val="0"/>
        <w:sz w:val="22"/>
        <w:szCs w:val="22"/>
      </w:rPr>
    </w:lvl>
    <w:lvl w:ilvl="3">
      <w:start w:val="1"/>
      <w:numFmt w:val="decimal"/>
      <w:lvlText w:val="%4."/>
      <w:lvlJc w:val="left"/>
      <w:pPr>
        <w:tabs>
          <w:tab w:val="num" w:pos="3228"/>
        </w:tabs>
        <w:ind w:left="3228"/>
      </w:pPr>
      <w:rPr>
        <w:color w:val="000000"/>
        <w:position w:val="0"/>
        <w:sz w:val="22"/>
        <w:szCs w:val="22"/>
      </w:rPr>
    </w:lvl>
    <w:lvl w:ilvl="4">
      <w:start w:val="1"/>
      <w:numFmt w:val="lowerLetter"/>
      <w:lvlText w:val="%5."/>
      <w:lvlJc w:val="left"/>
      <w:pPr>
        <w:tabs>
          <w:tab w:val="num" w:pos="3948"/>
        </w:tabs>
        <w:ind w:left="3948"/>
      </w:pPr>
      <w:rPr>
        <w:color w:val="000000"/>
        <w:position w:val="0"/>
        <w:sz w:val="22"/>
        <w:szCs w:val="22"/>
      </w:rPr>
    </w:lvl>
    <w:lvl w:ilvl="5">
      <w:start w:val="1"/>
      <w:numFmt w:val="lowerRoman"/>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lowerLetter"/>
      <w:lvlText w:val="%8."/>
      <w:lvlJc w:val="left"/>
      <w:pPr>
        <w:tabs>
          <w:tab w:val="num" w:pos="6108"/>
        </w:tabs>
        <w:ind w:left="6108"/>
      </w:pPr>
      <w:rPr>
        <w:color w:val="000000"/>
        <w:position w:val="0"/>
        <w:sz w:val="22"/>
        <w:szCs w:val="22"/>
      </w:rPr>
    </w:lvl>
    <w:lvl w:ilvl="8">
      <w:start w:val="1"/>
      <w:numFmt w:val="lowerRoman"/>
      <w:lvlText w:val="%9."/>
      <w:lvlJc w:val="left"/>
      <w:pPr>
        <w:tabs>
          <w:tab w:val="num" w:pos="6828"/>
        </w:tabs>
        <w:ind w:left="6828"/>
      </w:pPr>
      <w:rPr>
        <w:color w:val="000000"/>
        <w:position w:val="0"/>
        <w:sz w:val="22"/>
        <w:szCs w:val="22"/>
      </w:rPr>
    </w:lvl>
  </w:abstractNum>
  <w:abstractNum w:abstractNumId="130">
    <w:nsid w:val="68F14658"/>
    <w:multiLevelType w:val="multilevel"/>
    <w:tmpl w:val="E88494DC"/>
    <w:styleLink w:val="List115"/>
    <w:lvl w:ilvl="0">
      <w:start w:val="1"/>
      <w:numFmt w:val="decimal"/>
      <w:lvlText w:val="%1."/>
      <w:lvlJc w:val="left"/>
      <w:pPr>
        <w:tabs>
          <w:tab w:val="num" w:pos="720"/>
        </w:tabs>
        <w:ind w:left="720"/>
      </w:pPr>
      <w:rPr>
        <w:b/>
        <w:bCs/>
        <w:color w:val="000000"/>
        <w:position w:val="0"/>
        <w:sz w:val="22"/>
        <w:szCs w:val="22"/>
      </w:rPr>
    </w:lvl>
    <w:lvl w:ilvl="1">
      <w:start w:val="2"/>
      <w:numFmt w:val="decimal"/>
      <w:lvlText w:val="%2."/>
      <w:lvlJc w:val="left"/>
      <w:pPr>
        <w:tabs>
          <w:tab w:val="num" w:pos="1320"/>
        </w:tabs>
        <w:ind w:left="1320" w:hanging="1320"/>
      </w:pPr>
      <w:rPr>
        <w:b/>
        <w:bCs/>
        <w:color w:val="000000"/>
        <w:position w:val="0"/>
        <w:sz w:val="22"/>
        <w:szCs w:val="22"/>
      </w:rPr>
    </w:lvl>
    <w:lvl w:ilvl="2">
      <w:start w:val="1"/>
      <w:numFmt w:val="lowerRoman"/>
      <w:lvlText w:val="%3."/>
      <w:lvlJc w:val="left"/>
      <w:pPr>
        <w:tabs>
          <w:tab w:val="num" w:pos="2160"/>
        </w:tabs>
        <w:ind w:left="2160"/>
      </w:pPr>
      <w:rPr>
        <w:b/>
        <w:bCs/>
        <w:color w:val="000000"/>
        <w:position w:val="0"/>
        <w:sz w:val="22"/>
        <w:szCs w:val="22"/>
      </w:rPr>
    </w:lvl>
    <w:lvl w:ilvl="3">
      <w:start w:val="1"/>
      <w:numFmt w:val="decimal"/>
      <w:lvlText w:val="%4."/>
      <w:lvlJc w:val="left"/>
      <w:pPr>
        <w:tabs>
          <w:tab w:val="num" w:pos="2880"/>
        </w:tabs>
        <w:ind w:left="2880"/>
      </w:pPr>
      <w:rPr>
        <w:b/>
        <w:bCs/>
        <w:color w:val="000000"/>
        <w:position w:val="0"/>
        <w:sz w:val="22"/>
        <w:szCs w:val="22"/>
      </w:rPr>
    </w:lvl>
    <w:lvl w:ilvl="4">
      <w:start w:val="1"/>
      <w:numFmt w:val="lowerLetter"/>
      <w:lvlText w:val="%5."/>
      <w:lvlJc w:val="left"/>
      <w:pPr>
        <w:tabs>
          <w:tab w:val="num" w:pos="3600"/>
        </w:tabs>
        <w:ind w:left="3600"/>
      </w:pPr>
      <w:rPr>
        <w:b/>
        <w:bCs/>
        <w:color w:val="000000"/>
        <w:position w:val="0"/>
        <w:sz w:val="22"/>
        <w:szCs w:val="22"/>
      </w:rPr>
    </w:lvl>
    <w:lvl w:ilvl="5">
      <w:start w:val="1"/>
      <w:numFmt w:val="lowerRoman"/>
      <w:lvlText w:val="%6."/>
      <w:lvlJc w:val="left"/>
      <w:pPr>
        <w:tabs>
          <w:tab w:val="num" w:pos="4320"/>
        </w:tabs>
        <w:ind w:left="4320"/>
      </w:pPr>
      <w:rPr>
        <w:b/>
        <w:bCs/>
        <w:color w:val="000000"/>
        <w:position w:val="0"/>
        <w:sz w:val="22"/>
        <w:szCs w:val="22"/>
      </w:rPr>
    </w:lvl>
    <w:lvl w:ilvl="6">
      <w:start w:val="1"/>
      <w:numFmt w:val="decimal"/>
      <w:lvlText w:val="%7."/>
      <w:lvlJc w:val="left"/>
      <w:pPr>
        <w:tabs>
          <w:tab w:val="num" w:pos="5040"/>
        </w:tabs>
        <w:ind w:left="5040"/>
      </w:pPr>
      <w:rPr>
        <w:b/>
        <w:bCs/>
        <w:color w:val="000000"/>
        <w:position w:val="0"/>
        <w:sz w:val="22"/>
        <w:szCs w:val="22"/>
      </w:rPr>
    </w:lvl>
    <w:lvl w:ilvl="7">
      <w:start w:val="1"/>
      <w:numFmt w:val="lowerLetter"/>
      <w:lvlText w:val="%8."/>
      <w:lvlJc w:val="left"/>
      <w:pPr>
        <w:tabs>
          <w:tab w:val="num" w:pos="5760"/>
        </w:tabs>
        <w:ind w:left="5760"/>
      </w:pPr>
      <w:rPr>
        <w:b/>
        <w:bCs/>
        <w:color w:val="000000"/>
        <w:position w:val="0"/>
        <w:sz w:val="22"/>
        <w:szCs w:val="22"/>
      </w:rPr>
    </w:lvl>
    <w:lvl w:ilvl="8">
      <w:start w:val="1"/>
      <w:numFmt w:val="lowerRoman"/>
      <w:lvlText w:val="%9."/>
      <w:lvlJc w:val="left"/>
      <w:pPr>
        <w:tabs>
          <w:tab w:val="num" w:pos="6480"/>
        </w:tabs>
        <w:ind w:left="6480"/>
      </w:pPr>
      <w:rPr>
        <w:b/>
        <w:bCs/>
        <w:color w:val="000000"/>
        <w:position w:val="0"/>
        <w:sz w:val="22"/>
        <w:szCs w:val="22"/>
      </w:rPr>
    </w:lvl>
  </w:abstractNum>
  <w:abstractNum w:abstractNumId="131">
    <w:nsid w:val="68F30FA7"/>
    <w:multiLevelType w:val="multilevel"/>
    <w:tmpl w:val="44FE4C58"/>
    <w:styleLink w:val="List46"/>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32">
    <w:nsid w:val="6AE17FE2"/>
    <w:multiLevelType w:val="multilevel"/>
    <w:tmpl w:val="85B87556"/>
    <w:styleLink w:val="List80"/>
    <w:lvl w:ilvl="0">
      <w:start w:val="1"/>
      <w:numFmt w:val="upperLetter"/>
      <w:lvlText w:val="%1."/>
      <w:lvlJc w:val="left"/>
      <w:pPr>
        <w:tabs>
          <w:tab w:val="num" w:pos="690"/>
        </w:tabs>
        <w:ind w:left="690" w:hanging="330"/>
      </w:pPr>
      <w:rPr>
        <w:color w:val="000000"/>
        <w:position w:val="0"/>
        <w:sz w:val="22"/>
        <w:szCs w:val="22"/>
        <w:u w:val="single"/>
      </w:rPr>
    </w:lvl>
    <w:lvl w:ilvl="1">
      <w:start w:val="1"/>
      <w:numFmt w:val="lowerLetter"/>
      <w:lvlText w:val="%2."/>
      <w:lvlJc w:val="left"/>
      <w:pPr>
        <w:tabs>
          <w:tab w:val="num" w:pos="1440"/>
        </w:tabs>
        <w:ind w:left="1440"/>
      </w:pPr>
      <w:rPr>
        <w:color w:val="000000"/>
        <w:position w:val="0"/>
        <w:sz w:val="22"/>
        <w:szCs w:val="22"/>
        <w:u w:val="single"/>
      </w:rPr>
    </w:lvl>
    <w:lvl w:ilvl="2">
      <w:start w:val="1"/>
      <w:numFmt w:val="lowerRoman"/>
      <w:lvlText w:val="%3."/>
      <w:lvlJc w:val="left"/>
      <w:pPr>
        <w:tabs>
          <w:tab w:val="num" w:pos="2160"/>
        </w:tabs>
        <w:ind w:left="2160"/>
      </w:pPr>
      <w:rPr>
        <w:color w:val="000000"/>
        <w:position w:val="0"/>
        <w:sz w:val="22"/>
        <w:szCs w:val="22"/>
        <w:u w:val="single"/>
      </w:rPr>
    </w:lvl>
    <w:lvl w:ilvl="3">
      <w:start w:val="1"/>
      <w:numFmt w:val="decimal"/>
      <w:lvlText w:val="%4."/>
      <w:lvlJc w:val="left"/>
      <w:pPr>
        <w:tabs>
          <w:tab w:val="num" w:pos="2880"/>
        </w:tabs>
        <w:ind w:left="2880"/>
      </w:pPr>
      <w:rPr>
        <w:color w:val="000000"/>
        <w:position w:val="0"/>
        <w:sz w:val="22"/>
        <w:szCs w:val="22"/>
        <w:u w:val="single"/>
      </w:rPr>
    </w:lvl>
    <w:lvl w:ilvl="4">
      <w:start w:val="1"/>
      <w:numFmt w:val="lowerLetter"/>
      <w:lvlText w:val="%5."/>
      <w:lvlJc w:val="left"/>
      <w:pPr>
        <w:tabs>
          <w:tab w:val="num" w:pos="3600"/>
        </w:tabs>
        <w:ind w:left="3600"/>
      </w:pPr>
      <w:rPr>
        <w:color w:val="000000"/>
        <w:position w:val="0"/>
        <w:sz w:val="22"/>
        <w:szCs w:val="22"/>
        <w:u w:val="single"/>
      </w:rPr>
    </w:lvl>
    <w:lvl w:ilvl="5">
      <w:start w:val="1"/>
      <w:numFmt w:val="lowerRoman"/>
      <w:lvlText w:val="%6."/>
      <w:lvlJc w:val="left"/>
      <w:pPr>
        <w:tabs>
          <w:tab w:val="num" w:pos="4320"/>
        </w:tabs>
        <w:ind w:left="4320"/>
      </w:pPr>
      <w:rPr>
        <w:color w:val="000000"/>
        <w:position w:val="0"/>
        <w:sz w:val="22"/>
        <w:szCs w:val="22"/>
        <w:u w:val="single"/>
      </w:rPr>
    </w:lvl>
    <w:lvl w:ilvl="6">
      <w:start w:val="1"/>
      <w:numFmt w:val="decimal"/>
      <w:lvlText w:val="%7."/>
      <w:lvlJc w:val="left"/>
      <w:pPr>
        <w:tabs>
          <w:tab w:val="num" w:pos="5040"/>
        </w:tabs>
        <w:ind w:left="5040"/>
      </w:pPr>
      <w:rPr>
        <w:color w:val="000000"/>
        <w:position w:val="0"/>
        <w:sz w:val="22"/>
        <w:szCs w:val="22"/>
        <w:u w:val="single"/>
      </w:rPr>
    </w:lvl>
    <w:lvl w:ilvl="7">
      <w:start w:val="1"/>
      <w:numFmt w:val="lowerLetter"/>
      <w:lvlText w:val="%8."/>
      <w:lvlJc w:val="left"/>
      <w:pPr>
        <w:tabs>
          <w:tab w:val="num" w:pos="5760"/>
        </w:tabs>
        <w:ind w:left="5760"/>
      </w:pPr>
      <w:rPr>
        <w:color w:val="000000"/>
        <w:position w:val="0"/>
        <w:sz w:val="22"/>
        <w:szCs w:val="22"/>
        <w:u w:val="single"/>
      </w:rPr>
    </w:lvl>
    <w:lvl w:ilvl="8">
      <w:start w:val="1"/>
      <w:numFmt w:val="lowerRoman"/>
      <w:lvlText w:val="%9."/>
      <w:lvlJc w:val="left"/>
      <w:pPr>
        <w:tabs>
          <w:tab w:val="num" w:pos="6480"/>
        </w:tabs>
        <w:ind w:left="6480"/>
      </w:pPr>
      <w:rPr>
        <w:color w:val="000000"/>
        <w:position w:val="0"/>
        <w:sz w:val="22"/>
        <w:szCs w:val="22"/>
        <w:u w:val="single"/>
      </w:rPr>
    </w:lvl>
  </w:abstractNum>
  <w:abstractNum w:abstractNumId="133">
    <w:nsid w:val="6BAF5647"/>
    <w:multiLevelType w:val="multilevel"/>
    <w:tmpl w:val="5532BBA2"/>
    <w:styleLink w:val="List6"/>
    <w:lvl w:ilvl="0">
      <w:start w:val="1"/>
      <w:numFmt w:val="decimal"/>
      <w:lvlText w:val="%1)"/>
      <w:lvlJc w:val="left"/>
      <w:pPr>
        <w:tabs>
          <w:tab w:val="num" w:pos="1770"/>
        </w:tabs>
        <w:ind w:left="1770" w:hanging="330"/>
      </w:pPr>
      <w:rPr>
        <w:color w:val="000000"/>
        <w:position w:val="0"/>
        <w:sz w:val="22"/>
        <w:szCs w:val="22"/>
      </w:rPr>
    </w:lvl>
    <w:lvl w:ilvl="1">
      <w:start w:val="1"/>
      <w:numFmt w:val="decimal"/>
      <w:lvlText w:val="%1.%2."/>
      <w:lvlJc w:val="left"/>
      <w:pPr>
        <w:tabs>
          <w:tab w:val="num" w:pos="1800"/>
        </w:tabs>
        <w:ind w:left="1800"/>
      </w:pPr>
      <w:rPr>
        <w:color w:val="000000"/>
        <w:position w:val="0"/>
        <w:sz w:val="22"/>
        <w:szCs w:val="22"/>
      </w:rPr>
    </w:lvl>
    <w:lvl w:ilvl="2">
      <w:start w:val="1"/>
      <w:numFmt w:val="decimal"/>
      <w:lvlText w:val="%2."/>
      <w:lvlJc w:val="left"/>
      <w:pPr>
        <w:tabs>
          <w:tab w:val="num" w:pos="3240"/>
        </w:tabs>
        <w:ind w:left="2520"/>
      </w:pPr>
      <w:rPr>
        <w:color w:val="000000"/>
        <w:position w:val="0"/>
        <w:sz w:val="22"/>
        <w:szCs w:val="22"/>
      </w:rPr>
    </w:lvl>
    <w:lvl w:ilvl="3">
      <w:start w:val="1"/>
      <w:numFmt w:val="decimal"/>
      <w:lvlText w:val="%2."/>
      <w:lvlJc w:val="left"/>
      <w:pPr>
        <w:tabs>
          <w:tab w:val="num" w:pos="4680"/>
        </w:tabs>
        <w:ind w:left="3240"/>
      </w:pPr>
      <w:rPr>
        <w:color w:val="000000"/>
        <w:position w:val="0"/>
        <w:sz w:val="22"/>
        <w:szCs w:val="22"/>
      </w:rPr>
    </w:lvl>
    <w:lvl w:ilvl="4">
      <w:start w:val="1"/>
      <w:numFmt w:val="decimal"/>
      <w:lvlText w:val="%2."/>
      <w:lvlJc w:val="left"/>
      <w:pPr>
        <w:tabs>
          <w:tab w:val="num" w:pos="6120"/>
        </w:tabs>
        <w:ind w:left="3960"/>
      </w:pPr>
      <w:rPr>
        <w:color w:val="000000"/>
        <w:position w:val="0"/>
        <w:sz w:val="22"/>
        <w:szCs w:val="22"/>
      </w:rPr>
    </w:lvl>
    <w:lvl w:ilvl="5">
      <w:start w:val="1"/>
      <w:numFmt w:val="decimal"/>
      <w:lvlText w:val="%2."/>
      <w:lvlJc w:val="left"/>
      <w:pPr>
        <w:tabs>
          <w:tab w:val="num" w:pos="7560"/>
        </w:tabs>
        <w:ind w:left="4680"/>
      </w:pPr>
      <w:rPr>
        <w:color w:val="000000"/>
        <w:position w:val="0"/>
        <w:sz w:val="22"/>
        <w:szCs w:val="22"/>
      </w:rPr>
    </w:lvl>
    <w:lvl w:ilvl="6">
      <w:start w:val="1"/>
      <w:numFmt w:val="decimal"/>
      <w:lvlText w:val="%2."/>
      <w:lvlJc w:val="left"/>
      <w:pPr>
        <w:tabs>
          <w:tab w:val="num" w:pos="9000"/>
        </w:tabs>
        <w:ind w:left="5400"/>
      </w:pPr>
      <w:rPr>
        <w:color w:val="000000"/>
        <w:position w:val="0"/>
        <w:sz w:val="22"/>
        <w:szCs w:val="22"/>
      </w:rPr>
    </w:lvl>
    <w:lvl w:ilvl="7">
      <w:start w:val="1"/>
      <w:numFmt w:val="decimal"/>
      <w:lvlText w:val="%2."/>
      <w:lvlJc w:val="left"/>
      <w:pPr>
        <w:tabs>
          <w:tab w:val="num" w:pos="10440"/>
        </w:tabs>
        <w:ind w:left="6120"/>
      </w:pPr>
      <w:rPr>
        <w:color w:val="000000"/>
        <w:position w:val="0"/>
        <w:sz w:val="22"/>
        <w:szCs w:val="22"/>
      </w:rPr>
    </w:lvl>
    <w:lvl w:ilvl="8">
      <w:start w:val="1"/>
      <w:numFmt w:val="decimal"/>
      <w:lvlText w:val="%2."/>
      <w:lvlJc w:val="left"/>
      <w:pPr>
        <w:tabs>
          <w:tab w:val="num" w:pos="11880"/>
        </w:tabs>
        <w:ind w:left="6840"/>
      </w:pPr>
      <w:rPr>
        <w:color w:val="000000"/>
        <w:position w:val="0"/>
        <w:sz w:val="22"/>
        <w:szCs w:val="22"/>
      </w:rPr>
    </w:lvl>
  </w:abstractNum>
  <w:abstractNum w:abstractNumId="134">
    <w:nsid w:val="6BC2505D"/>
    <w:multiLevelType w:val="multilevel"/>
    <w:tmpl w:val="708076C6"/>
    <w:styleLink w:val="List121"/>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35">
    <w:nsid w:val="6CC0542A"/>
    <w:multiLevelType w:val="multilevel"/>
    <w:tmpl w:val="1A743168"/>
    <w:styleLink w:val="List37"/>
    <w:lvl w:ilvl="0">
      <w:start w:val="1"/>
      <w:numFmt w:val="decimal"/>
      <w:lvlText w:val="%1."/>
      <w:lvlJc w:val="left"/>
      <w:pPr>
        <w:tabs>
          <w:tab w:val="num" w:pos="1170"/>
        </w:tabs>
        <w:ind w:left="1170" w:hanging="330"/>
      </w:pPr>
      <w:rPr>
        <w:color w:val="000000"/>
        <w:position w:val="0"/>
        <w:sz w:val="22"/>
        <w:szCs w:val="22"/>
      </w:rPr>
    </w:lvl>
    <w:lvl w:ilvl="1">
      <w:start w:val="1"/>
      <w:numFmt w:val="lowerLetter"/>
      <w:lvlText w:val="%2."/>
      <w:lvlJc w:val="left"/>
      <w:pPr>
        <w:tabs>
          <w:tab w:val="num" w:pos="1920"/>
        </w:tabs>
        <w:ind w:left="1920"/>
      </w:pPr>
      <w:rPr>
        <w:color w:val="000000"/>
        <w:position w:val="0"/>
        <w:sz w:val="22"/>
        <w:szCs w:val="22"/>
      </w:rPr>
    </w:lvl>
    <w:lvl w:ilvl="2">
      <w:start w:val="1"/>
      <w:numFmt w:val="lowerRoman"/>
      <w:lvlText w:val="%3."/>
      <w:lvlJc w:val="left"/>
      <w:pPr>
        <w:tabs>
          <w:tab w:val="num" w:pos="2640"/>
        </w:tabs>
        <w:ind w:left="2640"/>
      </w:pPr>
      <w:rPr>
        <w:color w:val="000000"/>
        <w:position w:val="0"/>
        <w:sz w:val="22"/>
        <w:szCs w:val="22"/>
      </w:rPr>
    </w:lvl>
    <w:lvl w:ilvl="3">
      <w:start w:val="1"/>
      <w:numFmt w:val="upperLetter"/>
      <w:lvlText w:val="%4."/>
      <w:lvlJc w:val="left"/>
      <w:pPr>
        <w:tabs>
          <w:tab w:val="num" w:pos="3390"/>
        </w:tabs>
        <w:ind w:left="3390"/>
      </w:pPr>
      <w:rPr>
        <w:color w:val="000000"/>
        <w:position w:val="0"/>
        <w:sz w:val="22"/>
        <w:szCs w:val="22"/>
      </w:rPr>
    </w:lvl>
    <w:lvl w:ilvl="4">
      <w:start w:val="1"/>
      <w:numFmt w:val="lowerLetter"/>
      <w:lvlText w:val="%5."/>
      <w:lvlJc w:val="left"/>
      <w:pPr>
        <w:tabs>
          <w:tab w:val="num" w:pos="4080"/>
        </w:tabs>
        <w:ind w:left="4080"/>
      </w:pPr>
      <w:rPr>
        <w:color w:val="000000"/>
        <w:position w:val="0"/>
        <w:sz w:val="22"/>
        <w:szCs w:val="22"/>
      </w:rPr>
    </w:lvl>
    <w:lvl w:ilvl="5">
      <w:start w:val="1"/>
      <w:numFmt w:val="lowerRoman"/>
      <w:lvlText w:val="%6."/>
      <w:lvlJc w:val="left"/>
      <w:pPr>
        <w:tabs>
          <w:tab w:val="num" w:pos="4800"/>
        </w:tabs>
        <w:ind w:left="4800"/>
      </w:pPr>
      <w:rPr>
        <w:color w:val="000000"/>
        <w:position w:val="0"/>
        <w:sz w:val="22"/>
        <w:szCs w:val="22"/>
      </w:rPr>
    </w:lvl>
    <w:lvl w:ilvl="6">
      <w:start w:val="1"/>
      <w:numFmt w:val="decimal"/>
      <w:lvlText w:val="%7."/>
      <w:lvlJc w:val="left"/>
      <w:pPr>
        <w:tabs>
          <w:tab w:val="num" w:pos="5520"/>
        </w:tabs>
        <w:ind w:left="5520"/>
      </w:pPr>
      <w:rPr>
        <w:color w:val="000000"/>
        <w:position w:val="0"/>
        <w:sz w:val="22"/>
        <w:szCs w:val="22"/>
      </w:rPr>
    </w:lvl>
    <w:lvl w:ilvl="7">
      <w:start w:val="1"/>
      <w:numFmt w:val="lowerLetter"/>
      <w:lvlText w:val="%8."/>
      <w:lvlJc w:val="left"/>
      <w:pPr>
        <w:tabs>
          <w:tab w:val="num" w:pos="6240"/>
        </w:tabs>
        <w:ind w:left="6240"/>
      </w:pPr>
      <w:rPr>
        <w:color w:val="000000"/>
        <w:position w:val="0"/>
        <w:sz w:val="22"/>
        <w:szCs w:val="22"/>
      </w:rPr>
    </w:lvl>
    <w:lvl w:ilvl="8">
      <w:start w:val="1"/>
      <w:numFmt w:val="lowerRoman"/>
      <w:lvlText w:val="%9."/>
      <w:lvlJc w:val="left"/>
      <w:pPr>
        <w:tabs>
          <w:tab w:val="num" w:pos="6960"/>
        </w:tabs>
        <w:ind w:left="6960"/>
      </w:pPr>
      <w:rPr>
        <w:color w:val="000000"/>
        <w:position w:val="0"/>
        <w:sz w:val="22"/>
        <w:szCs w:val="22"/>
      </w:rPr>
    </w:lvl>
  </w:abstractNum>
  <w:abstractNum w:abstractNumId="136">
    <w:nsid w:val="6D825EE1"/>
    <w:multiLevelType w:val="multilevel"/>
    <w:tmpl w:val="63564608"/>
    <w:styleLink w:val="List59"/>
    <w:lvl w:ilvl="0">
      <w:numFmt w:val="bullet"/>
      <w:lvlText w:val="-"/>
      <w:lvlJc w:val="left"/>
      <w:pPr>
        <w:tabs>
          <w:tab w:val="num" w:pos="1038"/>
        </w:tabs>
        <w:ind w:left="1038" w:hanging="330"/>
      </w:pPr>
      <w:rPr>
        <w:i/>
        <w:iCs/>
        <w:color w:val="000000"/>
        <w:position w:val="0"/>
        <w:sz w:val="22"/>
        <w:szCs w:val="22"/>
      </w:rPr>
    </w:lvl>
    <w:lvl w:ilvl="1">
      <w:start w:val="1"/>
      <w:numFmt w:val="decimal"/>
      <w:lvlText w:val="%2."/>
      <w:lvlJc w:val="left"/>
      <w:pPr>
        <w:tabs>
          <w:tab w:val="num" w:pos="1788"/>
        </w:tabs>
        <w:ind w:left="1788"/>
      </w:pPr>
      <w:rPr>
        <w:i/>
        <w:iCs/>
        <w:color w:val="000000"/>
        <w:position w:val="0"/>
        <w:sz w:val="22"/>
        <w:szCs w:val="22"/>
      </w:rPr>
    </w:lvl>
    <w:lvl w:ilvl="2">
      <w:start w:val="1"/>
      <w:numFmt w:val="bullet"/>
      <w:lvlText w:val=""/>
      <w:lvlJc w:val="left"/>
      <w:pPr>
        <w:tabs>
          <w:tab w:val="num" w:pos="2508"/>
        </w:tabs>
        <w:ind w:left="2508"/>
      </w:pPr>
      <w:rPr>
        <w:i/>
        <w:iCs/>
        <w:color w:val="000000"/>
        <w:position w:val="0"/>
        <w:sz w:val="20"/>
        <w:szCs w:val="20"/>
      </w:rPr>
    </w:lvl>
    <w:lvl w:ilvl="3">
      <w:start w:val="1"/>
      <w:numFmt w:val="bullet"/>
      <w:lvlText w:val="•"/>
      <w:lvlJc w:val="left"/>
      <w:pPr>
        <w:tabs>
          <w:tab w:val="num" w:pos="3228"/>
        </w:tabs>
        <w:ind w:left="3228"/>
      </w:pPr>
      <w:rPr>
        <w:i/>
        <w:iCs/>
        <w:color w:val="000000"/>
        <w:position w:val="0"/>
        <w:sz w:val="20"/>
        <w:szCs w:val="20"/>
      </w:rPr>
    </w:lvl>
    <w:lvl w:ilvl="4">
      <w:start w:val="1"/>
      <w:numFmt w:val="upperLetter"/>
      <w:lvlText w:val="%5."/>
      <w:lvlJc w:val="left"/>
      <w:pPr>
        <w:tabs>
          <w:tab w:val="num" w:pos="3948"/>
        </w:tabs>
        <w:ind w:left="3948"/>
      </w:pPr>
      <w:rPr>
        <w:i/>
        <w:iCs/>
        <w:color w:val="000000"/>
        <w:position w:val="0"/>
        <w:sz w:val="22"/>
        <w:szCs w:val="22"/>
      </w:rPr>
    </w:lvl>
    <w:lvl w:ilvl="5">
      <w:start w:val="1"/>
      <w:numFmt w:val="upperLetter"/>
      <w:lvlText w:val="%6."/>
      <w:lvlJc w:val="left"/>
      <w:pPr>
        <w:tabs>
          <w:tab w:val="num" w:pos="4668"/>
        </w:tabs>
        <w:ind w:left="4668"/>
      </w:pPr>
      <w:rPr>
        <w:i/>
        <w:iCs/>
        <w:color w:val="000000"/>
        <w:position w:val="0"/>
        <w:sz w:val="22"/>
        <w:szCs w:val="22"/>
      </w:rPr>
    </w:lvl>
    <w:lvl w:ilvl="6">
      <w:start w:val="1"/>
      <w:numFmt w:val="decimal"/>
      <w:lvlText w:val="%7."/>
      <w:lvlJc w:val="left"/>
      <w:pPr>
        <w:tabs>
          <w:tab w:val="num" w:pos="5388"/>
        </w:tabs>
        <w:ind w:left="5388"/>
      </w:pPr>
      <w:rPr>
        <w:i/>
        <w:iCs/>
        <w:color w:val="000000"/>
        <w:position w:val="0"/>
        <w:sz w:val="22"/>
        <w:szCs w:val="22"/>
      </w:rPr>
    </w:lvl>
    <w:lvl w:ilvl="7">
      <w:start w:val="1"/>
      <w:numFmt w:val="bullet"/>
      <w:lvlText w:val="o"/>
      <w:lvlJc w:val="left"/>
      <w:pPr>
        <w:tabs>
          <w:tab w:val="num" w:pos="6108"/>
        </w:tabs>
        <w:ind w:left="6108"/>
      </w:pPr>
      <w:rPr>
        <w:i/>
        <w:iCs/>
        <w:color w:val="000000"/>
        <w:position w:val="0"/>
        <w:sz w:val="20"/>
        <w:szCs w:val="20"/>
      </w:rPr>
    </w:lvl>
    <w:lvl w:ilvl="8">
      <w:start w:val="1"/>
      <w:numFmt w:val="upperRoman"/>
      <w:lvlText w:val="%9."/>
      <w:lvlJc w:val="left"/>
      <w:pPr>
        <w:tabs>
          <w:tab w:val="num" w:pos="7188"/>
        </w:tabs>
        <w:ind w:left="7188"/>
      </w:pPr>
      <w:rPr>
        <w:i/>
        <w:iCs/>
        <w:color w:val="000000"/>
        <w:position w:val="0"/>
        <w:sz w:val="22"/>
        <w:szCs w:val="22"/>
      </w:rPr>
    </w:lvl>
  </w:abstractNum>
  <w:abstractNum w:abstractNumId="137">
    <w:nsid w:val="6ECA7BA7"/>
    <w:multiLevelType w:val="multilevel"/>
    <w:tmpl w:val="186672DE"/>
    <w:styleLink w:val="List21"/>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38">
    <w:nsid w:val="7262710E"/>
    <w:multiLevelType w:val="multilevel"/>
    <w:tmpl w:val="CA84E058"/>
    <w:styleLink w:val="List97"/>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39">
    <w:nsid w:val="72631F9D"/>
    <w:multiLevelType w:val="multilevel"/>
    <w:tmpl w:val="0C8CD33E"/>
    <w:styleLink w:val="List72"/>
    <w:lvl w:ilvl="0">
      <w:start w:val="1"/>
      <w:numFmt w:val="upperLetter"/>
      <w:lvlText w:val="%1."/>
      <w:lvlJc w:val="left"/>
      <w:pPr>
        <w:tabs>
          <w:tab w:val="num" w:pos="2460"/>
        </w:tabs>
        <w:ind w:left="2460" w:hanging="330"/>
      </w:pPr>
      <w:rPr>
        <w:color w:val="000000"/>
        <w:position w:val="0"/>
        <w:sz w:val="22"/>
        <w:szCs w:val="22"/>
      </w:rPr>
    </w:lvl>
    <w:lvl w:ilvl="1">
      <w:start w:val="1"/>
      <w:numFmt w:val="decimal"/>
      <w:lvlText w:val="%2."/>
      <w:lvlJc w:val="left"/>
      <w:pPr>
        <w:tabs>
          <w:tab w:val="num" w:pos="3210"/>
        </w:tabs>
        <w:ind w:left="3210"/>
      </w:pPr>
      <w:rPr>
        <w:color w:val="000000"/>
        <w:position w:val="0"/>
        <w:sz w:val="22"/>
        <w:szCs w:val="22"/>
      </w:rPr>
    </w:lvl>
    <w:lvl w:ilvl="2">
      <w:start w:val="1"/>
      <w:numFmt w:val="lowerRoman"/>
      <w:lvlText w:val="%3."/>
      <w:lvlJc w:val="left"/>
      <w:pPr>
        <w:tabs>
          <w:tab w:val="num" w:pos="3930"/>
        </w:tabs>
        <w:ind w:left="3930"/>
      </w:pPr>
      <w:rPr>
        <w:color w:val="000000"/>
        <w:position w:val="0"/>
        <w:sz w:val="22"/>
        <w:szCs w:val="22"/>
      </w:rPr>
    </w:lvl>
    <w:lvl w:ilvl="3">
      <w:start w:val="1"/>
      <w:numFmt w:val="decimal"/>
      <w:lvlText w:val="%4."/>
      <w:lvlJc w:val="left"/>
      <w:pPr>
        <w:tabs>
          <w:tab w:val="num" w:pos="4650"/>
        </w:tabs>
        <w:ind w:left="4650"/>
      </w:pPr>
      <w:rPr>
        <w:color w:val="000000"/>
        <w:position w:val="0"/>
        <w:sz w:val="22"/>
        <w:szCs w:val="22"/>
      </w:rPr>
    </w:lvl>
    <w:lvl w:ilvl="4">
      <w:start w:val="1"/>
      <w:numFmt w:val="lowerLetter"/>
      <w:lvlText w:val="%5."/>
      <w:lvlJc w:val="left"/>
      <w:pPr>
        <w:tabs>
          <w:tab w:val="num" w:pos="5370"/>
        </w:tabs>
        <w:ind w:left="5370"/>
      </w:pPr>
      <w:rPr>
        <w:color w:val="000000"/>
        <w:position w:val="0"/>
        <w:sz w:val="22"/>
        <w:szCs w:val="22"/>
      </w:rPr>
    </w:lvl>
    <w:lvl w:ilvl="5">
      <w:start w:val="1"/>
      <w:numFmt w:val="lowerRoman"/>
      <w:lvlText w:val="%6."/>
      <w:lvlJc w:val="left"/>
      <w:pPr>
        <w:tabs>
          <w:tab w:val="num" w:pos="6090"/>
        </w:tabs>
        <w:ind w:left="6090"/>
      </w:pPr>
      <w:rPr>
        <w:color w:val="000000"/>
        <w:position w:val="0"/>
        <w:sz w:val="22"/>
        <w:szCs w:val="22"/>
      </w:rPr>
    </w:lvl>
    <w:lvl w:ilvl="6">
      <w:start w:val="1"/>
      <w:numFmt w:val="decimal"/>
      <w:lvlText w:val="%7."/>
      <w:lvlJc w:val="left"/>
      <w:pPr>
        <w:tabs>
          <w:tab w:val="num" w:pos="6810"/>
        </w:tabs>
        <w:ind w:left="6810"/>
      </w:pPr>
      <w:rPr>
        <w:color w:val="000000"/>
        <w:position w:val="0"/>
        <w:sz w:val="22"/>
        <w:szCs w:val="22"/>
      </w:rPr>
    </w:lvl>
    <w:lvl w:ilvl="7">
      <w:start w:val="1"/>
      <w:numFmt w:val="lowerLetter"/>
      <w:lvlText w:val="%8."/>
      <w:lvlJc w:val="left"/>
      <w:pPr>
        <w:tabs>
          <w:tab w:val="num" w:pos="7530"/>
        </w:tabs>
        <w:ind w:left="7530"/>
      </w:pPr>
      <w:rPr>
        <w:color w:val="000000"/>
        <w:position w:val="0"/>
        <w:sz w:val="22"/>
        <w:szCs w:val="22"/>
      </w:rPr>
    </w:lvl>
    <w:lvl w:ilvl="8">
      <w:start w:val="1"/>
      <w:numFmt w:val="lowerRoman"/>
      <w:lvlText w:val="%9."/>
      <w:lvlJc w:val="left"/>
      <w:pPr>
        <w:tabs>
          <w:tab w:val="num" w:pos="8250"/>
        </w:tabs>
        <w:ind w:left="8250"/>
      </w:pPr>
      <w:rPr>
        <w:color w:val="000000"/>
        <w:position w:val="0"/>
        <w:sz w:val="22"/>
        <w:szCs w:val="22"/>
      </w:rPr>
    </w:lvl>
  </w:abstractNum>
  <w:abstractNum w:abstractNumId="140">
    <w:nsid w:val="72783D36"/>
    <w:multiLevelType w:val="multilevel"/>
    <w:tmpl w:val="DEFE45A4"/>
    <w:styleLink w:val="List86"/>
    <w:lvl w:ilvl="0">
      <w:numFmt w:val="bullet"/>
      <w:lvlText w:val="-"/>
      <w:lvlJc w:val="left"/>
      <w:pPr>
        <w:tabs>
          <w:tab w:val="num" w:pos="1050"/>
        </w:tabs>
        <w:ind w:left="1050" w:hanging="330"/>
      </w:pPr>
      <w:rPr>
        <w:color w:val="000000"/>
        <w:position w:val="0"/>
        <w:sz w:val="24"/>
        <w:szCs w:val="24"/>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start w:val="1"/>
      <w:numFmt w:val="bullet"/>
      <w:lvlText w:val="•"/>
      <w:lvlJc w:val="left"/>
      <w:pPr>
        <w:tabs>
          <w:tab w:val="num" w:pos="3228"/>
        </w:tabs>
        <w:ind w:left="3228"/>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141">
    <w:nsid w:val="73DB5B87"/>
    <w:multiLevelType w:val="multilevel"/>
    <w:tmpl w:val="07269326"/>
    <w:styleLink w:val="List105"/>
    <w:lvl w:ilvl="0">
      <w:numFmt w:val="bullet"/>
      <w:lvlText w:val="-"/>
      <w:lvlJc w:val="left"/>
      <w:pPr>
        <w:tabs>
          <w:tab w:val="num" w:pos="1059"/>
        </w:tabs>
        <w:ind w:left="1059" w:hanging="99"/>
      </w:pPr>
      <w:rPr>
        <w:color w:val="000000"/>
        <w:position w:val="0"/>
        <w:sz w:val="24"/>
        <w:szCs w:val="24"/>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start w:val="1"/>
      <w:numFmt w:val="bullet"/>
      <w:lvlText w:val="•"/>
      <w:lvlJc w:val="left"/>
      <w:pPr>
        <w:tabs>
          <w:tab w:val="num" w:pos="3228"/>
        </w:tabs>
        <w:ind w:left="3228"/>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5388"/>
        </w:tabs>
        <w:ind w:left="5388"/>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142">
    <w:nsid w:val="74FF343A"/>
    <w:multiLevelType w:val="multilevel"/>
    <w:tmpl w:val="B32636DA"/>
    <w:styleLink w:val="List93"/>
    <w:lvl w:ilvl="0">
      <w:start w:val="1"/>
      <w:numFmt w:val="bullet"/>
      <w:lvlText w:val="-"/>
      <w:lvlJc w:val="left"/>
      <w:pPr>
        <w:tabs>
          <w:tab w:val="num" w:pos="1068"/>
        </w:tabs>
        <w:ind w:left="1068"/>
      </w:pPr>
      <w:rPr>
        <w:color w:val="000000"/>
        <w:position w:val="0"/>
        <w:sz w:val="22"/>
        <w:szCs w:val="22"/>
      </w:rPr>
    </w:lvl>
    <w:lvl w:ilvl="1">
      <w:start w:val="1"/>
      <w:numFmt w:val="decimal"/>
      <w:lvlText w:val="%2."/>
      <w:lvlJc w:val="left"/>
      <w:pPr>
        <w:tabs>
          <w:tab w:val="num" w:pos="1788"/>
        </w:tabs>
        <w:ind w:left="1788"/>
      </w:pPr>
      <w:rPr>
        <w:color w:val="000000"/>
        <w:position w:val="0"/>
        <w:sz w:val="22"/>
        <w:szCs w:val="22"/>
      </w:rPr>
    </w:lvl>
    <w:lvl w:ilvl="2">
      <w:start w:val="1"/>
      <w:numFmt w:val="bullet"/>
      <w:lvlText w:val=""/>
      <w:lvlJc w:val="left"/>
      <w:pPr>
        <w:tabs>
          <w:tab w:val="num" w:pos="2508"/>
        </w:tabs>
        <w:ind w:left="2508"/>
      </w:pPr>
      <w:rPr>
        <w:color w:val="000000"/>
        <w:position w:val="0"/>
        <w:sz w:val="22"/>
        <w:szCs w:val="22"/>
      </w:rPr>
    </w:lvl>
    <w:lvl w:ilvl="3">
      <w:start w:val="1"/>
      <w:numFmt w:val="bullet"/>
      <w:lvlText w:val="•"/>
      <w:lvlJc w:val="left"/>
      <w:pPr>
        <w:tabs>
          <w:tab w:val="num" w:pos="3228"/>
        </w:tabs>
        <w:ind w:left="3228"/>
      </w:pPr>
      <w:rPr>
        <w:color w:val="000000"/>
        <w:position w:val="0"/>
        <w:sz w:val="22"/>
        <w:szCs w:val="22"/>
      </w:rPr>
    </w:lvl>
    <w:lvl w:ilvl="4">
      <w:start w:val="1"/>
      <w:numFmt w:val="upperLetter"/>
      <w:lvlText w:val="%5."/>
      <w:lvlJc w:val="left"/>
      <w:pPr>
        <w:tabs>
          <w:tab w:val="num" w:pos="3948"/>
        </w:tabs>
        <w:ind w:left="3948"/>
      </w:pPr>
      <w:rPr>
        <w:color w:val="000000"/>
        <w:position w:val="0"/>
        <w:sz w:val="22"/>
        <w:szCs w:val="22"/>
      </w:rPr>
    </w:lvl>
    <w:lvl w:ilvl="5">
      <w:start w:val="1"/>
      <w:numFmt w:val="upperLetter"/>
      <w:lvlText w:val="%6."/>
      <w:lvlJc w:val="left"/>
      <w:pPr>
        <w:tabs>
          <w:tab w:val="num" w:pos="4668"/>
        </w:tabs>
        <w:ind w:left="4668"/>
      </w:pPr>
      <w:rPr>
        <w:color w:val="000000"/>
        <w:position w:val="0"/>
        <w:sz w:val="22"/>
        <w:szCs w:val="22"/>
      </w:rPr>
    </w:lvl>
    <w:lvl w:ilvl="6">
      <w:start w:val="1"/>
      <w:numFmt w:val="decimal"/>
      <w:lvlText w:val="%7."/>
      <w:lvlJc w:val="left"/>
      <w:pPr>
        <w:tabs>
          <w:tab w:val="num" w:pos="1170"/>
        </w:tabs>
        <w:ind w:left="1170" w:hanging="330"/>
      </w:pPr>
      <w:rPr>
        <w:color w:val="000000"/>
        <w:position w:val="0"/>
        <w:sz w:val="22"/>
        <w:szCs w:val="22"/>
      </w:rPr>
    </w:lvl>
    <w:lvl w:ilvl="7">
      <w:start w:val="1"/>
      <w:numFmt w:val="bullet"/>
      <w:lvlText w:val="o"/>
      <w:lvlJc w:val="left"/>
      <w:pPr>
        <w:tabs>
          <w:tab w:val="num" w:pos="6108"/>
        </w:tabs>
        <w:ind w:left="6108"/>
      </w:pPr>
      <w:rPr>
        <w:color w:val="000000"/>
        <w:position w:val="0"/>
        <w:sz w:val="22"/>
        <w:szCs w:val="22"/>
      </w:rPr>
    </w:lvl>
    <w:lvl w:ilvl="8">
      <w:start w:val="1"/>
      <w:numFmt w:val="upperRoman"/>
      <w:lvlText w:val="%9."/>
      <w:lvlJc w:val="left"/>
      <w:pPr>
        <w:tabs>
          <w:tab w:val="num" w:pos="7188"/>
        </w:tabs>
        <w:ind w:left="7188"/>
      </w:pPr>
      <w:rPr>
        <w:color w:val="000000"/>
        <w:position w:val="0"/>
        <w:sz w:val="22"/>
        <w:szCs w:val="22"/>
      </w:rPr>
    </w:lvl>
  </w:abstractNum>
  <w:abstractNum w:abstractNumId="143">
    <w:nsid w:val="7646225C"/>
    <w:multiLevelType w:val="multilevel"/>
    <w:tmpl w:val="C09E1F04"/>
    <w:styleLink w:val="List143"/>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44">
    <w:nsid w:val="77AB3BA1"/>
    <w:multiLevelType w:val="multilevel"/>
    <w:tmpl w:val="89EE0592"/>
    <w:styleLink w:val="List113"/>
    <w:lvl w:ilvl="0">
      <w:start w:val="1"/>
      <w:numFmt w:val="decimal"/>
      <w:lvlText w:val="%1."/>
      <w:lvlJc w:val="left"/>
      <w:pPr>
        <w:tabs>
          <w:tab w:val="num" w:pos="690"/>
        </w:tabs>
        <w:ind w:left="690" w:hanging="330"/>
      </w:pPr>
      <w:rPr>
        <w:color w:val="000000"/>
        <w:position w:val="0"/>
        <w:sz w:val="22"/>
        <w:szCs w:val="22"/>
      </w:rPr>
    </w:lvl>
    <w:lvl w:ilvl="1">
      <w:start w:val="1"/>
      <w:numFmt w:val="decimal"/>
      <w:lvlText w:val="%2."/>
      <w:lvlJc w:val="left"/>
      <w:pPr>
        <w:tabs>
          <w:tab w:val="num" w:pos="1440"/>
        </w:tabs>
        <w:ind w:left="1440"/>
      </w:pPr>
      <w:rPr>
        <w:color w:val="000000"/>
        <w:position w:val="0"/>
        <w:sz w:val="22"/>
        <w:szCs w:val="22"/>
      </w:rPr>
    </w:lvl>
    <w:lvl w:ilvl="2">
      <w:start w:val="1"/>
      <w:numFmt w:val="lowerRoman"/>
      <w:lvlText w:val="%3."/>
      <w:lvlJc w:val="left"/>
      <w:pPr>
        <w:tabs>
          <w:tab w:val="num" w:pos="2160"/>
        </w:tabs>
        <w:ind w:left="2160"/>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45">
    <w:nsid w:val="7A3C2817"/>
    <w:multiLevelType w:val="multilevel"/>
    <w:tmpl w:val="71C86AB6"/>
    <w:styleLink w:val="List88"/>
    <w:lvl w:ilvl="0">
      <w:start w:val="1"/>
      <w:numFmt w:val="decimal"/>
      <w:lvlText w:val="%1."/>
      <w:lvlJc w:val="left"/>
      <w:pPr>
        <w:tabs>
          <w:tab w:val="num" w:pos="1200"/>
        </w:tabs>
        <w:ind w:left="1200"/>
      </w:pPr>
      <w:rPr>
        <w:color w:val="000000"/>
        <w:position w:val="0"/>
        <w:sz w:val="22"/>
        <w:szCs w:val="22"/>
      </w:rPr>
    </w:lvl>
    <w:lvl w:ilvl="1">
      <w:start w:val="1"/>
      <w:numFmt w:val="lowerLetter"/>
      <w:lvlText w:val="%2."/>
      <w:lvlJc w:val="left"/>
      <w:pPr>
        <w:tabs>
          <w:tab w:val="num" w:pos="1890"/>
        </w:tabs>
        <w:ind w:left="1890" w:hanging="330"/>
      </w:pPr>
      <w:rPr>
        <w:color w:val="000000"/>
        <w:position w:val="0"/>
        <w:sz w:val="22"/>
        <w:szCs w:val="22"/>
      </w:rPr>
    </w:lvl>
    <w:lvl w:ilvl="2">
      <w:start w:val="1"/>
      <w:numFmt w:val="lowerRoman"/>
      <w:lvlText w:val="%3."/>
      <w:lvlJc w:val="left"/>
      <w:pPr>
        <w:tabs>
          <w:tab w:val="num" w:pos="2640"/>
        </w:tabs>
        <w:ind w:left="2640"/>
      </w:pPr>
      <w:rPr>
        <w:color w:val="000000"/>
        <w:position w:val="0"/>
        <w:sz w:val="22"/>
        <w:szCs w:val="22"/>
      </w:rPr>
    </w:lvl>
    <w:lvl w:ilvl="3">
      <w:start w:val="1"/>
      <w:numFmt w:val="decimal"/>
      <w:lvlText w:val="%4."/>
      <w:lvlJc w:val="left"/>
      <w:pPr>
        <w:tabs>
          <w:tab w:val="num" w:pos="3360"/>
        </w:tabs>
        <w:ind w:left="3360"/>
      </w:pPr>
      <w:rPr>
        <w:color w:val="000000"/>
        <w:position w:val="0"/>
        <w:sz w:val="22"/>
        <w:szCs w:val="22"/>
      </w:rPr>
    </w:lvl>
    <w:lvl w:ilvl="4">
      <w:start w:val="1"/>
      <w:numFmt w:val="lowerLetter"/>
      <w:lvlText w:val="%5."/>
      <w:lvlJc w:val="left"/>
      <w:pPr>
        <w:tabs>
          <w:tab w:val="num" w:pos="4080"/>
        </w:tabs>
        <w:ind w:left="4080"/>
      </w:pPr>
      <w:rPr>
        <w:color w:val="000000"/>
        <w:position w:val="0"/>
        <w:sz w:val="22"/>
        <w:szCs w:val="22"/>
      </w:rPr>
    </w:lvl>
    <w:lvl w:ilvl="5">
      <w:start w:val="1"/>
      <w:numFmt w:val="lowerRoman"/>
      <w:lvlText w:val="%6."/>
      <w:lvlJc w:val="left"/>
      <w:pPr>
        <w:tabs>
          <w:tab w:val="num" w:pos="4800"/>
        </w:tabs>
        <w:ind w:left="4800"/>
      </w:pPr>
      <w:rPr>
        <w:color w:val="000000"/>
        <w:position w:val="0"/>
        <w:sz w:val="22"/>
        <w:szCs w:val="22"/>
      </w:rPr>
    </w:lvl>
    <w:lvl w:ilvl="6">
      <w:start w:val="1"/>
      <w:numFmt w:val="decimal"/>
      <w:lvlText w:val="%7."/>
      <w:lvlJc w:val="left"/>
      <w:pPr>
        <w:tabs>
          <w:tab w:val="num" w:pos="5520"/>
        </w:tabs>
        <w:ind w:left="5520"/>
      </w:pPr>
      <w:rPr>
        <w:color w:val="000000"/>
        <w:position w:val="0"/>
        <w:sz w:val="22"/>
        <w:szCs w:val="22"/>
      </w:rPr>
    </w:lvl>
    <w:lvl w:ilvl="7">
      <w:start w:val="1"/>
      <w:numFmt w:val="lowerLetter"/>
      <w:lvlText w:val="%8."/>
      <w:lvlJc w:val="left"/>
      <w:pPr>
        <w:tabs>
          <w:tab w:val="num" w:pos="6240"/>
        </w:tabs>
        <w:ind w:left="6240"/>
      </w:pPr>
      <w:rPr>
        <w:color w:val="000000"/>
        <w:position w:val="0"/>
        <w:sz w:val="22"/>
        <w:szCs w:val="22"/>
      </w:rPr>
    </w:lvl>
    <w:lvl w:ilvl="8">
      <w:start w:val="1"/>
      <w:numFmt w:val="lowerRoman"/>
      <w:lvlText w:val="%9."/>
      <w:lvlJc w:val="left"/>
      <w:pPr>
        <w:tabs>
          <w:tab w:val="num" w:pos="6960"/>
        </w:tabs>
        <w:ind w:left="6960"/>
      </w:pPr>
      <w:rPr>
        <w:color w:val="000000"/>
        <w:position w:val="0"/>
        <w:sz w:val="22"/>
        <w:szCs w:val="22"/>
      </w:rPr>
    </w:lvl>
  </w:abstractNum>
  <w:abstractNum w:abstractNumId="146">
    <w:nsid w:val="7A877116"/>
    <w:multiLevelType w:val="multilevel"/>
    <w:tmpl w:val="5108306C"/>
    <w:styleLink w:val="List35"/>
    <w:lvl w:ilvl="0">
      <w:start w:val="1"/>
      <w:numFmt w:val="bullet"/>
      <w:lvlText w:val="-"/>
      <w:lvlJc w:val="left"/>
      <w:pPr>
        <w:tabs>
          <w:tab w:val="num" w:pos="1068"/>
        </w:tabs>
        <w:ind w:left="1068"/>
      </w:pPr>
      <w:rPr>
        <w:b/>
        <w:bCs/>
        <w:color w:val="000000"/>
        <w:position w:val="0"/>
        <w:sz w:val="22"/>
        <w:szCs w:val="22"/>
      </w:rPr>
    </w:lvl>
    <w:lvl w:ilvl="1">
      <w:start w:val="1"/>
      <w:numFmt w:val="decimal"/>
      <w:lvlText w:val="%2."/>
      <w:lvlJc w:val="left"/>
      <w:pPr>
        <w:tabs>
          <w:tab w:val="num" w:pos="1788"/>
        </w:tabs>
        <w:ind w:left="1788"/>
      </w:pPr>
      <w:rPr>
        <w:b/>
        <w:bCs/>
        <w:color w:val="000000"/>
        <w:position w:val="0"/>
        <w:sz w:val="22"/>
        <w:szCs w:val="22"/>
      </w:rPr>
    </w:lvl>
    <w:lvl w:ilvl="2">
      <w:start w:val="1"/>
      <w:numFmt w:val="bullet"/>
      <w:lvlText w:val=""/>
      <w:lvlJc w:val="left"/>
      <w:pPr>
        <w:tabs>
          <w:tab w:val="num" w:pos="2508"/>
        </w:tabs>
        <w:ind w:left="2508"/>
      </w:pPr>
      <w:rPr>
        <w:b/>
        <w:bCs/>
        <w:color w:val="000000"/>
        <w:position w:val="0"/>
        <w:sz w:val="22"/>
        <w:szCs w:val="22"/>
      </w:rPr>
    </w:lvl>
    <w:lvl w:ilvl="3">
      <w:start w:val="1"/>
      <w:numFmt w:val="bullet"/>
      <w:lvlText w:val="•"/>
      <w:lvlJc w:val="left"/>
      <w:pPr>
        <w:tabs>
          <w:tab w:val="num" w:pos="3228"/>
        </w:tabs>
        <w:ind w:left="3228"/>
      </w:pPr>
      <w:rPr>
        <w:b/>
        <w:bCs/>
        <w:color w:val="000000"/>
        <w:position w:val="0"/>
        <w:sz w:val="22"/>
        <w:szCs w:val="22"/>
      </w:rPr>
    </w:lvl>
    <w:lvl w:ilvl="4">
      <w:start w:val="1"/>
      <w:numFmt w:val="upperLetter"/>
      <w:lvlText w:val="%5."/>
      <w:lvlJc w:val="left"/>
      <w:pPr>
        <w:tabs>
          <w:tab w:val="num" w:pos="3948"/>
        </w:tabs>
        <w:ind w:left="3948"/>
      </w:pPr>
      <w:rPr>
        <w:b/>
        <w:bCs/>
        <w:color w:val="000000"/>
        <w:position w:val="0"/>
        <w:sz w:val="22"/>
        <w:szCs w:val="22"/>
      </w:rPr>
    </w:lvl>
    <w:lvl w:ilvl="5">
      <w:start w:val="2"/>
      <w:numFmt w:val="upperLetter"/>
      <w:lvlText w:val="%6."/>
      <w:lvlJc w:val="left"/>
      <w:pPr>
        <w:tabs>
          <w:tab w:val="num" w:pos="930"/>
        </w:tabs>
        <w:ind w:left="930" w:hanging="330"/>
      </w:pPr>
      <w:rPr>
        <w:b/>
        <w:bCs/>
        <w:color w:val="000000"/>
        <w:position w:val="0"/>
        <w:sz w:val="22"/>
        <w:szCs w:val="22"/>
      </w:rPr>
    </w:lvl>
    <w:lvl w:ilvl="6">
      <w:start w:val="1"/>
      <w:numFmt w:val="decimal"/>
      <w:lvlText w:val="%7."/>
      <w:lvlJc w:val="left"/>
      <w:pPr>
        <w:tabs>
          <w:tab w:val="num" w:pos="5388"/>
        </w:tabs>
        <w:ind w:left="5388"/>
      </w:pPr>
      <w:rPr>
        <w:b/>
        <w:bCs/>
        <w:color w:val="000000"/>
        <w:position w:val="0"/>
        <w:sz w:val="22"/>
        <w:szCs w:val="22"/>
      </w:rPr>
    </w:lvl>
    <w:lvl w:ilvl="7">
      <w:start w:val="1"/>
      <w:numFmt w:val="bullet"/>
      <w:lvlText w:val="o"/>
      <w:lvlJc w:val="left"/>
      <w:pPr>
        <w:tabs>
          <w:tab w:val="num" w:pos="6108"/>
        </w:tabs>
        <w:ind w:left="6108"/>
      </w:pPr>
      <w:rPr>
        <w:b/>
        <w:bCs/>
        <w:color w:val="000000"/>
        <w:position w:val="0"/>
        <w:sz w:val="22"/>
        <w:szCs w:val="22"/>
      </w:rPr>
    </w:lvl>
    <w:lvl w:ilvl="8">
      <w:start w:val="1"/>
      <w:numFmt w:val="upperRoman"/>
      <w:lvlText w:val="%9."/>
      <w:lvlJc w:val="left"/>
      <w:pPr>
        <w:tabs>
          <w:tab w:val="num" w:pos="7188"/>
        </w:tabs>
        <w:ind w:left="7188"/>
      </w:pPr>
      <w:rPr>
        <w:b/>
        <w:bCs/>
        <w:color w:val="000000"/>
        <w:position w:val="0"/>
        <w:sz w:val="22"/>
        <w:szCs w:val="22"/>
      </w:rPr>
    </w:lvl>
  </w:abstractNum>
  <w:abstractNum w:abstractNumId="147">
    <w:nsid w:val="7A9B6A8E"/>
    <w:multiLevelType w:val="multilevel"/>
    <w:tmpl w:val="5232DB34"/>
    <w:styleLink w:val="List55"/>
    <w:lvl w:ilvl="0">
      <w:start w:val="1"/>
      <w:numFmt w:val="decimal"/>
      <w:lvlText w:val="%1."/>
      <w:lvlJc w:val="left"/>
      <w:pPr>
        <w:tabs>
          <w:tab w:val="num" w:pos="720"/>
        </w:tabs>
        <w:ind w:left="720"/>
      </w:pPr>
      <w:rPr>
        <w:color w:val="000000"/>
        <w:position w:val="0"/>
        <w:sz w:val="22"/>
        <w:szCs w:val="22"/>
      </w:rPr>
    </w:lvl>
    <w:lvl w:ilvl="1">
      <w:start w:val="1"/>
      <w:numFmt w:val="lowerLetter"/>
      <w:lvlText w:val="%2."/>
      <w:lvlJc w:val="left"/>
      <w:pPr>
        <w:tabs>
          <w:tab w:val="num" w:pos="1440"/>
        </w:tabs>
        <w:ind w:left="1440"/>
      </w:pPr>
      <w:rPr>
        <w:color w:val="000000"/>
        <w:position w:val="0"/>
        <w:sz w:val="22"/>
        <w:szCs w:val="22"/>
      </w:rPr>
    </w:lvl>
    <w:lvl w:ilvl="2">
      <w:start w:val="1"/>
      <w:numFmt w:val="lowerRoman"/>
      <w:lvlText w:val="%3."/>
      <w:lvlJc w:val="left"/>
      <w:pPr>
        <w:tabs>
          <w:tab w:val="num" w:pos="2132"/>
        </w:tabs>
        <w:ind w:left="2132" w:hanging="312"/>
      </w:pPr>
      <w:rPr>
        <w:color w:val="000000"/>
        <w:position w:val="0"/>
        <w:sz w:val="22"/>
        <w:szCs w:val="22"/>
      </w:rPr>
    </w:lvl>
    <w:lvl w:ilvl="3">
      <w:start w:val="1"/>
      <w:numFmt w:val="decimal"/>
      <w:lvlText w:val="%4."/>
      <w:lvlJc w:val="left"/>
      <w:pPr>
        <w:tabs>
          <w:tab w:val="num" w:pos="2880"/>
        </w:tabs>
        <w:ind w:left="2880"/>
      </w:pPr>
      <w:rPr>
        <w:color w:val="000000"/>
        <w:position w:val="0"/>
        <w:sz w:val="22"/>
        <w:szCs w:val="22"/>
      </w:rPr>
    </w:lvl>
    <w:lvl w:ilvl="4">
      <w:start w:val="1"/>
      <w:numFmt w:val="lowerLetter"/>
      <w:lvlText w:val="%5."/>
      <w:lvlJc w:val="left"/>
      <w:pPr>
        <w:tabs>
          <w:tab w:val="num" w:pos="3600"/>
        </w:tabs>
        <w:ind w:left="3600"/>
      </w:pPr>
      <w:rPr>
        <w:color w:val="000000"/>
        <w:position w:val="0"/>
        <w:sz w:val="22"/>
        <w:szCs w:val="22"/>
      </w:rPr>
    </w:lvl>
    <w:lvl w:ilvl="5">
      <w:start w:val="1"/>
      <w:numFmt w:val="lowerRoman"/>
      <w:lvlText w:val="%6."/>
      <w:lvlJc w:val="left"/>
      <w:pPr>
        <w:tabs>
          <w:tab w:val="num" w:pos="4320"/>
        </w:tabs>
        <w:ind w:left="4320"/>
      </w:pPr>
      <w:rPr>
        <w:color w:val="000000"/>
        <w:position w:val="0"/>
        <w:sz w:val="22"/>
        <w:szCs w:val="22"/>
      </w:rPr>
    </w:lvl>
    <w:lvl w:ilvl="6">
      <w:start w:val="1"/>
      <w:numFmt w:val="decimal"/>
      <w:lvlText w:val="%7."/>
      <w:lvlJc w:val="left"/>
      <w:pPr>
        <w:tabs>
          <w:tab w:val="num" w:pos="5040"/>
        </w:tabs>
        <w:ind w:left="5040"/>
      </w:pPr>
      <w:rPr>
        <w:color w:val="000000"/>
        <w:position w:val="0"/>
        <w:sz w:val="22"/>
        <w:szCs w:val="22"/>
      </w:rPr>
    </w:lvl>
    <w:lvl w:ilvl="7">
      <w:start w:val="1"/>
      <w:numFmt w:val="lowerLetter"/>
      <w:lvlText w:val="%8."/>
      <w:lvlJc w:val="left"/>
      <w:pPr>
        <w:tabs>
          <w:tab w:val="num" w:pos="5760"/>
        </w:tabs>
        <w:ind w:left="5760"/>
      </w:pPr>
      <w:rPr>
        <w:color w:val="000000"/>
        <w:position w:val="0"/>
        <w:sz w:val="22"/>
        <w:szCs w:val="22"/>
      </w:rPr>
    </w:lvl>
    <w:lvl w:ilvl="8">
      <w:start w:val="1"/>
      <w:numFmt w:val="lowerRoman"/>
      <w:lvlText w:val="%9."/>
      <w:lvlJc w:val="left"/>
      <w:pPr>
        <w:tabs>
          <w:tab w:val="num" w:pos="6480"/>
        </w:tabs>
        <w:ind w:left="6480"/>
      </w:pPr>
      <w:rPr>
        <w:color w:val="000000"/>
        <w:position w:val="0"/>
        <w:sz w:val="22"/>
        <w:szCs w:val="22"/>
      </w:rPr>
    </w:lvl>
  </w:abstractNum>
  <w:abstractNum w:abstractNumId="148">
    <w:nsid w:val="7C0E6D29"/>
    <w:multiLevelType w:val="multilevel"/>
    <w:tmpl w:val="338271DC"/>
    <w:styleLink w:val="List98"/>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49">
    <w:nsid w:val="7C191398"/>
    <w:multiLevelType w:val="multilevel"/>
    <w:tmpl w:val="AD261C6E"/>
    <w:styleLink w:val="List108"/>
    <w:lvl w:ilvl="0">
      <w:start w:val="1"/>
      <w:numFmt w:val="decimal"/>
      <w:lvlText w:val="%1."/>
      <w:lvlJc w:val="left"/>
      <w:pPr>
        <w:tabs>
          <w:tab w:val="num" w:pos="690"/>
        </w:tabs>
        <w:ind w:left="690" w:hanging="330"/>
      </w:pPr>
      <w:rPr>
        <w:color w:val="000000"/>
        <w:position w:val="0"/>
        <w:sz w:val="22"/>
        <w:szCs w:val="22"/>
      </w:rPr>
    </w:lvl>
    <w:lvl w:ilvl="1">
      <w:start w:val="1"/>
      <w:numFmt w:val="decimal"/>
      <w:lvlText w:val="%1.%2."/>
      <w:lvlJc w:val="left"/>
      <w:pPr>
        <w:tabs>
          <w:tab w:val="num" w:pos="720"/>
        </w:tabs>
        <w:ind w:left="720"/>
      </w:pPr>
      <w:rPr>
        <w:color w:val="000000"/>
        <w:position w:val="0"/>
        <w:sz w:val="22"/>
        <w:szCs w:val="22"/>
      </w:rPr>
    </w:lvl>
    <w:lvl w:ilvl="2">
      <w:start w:val="1"/>
      <w:numFmt w:val="decimal"/>
      <w:lvlText w:val="%2."/>
      <w:lvlJc w:val="left"/>
      <w:pPr>
        <w:tabs>
          <w:tab w:val="num" w:pos="2160"/>
        </w:tabs>
        <w:ind w:left="1440"/>
      </w:pPr>
      <w:rPr>
        <w:color w:val="000000"/>
        <w:position w:val="0"/>
        <w:sz w:val="22"/>
        <w:szCs w:val="22"/>
      </w:rPr>
    </w:lvl>
    <w:lvl w:ilvl="3">
      <w:start w:val="1"/>
      <w:numFmt w:val="decimal"/>
      <w:lvlText w:val="%2."/>
      <w:lvlJc w:val="left"/>
      <w:pPr>
        <w:tabs>
          <w:tab w:val="num" w:pos="3600"/>
        </w:tabs>
        <w:ind w:left="2160"/>
      </w:pPr>
      <w:rPr>
        <w:color w:val="000000"/>
        <w:position w:val="0"/>
        <w:sz w:val="22"/>
        <w:szCs w:val="22"/>
      </w:rPr>
    </w:lvl>
    <w:lvl w:ilvl="4">
      <w:start w:val="1"/>
      <w:numFmt w:val="decimal"/>
      <w:lvlText w:val="%2."/>
      <w:lvlJc w:val="left"/>
      <w:pPr>
        <w:tabs>
          <w:tab w:val="num" w:pos="5040"/>
        </w:tabs>
        <w:ind w:left="2880"/>
      </w:pPr>
      <w:rPr>
        <w:color w:val="000000"/>
        <w:position w:val="0"/>
        <w:sz w:val="22"/>
        <w:szCs w:val="22"/>
      </w:rPr>
    </w:lvl>
    <w:lvl w:ilvl="5">
      <w:start w:val="1"/>
      <w:numFmt w:val="decimal"/>
      <w:lvlText w:val="%2."/>
      <w:lvlJc w:val="left"/>
      <w:pPr>
        <w:tabs>
          <w:tab w:val="num" w:pos="6480"/>
        </w:tabs>
        <w:ind w:left="3600"/>
      </w:pPr>
      <w:rPr>
        <w:color w:val="000000"/>
        <w:position w:val="0"/>
        <w:sz w:val="22"/>
        <w:szCs w:val="22"/>
      </w:rPr>
    </w:lvl>
    <w:lvl w:ilvl="6">
      <w:start w:val="1"/>
      <w:numFmt w:val="decimal"/>
      <w:lvlText w:val="%2."/>
      <w:lvlJc w:val="left"/>
      <w:pPr>
        <w:tabs>
          <w:tab w:val="num" w:pos="7920"/>
        </w:tabs>
        <w:ind w:left="4320"/>
      </w:pPr>
      <w:rPr>
        <w:color w:val="000000"/>
        <w:position w:val="0"/>
        <w:sz w:val="22"/>
        <w:szCs w:val="22"/>
      </w:rPr>
    </w:lvl>
    <w:lvl w:ilvl="7">
      <w:start w:val="1"/>
      <w:numFmt w:val="decimal"/>
      <w:lvlText w:val="%2."/>
      <w:lvlJc w:val="left"/>
      <w:pPr>
        <w:tabs>
          <w:tab w:val="num" w:pos="9360"/>
        </w:tabs>
        <w:ind w:left="5040"/>
      </w:pPr>
      <w:rPr>
        <w:color w:val="000000"/>
        <w:position w:val="0"/>
        <w:sz w:val="22"/>
        <w:szCs w:val="22"/>
      </w:rPr>
    </w:lvl>
    <w:lvl w:ilvl="8">
      <w:start w:val="1"/>
      <w:numFmt w:val="decimal"/>
      <w:lvlText w:val="%2."/>
      <w:lvlJc w:val="left"/>
      <w:pPr>
        <w:tabs>
          <w:tab w:val="num" w:pos="10800"/>
        </w:tabs>
        <w:ind w:left="5760"/>
      </w:pPr>
      <w:rPr>
        <w:color w:val="000000"/>
        <w:position w:val="0"/>
        <w:sz w:val="22"/>
        <w:szCs w:val="22"/>
      </w:rPr>
    </w:lvl>
  </w:abstractNum>
  <w:abstractNum w:abstractNumId="150">
    <w:nsid w:val="7E636052"/>
    <w:multiLevelType w:val="multilevel"/>
    <w:tmpl w:val="F24A8A40"/>
    <w:styleLink w:val="List69"/>
    <w:lvl w:ilvl="0">
      <w:start w:val="1"/>
      <w:numFmt w:val="decimal"/>
      <w:lvlText w:val="%1."/>
      <w:lvlJc w:val="left"/>
      <w:pPr>
        <w:tabs>
          <w:tab w:val="num" w:pos="1773"/>
        </w:tabs>
        <w:ind w:left="1773"/>
      </w:pPr>
      <w:rPr>
        <w:b/>
        <w:bCs/>
        <w:color w:val="000000"/>
        <w:position w:val="0"/>
        <w:sz w:val="22"/>
        <w:szCs w:val="22"/>
      </w:rPr>
    </w:lvl>
    <w:lvl w:ilvl="1">
      <w:start w:val="1"/>
      <w:numFmt w:val="lowerLetter"/>
      <w:lvlText w:val="%2."/>
      <w:lvlJc w:val="left"/>
      <w:pPr>
        <w:tabs>
          <w:tab w:val="num" w:pos="2493"/>
        </w:tabs>
        <w:ind w:left="2493"/>
      </w:pPr>
      <w:rPr>
        <w:b/>
        <w:bCs/>
        <w:color w:val="000000"/>
        <w:position w:val="0"/>
        <w:sz w:val="22"/>
        <w:szCs w:val="22"/>
      </w:rPr>
    </w:lvl>
    <w:lvl w:ilvl="2">
      <w:start w:val="1"/>
      <w:numFmt w:val="lowerRoman"/>
      <w:lvlText w:val="%3."/>
      <w:lvlJc w:val="left"/>
      <w:pPr>
        <w:tabs>
          <w:tab w:val="num" w:pos="3213"/>
        </w:tabs>
        <w:ind w:left="3213"/>
      </w:pPr>
      <w:rPr>
        <w:b/>
        <w:bCs/>
        <w:color w:val="000000"/>
        <w:position w:val="0"/>
        <w:sz w:val="22"/>
        <w:szCs w:val="22"/>
      </w:rPr>
    </w:lvl>
    <w:lvl w:ilvl="3">
      <w:start w:val="1"/>
      <w:numFmt w:val="decimal"/>
      <w:lvlText w:val="%4."/>
      <w:lvlJc w:val="left"/>
      <w:pPr>
        <w:tabs>
          <w:tab w:val="num" w:pos="3933"/>
        </w:tabs>
        <w:ind w:left="3933"/>
      </w:pPr>
      <w:rPr>
        <w:b/>
        <w:bCs/>
        <w:color w:val="000000"/>
        <w:position w:val="0"/>
        <w:sz w:val="22"/>
        <w:szCs w:val="22"/>
      </w:rPr>
    </w:lvl>
    <w:lvl w:ilvl="4">
      <w:start w:val="2"/>
      <w:numFmt w:val="upperLetter"/>
      <w:lvlText w:val="%5."/>
      <w:lvlJc w:val="left"/>
      <w:pPr>
        <w:tabs>
          <w:tab w:val="num" w:pos="570"/>
        </w:tabs>
        <w:ind w:left="570" w:hanging="330"/>
      </w:pPr>
      <w:rPr>
        <w:b/>
        <w:bCs/>
        <w:color w:val="000000"/>
        <w:position w:val="0"/>
        <w:sz w:val="22"/>
        <w:szCs w:val="22"/>
      </w:rPr>
    </w:lvl>
    <w:lvl w:ilvl="5">
      <w:start w:val="1"/>
      <w:numFmt w:val="lowerRoman"/>
      <w:lvlText w:val="%6)"/>
      <w:lvlJc w:val="left"/>
      <w:pPr>
        <w:tabs>
          <w:tab w:val="num" w:pos="5913"/>
        </w:tabs>
        <w:ind w:left="5913"/>
      </w:pPr>
      <w:rPr>
        <w:b/>
        <w:bCs/>
        <w:color w:val="000000"/>
        <w:position w:val="0"/>
        <w:sz w:val="22"/>
        <w:szCs w:val="22"/>
      </w:rPr>
    </w:lvl>
    <w:lvl w:ilvl="6">
      <w:start w:val="1"/>
      <w:numFmt w:val="decimal"/>
      <w:lvlText w:val="%7)"/>
      <w:lvlJc w:val="left"/>
      <w:pPr>
        <w:tabs>
          <w:tab w:val="num" w:pos="6093"/>
        </w:tabs>
        <w:ind w:left="6093"/>
      </w:pPr>
      <w:rPr>
        <w:b/>
        <w:bCs/>
        <w:color w:val="000000"/>
        <w:position w:val="0"/>
        <w:sz w:val="22"/>
        <w:szCs w:val="22"/>
      </w:rPr>
    </w:lvl>
    <w:lvl w:ilvl="7">
      <w:start w:val="1"/>
      <w:numFmt w:val="lowerLetter"/>
      <w:lvlText w:val="%8."/>
      <w:lvlJc w:val="left"/>
      <w:pPr>
        <w:tabs>
          <w:tab w:val="num" w:pos="6813"/>
        </w:tabs>
        <w:ind w:left="6813"/>
      </w:pPr>
      <w:rPr>
        <w:b/>
        <w:bCs/>
        <w:color w:val="000000"/>
        <w:position w:val="0"/>
        <w:sz w:val="22"/>
        <w:szCs w:val="22"/>
      </w:rPr>
    </w:lvl>
    <w:lvl w:ilvl="8">
      <w:start w:val="1"/>
      <w:numFmt w:val="lowerRoman"/>
      <w:lvlText w:val="%9."/>
      <w:lvlJc w:val="left"/>
      <w:pPr>
        <w:tabs>
          <w:tab w:val="num" w:pos="7533"/>
        </w:tabs>
        <w:ind w:left="7533"/>
      </w:pPr>
      <w:rPr>
        <w:b/>
        <w:bCs/>
        <w:color w:val="000000"/>
        <w:position w:val="0"/>
        <w:sz w:val="22"/>
        <w:szCs w:val="22"/>
      </w:rPr>
    </w:lvl>
  </w:abstractNum>
  <w:num w:numId="1">
    <w:abstractNumId w:val="105"/>
  </w:num>
  <w:num w:numId="2">
    <w:abstractNumId w:val="37"/>
  </w:num>
  <w:num w:numId="3">
    <w:abstractNumId w:val="35"/>
  </w:num>
  <w:num w:numId="4">
    <w:abstractNumId w:val="121"/>
  </w:num>
  <w:num w:numId="5">
    <w:abstractNumId w:val="119"/>
  </w:num>
  <w:num w:numId="6">
    <w:abstractNumId w:val="39"/>
  </w:num>
  <w:num w:numId="7">
    <w:abstractNumId w:val="133"/>
  </w:num>
  <w:num w:numId="8">
    <w:abstractNumId w:val="19"/>
  </w:num>
  <w:num w:numId="9">
    <w:abstractNumId w:val="95"/>
  </w:num>
  <w:num w:numId="10">
    <w:abstractNumId w:val="61"/>
  </w:num>
  <w:num w:numId="11">
    <w:abstractNumId w:val="90"/>
  </w:num>
  <w:num w:numId="12">
    <w:abstractNumId w:val="126"/>
  </w:num>
  <w:num w:numId="13">
    <w:abstractNumId w:val="101"/>
  </w:num>
  <w:num w:numId="14">
    <w:abstractNumId w:val="46"/>
  </w:num>
  <w:num w:numId="15">
    <w:abstractNumId w:val="49"/>
  </w:num>
  <w:num w:numId="16">
    <w:abstractNumId w:val="128"/>
  </w:num>
  <w:num w:numId="17">
    <w:abstractNumId w:val="53"/>
  </w:num>
  <w:num w:numId="18">
    <w:abstractNumId w:val="45"/>
  </w:num>
  <w:num w:numId="19">
    <w:abstractNumId w:val="73"/>
  </w:num>
  <w:num w:numId="20">
    <w:abstractNumId w:val="117"/>
  </w:num>
  <w:num w:numId="21">
    <w:abstractNumId w:val="43"/>
  </w:num>
  <w:num w:numId="22">
    <w:abstractNumId w:val="60"/>
  </w:num>
  <w:num w:numId="23">
    <w:abstractNumId w:val="137"/>
  </w:num>
  <w:num w:numId="24">
    <w:abstractNumId w:val="116"/>
  </w:num>
  <w:num w:numId="25">
    <w:abstractNumId w:val="40"/>
  </w:num>
  <w:num w:numId="26">
    <w:abstractNumId w:val="25"/>
  </w:num>
  <w:num w:numId="27">
    <w:abstractNumId w:val="68"/>
  </w:num>
  <w:num w:numId="28">
    <w:abstractNumId w:val="91"/>
  </w:num>
  <w:num w:numId="29">
    <w:abstractNumId w:val="48"/>
  </w:num>
  <w:num w:numId="30">
    <w:abstractNumId w:val="88"/>
  </w:num>
  <w:num w:numId="31">
    <w:abstractNumId w:val="41"/>
  </w:num>
  <w:num w:numId="32">
    <w:abstractNumId w:val="12"/>
  </w:num>
  <w:num w:numId="33">
    <w:abstractNumId w:val="102"/>
  </w:num>
  <w:num w:numId="34">
    <w:abstractNumId w:val="6"/>
  </w:num>
  <w:num w:numId="35">
    <w:abstractNumId w:val="27"/>
  </w:num>
  <w:num w:numId="36">
    <w:abstractNumId w:val="67"/>
  </w:num>
  <w:num w:numId="37">
    <w:abstractNumId w:val="146"/>
  </w:num>
  <w:num w:numId="38">
    <w:abstractNumId w:val="58"/>
  </w:num>
  <w:num w:numId="39">
    <w:abstractNumId w:val="135"/>
  </w:num>
  <w:num w:numId="40">
    <w:abstractNumId w:val="87"/>
  </w:num>
  <w:num w:numId="41">
    <w:abstractNumId w:val="104"/>
  </w:num>
  <w:num w:numId="42">
    <w:abstractNumId w:val="100"/>
  </w:num>
  <w:num w:numId="43">
    <w:abstractNumId w:val="98"/>
  </w:num>
  <w:num w:numId="44">
    <w:abstractNumId w:val="78"/>
  </w:num>
  <w:num w:numId="45">
    <w:abstractNumId w:val="122"/>
  </w:num>
  <w:num w:numId="46">
    <w:abstractNumId w:val="70"/>
  </w:num>
  <w:num w:numId="47">
    <w:abstractNumId w:val="75"/>
  </w:num>
  <w:num w:numId="48">
    <w:abstractNumId w:val="131"/>
  </w:num>
  <w:num w:numId="49">
    <w:abstractNumId w:val="85"/>
  </w:num>
  <w:num w:numId="50">
    <w:abstractNumId w:val="125"/>
  </w:num>
  <w:num w:numId="51">
    <w:abstractNumId w:val="65"/>
  </w:num>
  <w:num w:numId="52">
    <w:abstractNumId w:val="15"/>
  </w:num>
  <w:num w:numId="53">
    <w:abstractNumId w:val="94"/>
  </w:num>
  <w:num w:numId="54">
    <w:abstractNumId w:val="11"/>
  </w:num>
  <w:num w:numId="55">
    <w:abstractNumId w:val="7"/>
  </w:num>
  <w:num w:numId="56">
    <w:abstractNumId w:val="111"/>
  </w:num>
  <w:num w:numId="57">
    <w:abstractNumId w:val="147"/>
  </w:num>
  <w:num w:numId="58">
    <w:abstractNumId w:val="81"/>
  </w:num>
  <w:num w:numId="59">
    <w:abstractNumId w:val="115"/>
  </w:num>
  <w:num w:numId="60">
    <w:abstractNumId w:val="108"/>
  </w:num>
  <w:num w:numId="61">
    <w:abstractNumId w:val="136"/>
  </w:num>
  <w:num w:numId="62">
    <w:abstractNumId w:val="99"/>
  </w:num>
  <w:num w:numId="63">
    <w:abstractNumId w:val="20"/>
  </w:num>
  <w:num w:numId="64">
    <w:abstractNumId w:val="14"/>
  </w:num>
  <w:num w:numId="65">
    <w:abstractNumId w:val="28"/>
  </w:num>
  <w:num w:numId="66">
    <w:abstractNumId w:val="106"/>
  </w:num>
  <w:num w:numId="67">
    <w:abstractNumId w:val="8"/>
  </w:num>
  <w:num w:numId="68">
    <w:abstractNumId w:val="22"/>
  </w:num>
  <w:num w:numId="69">
    <w:abstractNumId w:val="110"/>
  </w:num>
  <w:num w:numId="70">
    <w:abstractNumId w:val="3"/>
  </w:num>
  <w:num w:numId="71">
    <w:abstractNumId w:val="150"/>
  </w:num>
  <w:num w:numId="72">
    <w:abstractNumId w:val="112"/>
  </w:num>
  <w:num w:numId="73">
    <w:abstractNumId w:val="129"/>
  </w:num>
  <w:num w:numId="74">
    <w:abstractNumId w:val="139"/>
  </w:num>
  <w:num w:numId="75">
    <w:abstractNumId w:val="13"/>
  </w:num>
  <w:num w:numId="76">
    <w:abstractNumId w:val="44"/>
  </w:num>
  <w:num w:numId="77">
    <w:abstractNumId w:val="31"/>
  </w:num>
  <w:num w:numId="78">
    <w:abstractNumId w:val="127"/>
  </w:num>
  <w:num w:numId="79">
    <w:abstractNumId w:val="54"/>
  </w:num>
  <w:num w:numId="80">
    <w:abstractNumId w:val="124"/>
  </w:num>
  <w:num w:numId="81">
    <w:abstractNumId w:val="16"/>
  </w:num>
  <w:num w:numId="82">
    <w:abstractNumId w:val="132"/>
  </w:num>
  <w:num w:numId="83">
    <w:abstractNumId w:val="4"/>
  </w:num>
  <w:num w:numId="84">
    <w:abstractNumId w:val="80"/>
  </w:num>
  <w:num w:numId="85">
    <w:abstractNumId w:val="5"/>
  </w:num>
  <w:num w:numId="86">
    <w:abstractNumId w:val="64"/>
  </w:num>
  <w:num w:numId="87">
    <w:abstractNumId w:val="32"/>
  </w:num>
  <w:num w:numId="88">
    <w:abstractNumId w:val="140"/>
  </w:num>
  <w:num w:numId="89">
    <w:abstractNumId w:val="29"/>
  </w:num>
  <w:num w:numId="90">
    <w:abstractNumId w:val="145"/>
  </w:num>
  <w:num w:numId="91">
    <w:abstractNumId w:val="86"/>
  </w:num>
  <w:num w:numId="92">
    <w:abstractNumId w:val="69"/>
  </w:num>
  <w:num w:numId="93">
    <w:abstractNumId w:val="62"/>
  </w:num>
  <w:num w:numId="94">
    <w:abstractNumId w:val="0"/>
  </w:num>
  <w:num w:numId="95">
    <w:abstractNumId w:val="142"/>
  </w:num>
  <w:num w:numId="96">
    <w:abstractNumId w:val="96"/>
  </w:num>
  <w:num w:numId="97">
    <w:abstractNumId w:val="51"/>
  </w:num>
  <w:num w:numId="98">
    <w:abstractNumId w:val="34"/>
  </w:num>
  <w:num w:numId="99">
    <w:abstractNumId w:val="138"/>
  </w:num>
  <w:num w:numId="100">
    <w:abstractNumId w:val="148"/>
  </w:num>
  <w:num w:numId="101">
    <w:abstractNumId w:val="66"/>
  </w:num>
  <w:num w:numId="102">
    <w:abstractNumId w:val="92"/>
  </w:num>
  <w:num w:numId="103">
    <w:abstractNumId w:val="36"/>
  </w:num>
  <w:num w:numId="104">
    <w:abstractNumId w:val="30"/>
  </w:num>
  <w:num w:numId="105">
    <w:abstractNumId w:val="57"/>
  </w:num>
  <w:num w:numId="106">
    <w:abstractNumId w:val="24"/>
  </w:num>
  <w:num w:numId="107">
    <w:abstractNumId w:val="71"/>
  </w:num>
  <w:num w:numId="108">
    <w:abstractNumId w:val="109"/>
  </w:num>
  <w:num w:numId="109">
    <w:abstractNumId w:val="141"/>
  </w:num>
  <w:num w:numId="110">
    <w:abstractNumId w:val="9"/>
  </w:num>
  <w:num w:numId="111">
    <w:abstractNumId w:val="74"/>
  </w:num>
  <w:num w:numId="112">
    <w:abstractNumId w:val="149"/>
  </w:num>
  <w:num w:numId="113">
    <w:abstractNumId w:val="72"/>
  </w:num>
  <w:num w:numId="114">
    <w:abstractNumId w:val="114"/>
  </w:num>
  <w:num w:numId="115">
    <w:abstractNumId w:val="103"/>
  </w:num>
  <w:num w:numId="116">
    <w:abstractNumId w:val="77"/>
  </w:num>
  <w:num w:numId="117">
    <w:abstractNumId w:val="144"/>
  </w:num>
  <w:num w:numId="118">
    <w:abstractNumId w:val="89"/>
  </w:num>
  <w:num w:numId="119">
    <w:abstractNumId w:val="130"/>
  </w:num>
  <w:num w:numId="120">
    <w:abstractNumId w:val="82"/>
  </w:num>
  <w:num w:numId="121">
    <w:abstractNumId w:val="59"/>
  </w:num>
  <w:num w:numId="122">
    <w:abstractNumId w:val="113"/>
  </w:num>
  <w:num w:numId="123">
    <w:abstractNumId w:val="21"/>
  </w:num>
  <w:num w:numId="124">
    <w:abstractNumId w:val="17"/>
  </w:num>
  <w:num w:numId="125">
    <w:abstractNumId w:val="134"/>
  </w:num>
  <w:num w:numId="126">
    <w:abstractNumId w:val="33"/>
  </w:num>
  <w:num w:numId="127">
    <w:abstractNumId w:val="84"/>
  </w:num>
  <w:num w:numId="128">
    <w:abstractNumId w:val="123"/>
  </w:num>
  <w:num w:numId="129">
    <w:abstractNumId w:val="10"/>
  </w:num>
  <w:num w:numId="130">
    <w:abstractNumId w:val="52"/>
  </w:num>
  <w:num w:numId="131">
    <w:abstractNumId w:val="76"/>
  </w:num>
  <w:num w:numId="132">
    <w:abstractNumId w:val="118"/>
  </w:num>
  <w:num w:numId="133">
    <w:abstractNumId w:val="56"/>
  </w:num>
  <w:num w:numId="134">
    <w:abstractNumId w:val="93"/>
  </w:num>
  <w:num w:numId="135">
    <w:abstractNumId w:val="1"/>
  </w:num>
  <w:num w:numId="136">
    <w:abstractNumId w:val="63"/>
  </w:num>
  <w:num w:numId="137">
    <w:abstractNumId w:val="23"/>
  </w:num>
  <w:num w:numId="138">
    <w:abstractNumId w:val="38"/>
  </w:num>
  <w:num w:numId="139">
    <w:abstractNumId w:val="79"/>
  </w:num>
  <w:num w:numId="140">
    <w:abstractNumId w:val="18"/>
  </w:num>
  <w:num w:numId="141">
    <w:abstractNumId w:val="55"/>
  </w:num>
  <w:num w:numId="142">
    <w:abstractNumId w:val="2"/>
  </w:num>
  <w:num w:numId="143">
    <w:abstractNumId w:val="120"/>
  </w:num>
  <w:num w:numId="144">
    <w:abstractNumId w:val="107"/>
  </w:num>
  <w:num w:numId="145">
    <w:abstractNumId w:val="26"/>
  </w:num>
  <w:num w:numId="146">
    <w:abstractNumId w:val="83"/>
  </w:num>
  <w:num w:numId="147">
    <w:abstractNumId w:val="143"/>
  </w:num>
  <w:num w:numId="148">
    <w:abstractNumId w:val="42"/>
  </w:num>
  <w:num w:numId="149">
    <w:abstractNumId w:val="47"/>
  </w:num>
  <w:num w:numId="150">
    <w:abstractNumId w:val="97"/>
  </w:num>
  <w:num w:numId="151">
    <w:abstractNumId w:val="5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C0180"/>
    <w:rsid w:val="00044E7E"/>
    <w:rsid w:val="000B0006"/>
    <w:rsid w:val="000D2CC0"/>
    <w:rsid w:val="000F07B7"/>
    <w:rsid w:val="0016291B"/>
    <w:rsid w:val="001B2B54"/>
    <w:rsid w:val="001C56AB"/>
    <w:rsid w:val="00216BD2"/>
    <w:rsid w:val="00241758"/>
    <w:rsid w:val="0027649D"/>
    <w:rsid w:val="002B618F"/>
    <w:rsid w:val="002D12DF"/>
    <w:rsid w:val="00301F49"/>
    <w:rsid w:val="003830A4"/>
    <w:rsid w:val="003A2780"/>
    <w:rsid w:val="003B2392"/>
    <w:rsid w:val="003D67BE"/>
    <w:rsid w:val="00410C30"/>
    <w:rsid w:val="004270F6"/>
    <w:rsid w:val="004271F7"/>
    <w:rsid w:val="00472134"/>
    <w:rsid w:val="005049D9"/>
    <w:rsid w:val="005A3C57"/>
    <w:rsid w:val="006801CA"/>
    <w:rsid w:val="006F4132"/>
    <w:rsid w:val="00786BF7"/>
    <w:rsid w:val="007A27A8"/>
    <w:rsid w:val="007E7B5F"/>
    <w:rsid w:val="007F700F"/>
    <w:rsid w:val="0081108E"/>
    <w:rsid w:val="00821D16"/>
    <w:rsid w:val="00854C0C"/>
    <w:rsid w:val="008F6CC4"/>
    <w:rsid w:val="00916A16"/>
    <w:rsid w:val="00957003"/>
    <w:rsid w:val="00985156"/>
    <w:rsid w:val="00A51ECB"/>
    <w:rsid w:val="00A61567"/>
    <w:rsid w:val="00AC1E6D"/>
    <w:rsid w:val="00AE5E18"/>
    <w:rsid w:val="00AF4E7B"/>
    <w:rsid w:val="00BA3973"/>
    <w:rsid w:val="00C44081"/>
    <w:rsid w:val="00C573C4"/>
    <w:rsid w:val="00CD34D4"/>
    <w:rsid w:val="00CF3F76"/>
    <w:rsid w:val="00D205D9"/>
    <w:rsid w:val="00D37A64"/>
    <w:rsid w:val="00DC7BB4"/>
    <w:rsid w:val="00DE4838"/>
    <w:rsid w:val="00E56393"/>
    <w:rsid w:val="00E860B2"/>
    <w:rsid w:val="00EA2C82"/>
    <w:rsid w:val="00EC0180"/>
    <w:rsid w:val="00F25463"/>
    <w:rsid w:val="00FB62AB"/>
    <w:rsid w:val="00FF1DAB"/>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A59D5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fr-CA" w:eastAsia="fr-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hAnsi="Arial Unicode MS" w:cs="Arial Unicode MS"/>
      <w:color w:val="000000"/>
      <w:sz w:val="24"/>
      <w:szCs w:val="24"/>
      <w:lang w:val="fr-FR" w:eastAsia="en-US"/>
    </w:rPr>
  </w:style>
  <w:style w:type="paragraph" w:styleId="Heading1">
    <w:name w:val="heading 1"/>
    <w:next w:val="Normal"/>
    <w:pPr>
      <w:keepNext/>
      <w:pBdr>
        <w:top w:val="single" w:sz="28" w:space="0" w:color="000000"/>
        <w:left w:val="single" w:sz="28" w:space="0" w:color="000000"/>
        <w:bottom w:val="single" w:sz="28" w:space="0" w:color="000000"/>
        <w:right w:val="single" w:sz="28" w:space="0" w:color="000000"/>
      </w:pBdr>
      <w:suppressAutoHyphens/>
      <w:jc w:val="both"/>
      <w:outlineLvl w:val="0"/>
    </w:pPr>
    <w:rPr>
      <w:rFonts w:hAnsi="Arial Unicode MS" w:cs="Arial Unicode MS"/>
      <w:b/>
      <w:bCs/>
      <w:color w:val="000000"/>
      <w:sz w:val="24"/>
      <w:szCs w:val="24"/>
      <w:lang w:val="fr-FR"/>
    </w:rPr>
  </w:style>
  <w:style w:type="paragraph" w:styleId="Heading3">
    <w:name w:val="heading 3"/>
    <w:next w:val="Normal"/>
    <w:pPr>
      <w:keepNext/>
      <w:suppressAutoHyphens/>
      <w:outlineLvl w:val="2"/>
    </w:pPr>
    <w:rPr>
      <w:rFonts w:hAnsi="Arial Unicode MS" w:cs="Arial Unicode MS"/>
      <w:b/>
      <w:bCs/>
      <w:color w:val="000000"/>
      <w:sz w:val="24"/>
      <w:szCs w:val="24"/>
      <w:lang w:val="fr-FR"/>
    </w:rPr>
  </w:style>
  <w:style w:type="paragraph" w:styleId="Heading4">
    <w:name w:val="heading 4"/>
    <w:next w:val="Normal"/>
    <w:pPr>
      <w:keepNext/>
      <w:suppressAutoHyphens/>
      <w:jc w:val="both"/>
      <w:outlineLvl w:val="3"/>
    </w:pPr>
    <w:rPr>
      <w:rFonts w:hAnsi="Arial Unicode MS" w:cs="Arial Unicode MS"/>
      <w:b/>
      <w:bCs/>
      <w:color w:val="000000"/>
      <w:sz w:val="24"/>
      <w:szCs w:val="24"/>
      <w:lang w:val="fr-FR"/>
    </w:rPr>
  </w:style>
  <w:style w:type="paragraph" w:styleId="Heading5">
    <w:name w:val="heading 5"/>
    <w:next w:val="Normal"/>
    <w:pPr>
      <w:keepNext/>
      <w:suppressAutoHyphens/>
      <w:ind w:left="360"/>
      <w:outlineLvl w:val="4"/>
    </w:pPr>
    <w:rPr>
      <w:rFonts w:hAnsi="Arial Unicode MS" w:cs="Arial Unicode MS"/>
      <w:b/>
      <w:bCs/>
      <w:color w:val="000000"/>
      <w:sz w:val="24"/>
      <w:szCs w:val="24"/>
      <w:lang w:val="fr-FR"/>
    </w:rPr>
  </w:style>
  <w:style w:type="paragraph" w:styleId="Heading6">
    <w:name w:val="heading 6"/>
    <w:next w:val="Normal"/>
    <w:pPr>
      <w:keepNext/>
      <w:suppressAutoHyphens/>
      <w:ind w:left="708"/>
      <w:jc w:val="both"/>
      <w:outlineLvl w:val="5"/>
    </w:pPr>
    <w:rPr>
      <w:rFonts w:hAnsi="Arial Unicode MS" w:cs="Arial Unicode MS"/>
      <w:b/>
      <w:bCs/>
      <w:color w:val="000000"/>
      <w:sz w:val="24"/>
      <w:szCs w:val="24"/>
      <w:lang w:val="fr-FR"/>
    </w:rPr>
  </w:style>
  <w:style w:type="paragraph" w:styleId="Heading7">
    <w:name w:val="heading 7"/>
    <w:next w:val="Normal"/>
    <w:pPr>
      <w:keepNext/>
      <w:suppressAutoHyphens/>
      <w:jc w:val="both"/>
      <w:outlineLvl w:val="6"/>
    </w:pPr>
    <w:rPr>
      <w:rFonts w:hAnsi="Arial Unicode MS" w:cs="Arial Unicode MS"/>
      <w:color w:val="000000"/>
      <w:sz w:val="24"/>
      <w:szCs w:val="24"/>
      <w:u w:val="single"/>
      <w:lang w:val="fr-FR"/>
    </w:rPr>
  </w:style>
  <w:style w:type="paragraph" w:styleId="Heading8">
    <w:name w:val="heading 8"/>
    <w:next w:val="Normal"/>
    <w:pPr>
      <w:keepNext/>
      <w:tabs>
        <w:tab w:val="left" w:pos="360"/>
      </w:tabs>
      <w:suppressAutoHyphens/>
      <w:ind w:left="720"/>
      <w:jc w:val="both"/>
      <w:outlineLvl w:val="7"/>
    </w:pPr>
    <w:rPr>
      <w:rFonts w:hAnsi="Arial Unicode MS" w:cs="Arial Unicode MS"/>
      <w:b/>
      <w:bCs/>
      <w:color w:val="000000"/>
      <w:sz w:val="24"/>
      <w:szCs w:val="24"/>
      <w:lang w:val="fr-FR"/>
    </w:rPr>
  </w:style>
  <w:style w:type="paragraph" w:styleId="Heading9">
    <w:name w:val="heading 9"/>
    <w:next w:val="Normal"/>
    <w:pPr>
      <w:keepNext/>
      <w:tabs>
        <w:tab w:val="left" w:pos="360"/>
      </w:tabs>
      <w:suppressAutoHyphens/>
      <w:jc w:val="both"/>
      <w:outlineLvl w:val="8"/>
    </w:pPr>
    <w:rPr>
      <w:rFonts w:hAnsi="Arial Unicode MS" w:cs="Arial Unicode MS"/>
      <w:color w:val="000000"/>
      <w:sz w:val="28"/>
      <w:szCs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En-tteA">
    <w:name w:val="En-tête A"/>
    <w:pPr>
      <w:tabs>
        <w:tab w:val="center" w:pos="4703"/>
        <w:tab w:val="right" w:pos="9406"/>
      </w:tabs>
      <w:suppressAutoHyphens/>
    </w:pPr>
    <w:rPr>
      <w:rFonts w:hAnsi="Arial Unicode MS" w:cs="Arial Unicode MS"/>
      <w:color w:val="000000"/>
      <w:sz w:val="24"/>
      <w:szCs w:val="24"/>
      <w:lang w:val="fr-FR"/>
    </w:rPr>
  </w:style>
  <w:style w:type="numbering" w:customStyle="1" w:styleId="List0">
    <w:name w:val="List 0"/>
    <w:basedOn w:val="List1a"/>
    <w:pPr>
      <w:numPr>
        <w:numId w:val="1"/>
      </w:numPr>
    </w:pPr>
  </w:style>
  <w:style w:type="numbering" w:customStyle="1" w:styleId="List1a">
    <w:name w:val="List 1"/>
  </w:style>
  <w:style w:type="paragraph" w:customStyle="1" w:styleId="Retraitcorpsdetexte31">
    <w:name w:val="Retrait corps de texte 31"/>
    <w:pPr>
      <w:suppressAutoHyphens/>
      <w:ind w:left="360"/>
    </w:pPr>
    <w:rPr>
      <w:rFonts w:hAnsi="Arial Unicode MS" w:cs="Arial Unicode MS"/>
      <w:color w:val="000000"/>
      <w:sz w:val="24"/>
      <w:szCs w:val="24"/>
      <w:lang w:val="fr-FR"/>
    </w:rPr>
  </w:style>
  <w:style w:type="numbering" w:customStyle="1" w:styleId="List1">
    <w:name w:val="List 1"/>
    <w:basedOn w:val="Liste21"/>
    <w:pPr>
      <w:numPr>
        <w:numId w:val="2"/>
      </w:numPr>
    </w:pPr>
  </w:style>
  <w:style w:type="numbering" w:customStyle="1" w:styleId="Liste21">
    <w:name w:val="Liste 21"/>
  </w:style>
  <w:style w:type="numbering" w:customStyle="1" w:styleId="Liste22">
    <w:name w:val="Liste 22"/>
    <w:basedOn w:val="Liste31"/>
    <w:pPr>
      <w:numPr>
        <w:numId w:val="3"/>
      </w:numPr>
    </w:pPr>
  </w:style>
  <w:style w:type="numbering" w:customStyle="1" w:styleId="Liste31">
    <w:name w:val="Liste 31"/>
  </w:style>
  <w:style w:type="numbering" w:customStyle="1" w:styleId="Liste32">
    <w:name w:val="Liste 32"/>
    <w:basedOn w:val="Liste41"/>
    <w:pPr>
      <w:numPr>
        <w:numId w:val="4"/>
      </w:numPr>
    </w:pPr>
  </w:style>
  <w:style w:type="numbering" w:customStyle="1" w:styleId="Liste41">
    <w:name w:val="Liste 41"/>
  </w:style>
  <w:style w:type="numbering" w:customStyle="1" w:styleId="Liste42">
    <w:name w:val="Liste 42"/>
    <w:basedOn w:val="Liste51"/>
    <w:pPr>
      <w:numPr>
        <w:numId w:val="5"/>
      </w:numPr>
    </w:pPr>
  </w:style>
  <w:style w:type="numbering" w:customStyle="1" w:styleId="Liste51">
    <w:name w:val="Liste 51"/>
  </w:style>
  <w:style w:type="paragraph" w:customStyle="1" w:styleId="FreeForm">
    <w:name w:val="Free Form"/>
    <w:rPr>
      <w:rFonts w:eastAsia="Times New Roman"/>
      <w:color w:val="000000"/>
    </w:rPr>
  </w:style>
  <w:style w:type="numbering" w:customStyle="1" w:styleId="Liste52">
    <w:name w:val="Liste 52"/>
    <w:basedOn w:val="Liste31"/>
    <w:pPr>
      <w:numPr>
        <w:numId w:val="6"/>
      </w:numPr>
    </w:pPr>
  </w:style>
  <w:style w:type="numbering" w:customStyle="1" w:styleId="List6">
    <w:name w:val="List 6"/>
    <w:basedOn w:val="List600"/>
    <w:pPr>
      <w:numPr>
        <w:numId w:val="7"/>
      </w:numPr>
    </w:pPr>
  </w:style>
  <w:style w:type="numbering" w:customStyle="1" w:styleId="List600">
    <w:name w:val="List 6.0"/>
  </w:style>
  <w:style w:type="numbering" w:customStyle="1" w:styleId="List7">
    <w:name w:val="List 7"/>
    <w:basedOn w:val="List701"/>
    <w:pPr>
      <w:numPr>
        <w:numId w:val="8"/>
      </w:numPr>
    </w:pPr>
  </w:style>
  <w:style w:type="numbering" w:customStyle="1" w:styleId="List701">
    <w:name w:val="List 7.0"/>
  </w:style>
  <w:style w:type="numbering" w:customStyle="1" w:styleId="List8">
    <w:name w:val="List 8"/>
    <w:basedOn w:val="List800"/>
    <w:pPr>
      <w:numPr>
        <w:numId w:val="9"/>
      </w:numPr>
    </w:pPr>
  </w:style>
  <w:style w:type="numbering" w:customStyle="1" w:styleId="List800">
    <w:name w:val="List 8.0"/>
  </w:style>
  <w:style w:type="numbering" w:customStyle="1" w:styleId="List9">
    <w:name w:val="List 9"/>
    <w:basedOn w:val="List800"/>
    <w:pPr>
      <w:numPr>
        <w:numId w:val="10"/>
      </w:numPr>
    </w:pPr>
  </w:style>
  <w:style w:type="numbering" w:customStyle="1" w:styleId="List10">
    <w:name w:val="List 10"/>
    <w:basedOn w:val="List800"/>
    <w:pPr>
      <w:numPr>
        <w:numId w:val="11"/>
      </w:numPr>
    </w:pPr>
  </w:style>
  <w:style w:type="numbering" w:customStyle="1" w:styleId="List11">
    <w:name w:val="List 11"/>
    <w:basedOn w:val="List900"/>
    <w:pPr>
      <w:numPr>
        <w:numId w:val="12"/>
      </w:numPr>
    </w:pPr>
  </w:style>
  <w:style w:type="numbering" w:customStyle="1" w:styleId="List900">
    <w:name w:val="List 9.0"/>
  </w:style>
  <w:style w:type="numbering" w:customStyle="1" w:styleId="List12">
    <w:name w:val="List 12"/>
    <w:basedOn w:val="List900"/>
    <w:pPr>
      <w:numPr>
        <w:numId w:val="13"/>
      </w:numPr>
    </w:pPr>
  </w:style>
  <w:style w:type="paragraph" w:customStyle="1" w:styleId="Retraitcorpsdetexte21">
    <w:name w:val="Retrait corps de texte 21"/>
    <w:pPr>
      <w:suppressAutoHyphens/>
      <w:ind w:left="2160"/>
      <w:jc w:val="both"/>
    </w:pPr>
    <w:rPr>
      <w:rFonts w:hAnsi="Arial Unicode MS" w:cs="Arial Unicode MS"/>
      <w:color w:val="000000"/>
      <w:sz w:val="24"/>
      <w:szCs w:val="24"/>
      <w:lang w:val="fr-FR"/>
    </w:rPr>
  </w:style>
  <w:style w:type="numbering" w:customStyle="1" w:styleId="List100">
    <w:name w:val="List 10.0"/>
    <w:pPr>
      <w:numPr>
        <w:numId w:val="14"/>
      </w:numPr>
    </w:pPr>
  </w:style>
  <w:style w:type="numbering" w:customStyle="1" w:styleId="List13">
    <w:name w:val="List 13"/>
    <w:basedOn w:val="List1100"/>
    <w:pPr>
      <w:numPr>
        <w:numId w:val="15"/>
      </w:numPr>
    </w:pPr>
  </w:style>
  <w:style w:type="numbering" w:customStyle="1" w:styleId="List1100">
    <w:name w:val="List 11.0"/>
  </w:style>
  <w:style w:type="numbering" w:customStyle="1" w:styleId="List14">
    <w:name w:val="List 14"/>
    <w:basedOn w:val="List1200"/>
    <w:pPr>
      <w:numPr>
        <w:numId w:val="16"/>
      </w:numPr>
    </w:pPr>
  </w:style>
  <w:style w:type="numbering" w:customStyle="1" w:styleId="List1200">
    <w:name w:val="List 12.0"/>
  </w:style>
  <w:style w:type="numbering" w:customStyle="1" w:styleId="List15">
    <w:name w:val="List 15"/>
    <w:basedOn w:val="List1300"/>
    <w:pPr>
      <w:numPr>
        <w:numId w:val="17"/>
      </w:numPr>
    </w:pPr>
  </w:style>
  <w:style w:type="numbering" w:customStyle="1" w:styleId="List1300">
    <w:name w:val="List 13.0"/>
  </w:style>
  <w:style w:type="numbering" w:customStyle="1" w:styleId="List16">
    <w:name w:val="List 16"/>
    <w:basedOn w:val="List1300"/>
    <w:pPr>
      <w:numPr>
        <w:numId w:val="18"/>
      </w:numPr>
    </w:pPr>
  </w:style>
  <w:style w:type="paragraph" w:customStyle="1" w:styleId="Corpsdetexte21">
    <w:name w:val="Corps de texte 21"/>
    <w:pPr>
      <w:suppressAutoHyphens/>
      <w:jc w:val="both"/>
    </w:pPr>
    <w:rPr>
      <w:rFonts w:hAnsi="Arial Unicode MS" w:cs="Arial Unicode MS"/>
      <w:color w:val="000000"/>
      <w:sz w:val="24"/>
      <w:szCs w:val="24"/>
      <w:u w:val="single"/>
      <w:lang w:val="fr-FR"/>
    </w:rPr>
  </w:style>
  <w:style w:type="numbering" w:customStyle="1" w:styleId="List17">
    <w:name w:val="List 17"/>
    <w:basedOn w:val="List1400"/>
    <w:pPr>
      <w:numPr>
        <w:numId w:val="19"/>
      </w:numPr>
    </w:pPr>
  </w:style>
  <w:style w:type="numbering" w:customStyle="1" w:styleId="List1400">
    <w:name w:val="List 14.0"/>
  </w:style>
  <w:style w:type="numbering" w:customStyle="1" w:styleId="List18">
    <w:name w:val="List 18"/>
    <w:basedOn w:val="List1400"/>
    <w:pPr>
      <w:numPr>
        <w:numId w:val="20"/>
      </w:numPr>
    </w:pPr>
  </w:style>
  <w:style w:type="numbering" w:customStyle="1" w:styleId="List19">
    <w:name w:val="List 19"/>
    <w:basedOn w:val="List1400"/>
    <w:pPr>
      <w:numPr>
        <w:numId w:val="21"/>
      </w:numPr>
    </w:pPr>
  </w:style>
  <w:style w:type="numbering" w:customStyle="1" w:styleId="List20">
    <w:name w:val="List 20"/>
    <w:basedOn w:val="List150"/>
    <w:pPr>
      <w:numPr>
        <w:numId w:val="22"/>
      </w:numPr>
    </w:pPr>
  </w:style>
  <w:style w:type="numbering" w:customStyle="1" w:styleId="List150">
    <w:name w:val="List 15.0"/>
  </w:style>
  <w:style w:type="paragraph" w:styleId="BodyText">
    <w:name w:val="Body Text"/>
    <w:pPr>
      <w:tabs>
        <w:tab w:val="left" w:pos="360"/>
      </w:tabs>
      <w:suppressAutoHyphens/>
      <w:jc w:val="both"/>
    </w:pPr>
    <w:rPr>
      <w:rFonts w:hAnsi="Arial Unicode MS" w:cs="Arial Unicode MS"/>
      <w:color w:val="000000"/>
      <w:sz w:val="24"/>
      <w:szCs w:val="24"/>
      <w:lang w:val="fr-FR"/>
    </w:rPr>
  </w:style>
  <w:style w:type="numbering" w:customStyle="1" w:styleId="List21">
    <w:name w:val="List 21"/>
    <w:basedOn w:val="List170"/>
    <w:pPr>
      <w:numPr>
        <w:numId w:val="23"/>
      </w:numPr>
    </w:pPr>
  </w:style>
  <w:style w:type="numbering" w:customStyle="1" w:styleId="List170">
    <w:name w:val="List 17.0"/>
  </w:style>
  <w:style w:type="numbering" w:customStyle="1" w:styleId="List22">
    <w:name w:val="List 22"/>
    <w:basedOn w:val="List800"/>
    <w:pPr>
      <w:numPr>
        <w:numId w:val="24"/>
      </w:numPr>
    </w:pPr>
  </w:style>
  <w:style w:type="paragraph" w:styleId="BodyTextIndent">
    <w:name w:val="Body Text Indent"/>
    <w:pPr>
      <w:suppressAutoHyphens/>
      <w:ind w:left="360"/>
      <w:jc w:val="both"/>
    </w:pPr>
    <w:rPr>
      <w:rFonts w:hAnsi="Arial Unicode MS" w:cs="Arial Unicode MS"/>
      <w:color w:val="000000"/>
      <w:sz w:val="24"/>
      <w:szCs w:val="24"/>
      <w:lang w:val="fr-FR"/>
    </w:rPr>
  </w:style>
  <w:style w:type="numbering" w:customStyle="1" w:styleId="List23">
    <w:name w:val="List 23"/>
    <w:basedOn w:val="List160"/>
    <w:pPr>
      <w:numPr>
        <w:numId w:val="25"/>
      </w:numPr>
    </w:pPr>
  </w:style>
  <w:style w:type="numbering" w:customStyle="1" w:styleId="List160">
    <w:name w:val="List 16.0"/>
  </w:style>
  <w:style w:type="numbering" w:customStyle="1" w:styleId="List24">
    <w:name w:val="List 24"/>
    <w:basedOn w:val="List180"/>
    <w:pPr>
      <w:numPr>
        <w:numId w:val="26"/>
      </w:numPr>
    </w:pPr>
  </w:style>
  <w:style w:type="numbering" w:customStyle="1" w:styleId="List180">
    <w:name w:val="List 18.0"/>
  </w:style>
  <w:style w:type="numbering" w:customStyle="1" w:styleId="List25">
    <w:name w:val="List 25"/>
    <w:basedOn w:val="List160"/>
    <w:pPr>
      <w:numPr>
        <w:numId w:val="27"/>
      </w:numPr>
    </w:pPr>
  </w:style>
  <w:style w:type="numbering" w:customStyle="1" w:styleId="List26">
    <w:name w:val="List 26"/>
    <w:basedOn w:val="List190"/>
    <w:pPr>
      <w:numPr>
        <w:numId w:val="28"/>
      </w:numPr>
    </w:pPr>
  </w:style>
  <w:style w:type="numbering" w:customStyle="1" w:styleId="List190">
    <w:name w:val="List 19.0"/>
  </w:style>
  <w:style w:type="numbering" w:customStyle="1" w:styleId="List27">
    <w:name w:val="List 27"/>
    <w:basedOn w:val="List210"/>
    <w:pPr>
      <w:numPr>
        <w:numId w:val="29"/>
      </w:numPr>
    </w:pPr>
  </w:style>
  <w:style w:type="numbering" w:customStyle="1" w:styleId="List210">
    <w:name w:val="List 21.0"/>
  </w:style>
  <w:style w:type="numbering" w:customStyle="1" w:styleId="List28">
    <w:name w:val="List 28"/>
    <w:basedOn w:val="List180"/>
    <w:pPr>
      <w:numPr>
        <w:numId w:val="30"/>
      </w:numPr>
    </w:pPr>
  </w:style>
  <w:style w:type="numbering" w:customStyle="1" w:styleId="List29">
    <w:name w:val="List 29"/>
    <w:basedOn w:val="List180"/>
    <w:pPr>
      <w:numPr>
        <w:numId w:val="31"/>
      </w:numPr>
    </w:pPr>
  </w:style>
  <w:style w:type="numbering" w:customStyle="1" w:styleId="List30">
    <w:name w:val="List 30"/>
    <w:basedOn w:val="List200"/>
    <w:pPr>
      <w:numPr>
        <w:numId w:val="32"/>
      </w:numPr>
    </w:pPr>
  </w:style>
  <w:style w:type="numbering" w:customStyle="1" w:styleId="List200">
    <w:name w:val="List 20.0"/>
  </w:style>
  <w:style w:type="numbering" w:customStyle="1" w:styleId="List31">
    <w:name w:val="List 31"/>
    <w:basedOn w:val="List180"/>
    <w:pPr>
      <w:numPr>
        <w:numId w:val="33"/>
      </w:numPr>
    </w:pPr>
  </w:style>
  <w:style w:type="numbering" w:customStyle="1" w:styleId="List32">
    <w:name w:val="List 32"/>
    <w:basedOn w:val="List180"/>
    <w:pPr>
      <w:numPr>
        <w:numId w:val="34"/>
      </w:numPr>
    </w:pPr>
  </w:style>
  <w:style w:type="numbering" w:customStyle="1" w:styleId="List33">
    <w:name w:val="List 33"/>
    <w:basedOn w:val="List800"/>
    <w:pPr>
      <w:numPr>
        <w:numId w:val="35"/>
      </w:numPr>
    </w:pPr>
  </w:style>
  <w:style w:type="numbering" w:customStyle="1" w:styleId="List34">
    <w:name w:val="List 34"/>
    <w:basedOn w:val="List180"/>
    <w:pPr>
      <w:numPr>
        <w:numId w:val="36"/>
      </w:numPr>
    </w:pPr>
  </w:style>
  <w:style w:type="numbering" w:customStyle="1" w:styleId="List35">
    <w:name w:val="List 35"/>
    <w:basedOn w:val="List180"/>
    <w:pPr>
      <w:numPr>
        <w:numId w:val="37"/>
      </w:numPr>
    </w:pPr>
  </w:style>
  <w:style w:type="numbering" w:customStyle="1" w:styleId="List36">
    <w:name w:val="List 36"/>
    <w:basedOn w:val="List180"/>
    <w:pPr>
      <w:numPr>
        <w:numId w:val="38"/>
      </w:numPr>
    </w:pPr>
  </w:style>
  <w:style w:type="numbering" w:customStyle="1" w:styleId="List37">
    <w:name w:val="List 37"/>
    <w:basedOn w:val="List220"/>
    <w:pPr>
      <w:numPr>
        <w:numId w:val="39"/>
      </w:numPr>
    </w:pPr>
  </w:style>
  <w:style w:type="numbering" w:customStyle="1" w:styleId="List220">
    <w:name w:val="List 22.0"/>
  </w:style>
  <w:style w:type="numbering" w:customStyle="1" w:styleId="List38">
    <w:name w:val="List 38"/>
    <w:basedOn w:val="List180"/>
    <w:pPr>
      <w:numPr>
        <w:numId w:val="40"/>
      </w:numPr>
    </w:pPr>
  </w:style>
  <w:style w:type="numbering" w:customStyle="1" w:styleId="List39">
    <w:name w:val="List 39"/>
    <w:basedOn w:val="List800"/>
    <w:pPr>
      <w:numPr>
        <w:numId w:val="41"/>
      </w:numPr>
    </w:pPr>
  </w:style>
  <w:style w:type="numbering" w:customStyle="1" w:styleId="List40">
    <w:name w:val="List 40"/>
    <w:basedOn w:val="List1200"/>
    <w:pPr>
      <w:numPr>
        <w:numId w:val="42"/>
      </w:numPr>
    </w:pPr>
  </w:style>
  <w:style w:type="numbering" w:customStyle="1" w:styleId="List41">
    <w:name w:val="List 41"/>
    <w:basedOn w:val="List220"/>
    <w:pPr>
      <w:numPr>
        <w:numId w:val="43"/>
      </w:numPr>
    </w:pPr>
  </w:style>
  <w:style w:type="numbering" w:customStyle="1" w:styleId="List42">
    <w:name w:val="List 42"/>
    <w:basedOn w:val="List230"/>
    <w:pPr>
      <w:numPr>
        <w:numId w:val="44"/>
      </w:numPr>
    </w:pPr>
  </w:style>
  <w:style w:type="numbering" w:customStyle="1" w:styleId="List230">
    <w:name w:val="List 23.0"/>
  </w:style>
  <w:style w:type="numbering" w:customStyle="1" w:styleId="List43">
    <w:name w:val="List 43"/>
    <w:basedOn w:val="List240"/>
    <w:pPr>
      <w:numPr>
        <w:numId w:val="45"/>
      </w:numPr>
    </w:pPr>
  </w:style>
  <w:style w:type="numbering" w:customStyle="1" w:styleId="List240">
    <w:name w:val="List 24.0"/>
  </w:style>
  <w:style w:type="numbering" w:customStyle="1" w:styleId="List44">
    <w:name w:val="List 44"/>
    <w:basedOn w:val="List240"/>
    <w:pPr>
      <w:numPr>
        <w:numId w:val="46"/>
      </w:numPr>
    </w:pPr>
  </w:style>
  <w:style w:type="numbering" w:customStyle="1" w:styleId="List45">
    <w:name w:val="List 45"/>
    <w:basedOn w:val="List250"/>
    <w:pPr>
      <w:numPr>
        <w:numId w:val="47"/>
      </w:numPr>
    </w:pPr>
  </w:style>
  <w:style w:type="numbering" w:customStyle="1" w:styleId="List250">
    <w:name w:val="List 25.0"/>
  </w:style>
  <w:style w:type="paragraph" w:customStyle="1" w:styleId="Corpsdetexte31">
    <w:name w:val="Corps de texte 31"/>
    <w:pPr>
      <w:suppressAutoHyphens/>
    </w:pPr>
    <w:rPr>
      <w:rFonts w:hAnsi="Arial Unicode MS" w:cs="Arial Unicode MS"/>
      <w:b/>
      <w:bCs/>
      <w:color w:val="000000"/>
      <w:sz w:val="24"/>
      <w:szCs w:val="24"/>
      <w:lang w:val="fr-FR"/>
    </w:rPr>
  </w:style>
  <w:style w:type="numbering" w:customStyle="1" w:styleId="List46">
    <w:name w:val="List 46"/>
    <w:basedOn w:val="List260"/>
    <w:pPr>
      <w:numPr>
        <w:numId w:val="48"/>
      </w:numPr>
    </w:pPr>
  </w:style>
  <w:style w:type="numbering" w:customStyle="1" w:styleId="List260">
    <w:name w:val="List 26.0"/>
  </w:style>
  <w:style w:type="numbering" w:customStyle="1" w:styleId="List47">
    <w:name w:val="List 47"/>
    <w:basedOn w:val="List270"/>
    <w:pPr>
      <w:numPr>
        <w:numId w:val="49"/>
      </w:numPr>
    </w:pPr>
  </w:style>
  <w:style w:type="numbering" w:customStyle="1" w:styleId="List270">
    <w:name w:val="List 27.0"/>
  </w:style>
  <w:style w:type="numbering" w:customStyle="1" w:styleId="List48">
    <w:name w:val="List 48"/>
    <w:basedOn w:val="List250"/>
    <w:pPr>
      <w:numPr>
        <w:numId w:val="50"/>
      </w:numPr>
    </w:pPr>
  </w:style>
  <w:style w:type="numbering" w:customStyle="1" w:styleId="List49">
    <w:name w:val="List 49"/>
    <w:basedOn w:val="List280"/>
    <w:pPr>
      <w:numPr>
        <w:numId w:val="51"/>
      </w:numPr>
    </w:pPr>
  </w:style>
  <w:style w:type="numbering" w:customStyle="1" w:styleId="List280">
    <w:name w:val="List 28.0"/>
  </w:style>
  <w:style w:type="numbering" w:customStyle="1" w:styleId="List50">
    <w:name w:val="List 50"/>
    <w:basedOn w:val="List280"/>
    <w:pPr>
      <w:numPr>
        <w:numId w:val="52"/>
      </w:numPr>
    </w:pPr>
  </w:style>
  <w:style w:type="numbering" w:customStyle="1" w:styleId="List51">
    <w:name w:val="List 51"/>
    <w:basedOn w:val="List250"/>
    <w:pPr>
      <w:numPr>
        <w:numId w:val="53"/>
      </w:numPr>
    </w:pPr>
  </w:style>
  <w:style w:type="numbering" w:customStyle="1" w:styleId="List52">
    <w:name w:val="List 52"/>
    <w:basedOn w:val="List250"/>
    <w:pPr>
      <w:numPr>
        <w:numId w:val="54"/>
      </w:numPr>
    </w:pPr>
  </w:style>
  <w:style w:type="numbering" w:customStyle="1" w:styleId="List53">
    <w:name w:val="List 53"/>
    <w:basedOn w:val="List290"/>
    <w:pPr>
      <w:numPr>
        <w:numId w:val="55"/>
      </w:numPr>
    </w:pPr>
  </w:style>
  <w:style w:type="numbering" w:customStyle="1" w:styleId="List290">
    <w:name w:val="List 29.0"/>
  </w:style>
  <w:style w:type="numbering" w:customStyle="1" w:styleId="List54">
    <w:name w:val="List 54"/>
    <w:basedOn w:val="List290"/>
    <w:pPr>
      <w:numPr>
        <w:numId w:val="56"/>
      </w:numPr>
    </w:pPr>
  </w:style>
  <w:style w:type="numbering" w:customStyle="1" w:styleId="List55">
    <w:name w:val="List 55"/>
    <w:basedOn w:val="List290"/>
    <w:pPr>
      <w:numPr>
        <w:numId w:val="57"/>
      </w:numPr>
    </w:pPr>
  </w:style>
  <w:style w:type="numbering" w:customStyle="1" w:styleId="List56">
    <w:name w:val="List 56"/>
    <w:basedOn w:val="List290"/>
    <w:pPr>
      <w:numPr>
        <w:numId w:val="58"/>
      </w:numPr>
    </w:pPr>
  </w:style>
  <w:style w:type="numbering" w:customStyle="1" w:styleId="List57">
    <w:name w:val="List 57"/>
    <w:basedOn w:val="List290"/>
    <w:pPr>
      <w:numPr>
        <w:numId w:val="59"/>
      </w:numPr>
    </w:pPr>
  </w:style>
  <w:style w:type="numbering" w:customStyle="1" w:styleId="List58">
    <w:name w:val="List 58"/>
    <w:basedOn w:val="List260"/>
    <w:pPr>
      <w:numPr>
        <w:numId w:val="60"/>
      </w:numPr>
    </w:pPr>
  </w:style>
  <w:style w:type="numbering" w:customStyle="1" w:styleId="List59">
    <w:name w:val="List 59"/>
    <w:basedOn w:val="List180"/>
    <w:pPr>
      <w:numPr>
        <w:numId w:val="61"/>
      </w:numPr>
    </w:pPr>
  </w:style>
  <w:style w:type="numbering" w:customStyle="1" w:styleId="List60">
    <w:name w:val="List 60"/>
    <w:basedOn w:val="List180"/>
    <w:pPr>
      <w:numPr>
        <w:numId w:val="62"/>
      </w:numPr>
    </w:pPr>
  </w:style>
  <w:style w:type="numbering" w:customStyle="1" w:styleId="List61">
    <w:name w:val="List 61"/>
    <w:basedOn w:val="List180"/>
    <w:pPr>
      <w:numPr>
        <w:numId w:val="63"/>
      </w:numPr>
    </w:pPr>
  </w:style>
  <w:style w:type="numbering" w:customStyle="1" w:styleId="List62">
    <w:name w:val="List 62"/>
    <w:basedOn w:val="List300"/>
    <w:pPr>
      <w:numPr>
        <w:numId w:val="64"/>
      </w:numPr>
    </w:pPr>
  </w:style>
  <w:style w:type="numbering" w:customStyle="1" w:styleId="List300">
    <w:name w:val="List 30.0"/>
  </w:style>
  <w:style w:type="numbering" w:customStyle="1" w:styleId="List63">
    <w:name w:val="List 63"/>
    <w:basedOn w:val="List310"/>
    <w:pPr>
      <w:numPr>
        <w:numId w:val="65"/>
      </w:numPr>
    </w:pPr>
  </w:style>
  <w:style w:type="numbering" w:customStyle="1" w:styleId="List310">
    <w:name w:val="List 31.0"/>
  </w:style>
  <w:style w:type="numbering" w:customStyle="1" w:styleId="List64">
    <w:name w:val="List 64"/>
    <w:basedOn w:val="List320"/>
    <w:pPr>
      <w:numPr>
        <w:numId w:val="66"/>
      </w:numPr>
    </w:pPr>
  </w:style>
  <w:style w:type="numbering" w:customStyle="1" w:styleId="List320">
    <w:name w:val="List 32.0"/>
  </w:style>
  <w:style w:type="numbering" w:customStyle="1" w:styleId="List65">
    <w:name w:val="List 65"/>
    <w:basedOn w:val="List330"/>
    <w:pPr>
      <w:numPr>
        <w:numId w:val="67"/>
      </w:numPr>
    </w:pPr>
  </w:style>
  <w:style w:type="numbering" w:customStyle="1" w:styleId="List330">
    <w:name w:val="List 33.0"/>
  </w:style>
  <w:style w:type="numbering" w:customStyle="1" w:styleId="List66">
    <w:name w:val="List 66"/>
    <w:basedOn w:val="List1200"/>
    <w:pPr>
      <w:numPr>
        <w:numId w:val="68"/>
      </w:numPr>
    </w:pPr>
  </w:style>
  <w:style w:type="numbering" w:customStyle="1" w:styleId="List67">
    <w:name w:val="List 67"/>
    <w:basedOn w:val="List900"/>
    <w:pPr>
      <w:numPr>
        <w:numId w:val="69"/>
      </w:numPr>
    </w:pPr>
  </w:style>
  <w:style w:type="numbering" w:customStyle="1" w:styleId="List68">
    <w:name w:val="List 68"/>
    <w:basedOn w:val="List340"/>
    <w:pPr>
      <w:numPr>
        <w:numId w:val="70"/>
      </w:numPr>
    </w:pPr>
  </w:style>
  <w:style w:type="numbering" w:customStyle="1" w:styleId="List340">
    <w:name w:val="List 34.0"/>
  </w:style>
  <w:style w:type="numbering" w:customStyle="1" w:styleId="List69">
    <w:name w:val="List 69"/>
    <w:basedOn w:val="List1200"/>
    <w:pPr>
      <w:numPr>
        <w:numId w:val="71"/>
      </w:numPr>
    </w:pPr>
  </w:style>
  <w:style w:type="numbering" w:customStyle="1" w:styleId="List70">
    <w:name w:val="List 70"/>
    <w:basedOn w:val="List350"/>
    <w:pPr>
      <w:numPr>
        <w:numId w:val="72"/>
      </w:numPr>
    </w:pPr>
  </w:style>
  <w:style w:type="numbering" w:customStyle="1" w:styleId="List350">
    <w:name w:val="List 35.0"/>
  </w:style>
  <w:style w:type="numbering" w:customStyle="1" w:styleId="List71">
    <w:name w:val="List 71"/>
    <w:basedOn w:val="List350"/>
    <w:pPr>
      <w:numPr>
        <w:numId w:val="73"/>
      </w:numPr>
    </w:pPr>
  </w:style>
  <w:style w:type="numbering" w:customStyle="1" w:styleId="List72">
    <w:name w:val="List 72"/>
    <w:basedOn w:val="List360"/>
    <w:pPr>
      <w:numPr>
        <w:numId w:val="74"/>
      </w:numPr>
    </w:pPr>
  </w:style>
  <w:style w:type="numbering" w:customStyle="1" w:styleId="List360">
    <w:name w:val="List 36.0"/>
  </w:style>
  <w:style w:type="numbering" w:customStyle="1" w:styleId="List73">
    <w:name w:val="List 73"/>
    <w:basedOn w:val="List370"/>
    <w:pPr>
      <w:numPr>
        <w:numId w:val="75"/>
      </w:numPr>
    </w:pPr>
  </w:style>
  <w:style w:type="numbering" w:customStyle="1" w:styleId="List370">
    <w:name w:val="List 37.0"/>
  </w:style>
  <w:style w:type="numbering" w:customStyle="1" w:styleId="List74">
    <w:name w:val="List 74"/>
    <w:basedOn w:val="List380"/>
    <w:pPr>
      <w:numPr>
        <w:numId w:val="76"/>
      </w:numPr>
    </w:pPr>
  </w:style>
  <w:style w:type="numbering" w:customStyle="1" w:styleId="List380">
    <w:name w:val="List 38.0"/>
  </w:style>
  <w:style w:type="numbering" w:customStyle="1" w:styleId="List75">
    <w:name w:val="List 75"/>
    <w:basedOn w:val="List380"/>
    <w:pPr>
      <w:numPr>
        <w:numId w:val="77"/>
      </w:numPr>
    </w:pPr>
  </w:style>
  <w:style w:type="numbering" w:customStyle="1" w:styleId="List76">
    <w:name w:val="List 76"/>
    <w:basedOn w:val="List380"/>
    <w:pPr>
      <w:numPr>
        <w:numId w:val="78"/>
      </w:numPr>
    </w:pPr>
  </w:style>
  <w:style w:type="numbering" w:customStyle="1" w:styleId="List77">
    <w:name w:val="List 77"/>
    <w:basedOn w:val="List180"/>
    <w:pPr>
      <w:numPr>
        <w:numId w:val="79"/>
      </w:numPr>
    </w:pPr>
  </w:style>
  <w:style w:type="numbering" w:customStyle="1" w:styleId="List78">
    <w:name w:val="List 78"/>
    <w:basedOn w:val="List390"/>
    <w:pPr>
      <w:numPr>
        <w:numId w:val="80"/>
      </w:numPr>
    </w:pPr>
  </w:style>
  <w:style w:type="numbering" w:customStyle="1" w:styleId="List390">
    <w:name w:val="List 39.0"/>
  </w:style>
  <w:style w:type="numbering" w:customStyle="1" w:styleId="List79">
    <w:name w:val="List 79"/>
    <w:basedOn w:val="List390"/>
    <w:pPr>
      <w:numPr>
        <w:numId w:val="81"/>
      </w:numPr>
    </w:pPr>
  </w:style>
  <w:style w:type="numbering" w:customStyle="1" w:styleId="List80">
    <w:name w:val="List 80"/>
    <w:basedOn w:val="List400"/>
    <w:pPr>
      <w:numPr>
        <w:numId w:val="82"/>
      </w:numPr>
    </w:pPr>
  </w:style>
  <w:style w:type="numbering" w:customStyle="1" w:styleId="List400">
    <w:name w:val="List 40.0"/>
  </w:style>
  <w:style w:type="numbering" w:customStyle="1" w:styleId="List81">
    <w:name w:val="List 81"/>
    <w:basedOn w:val="List400"/>
    <w:pPr>
      <w:numPr>
        <w:numId w:val="83"/>
      </w:numPr>
    </w:pPr>
  </w:style>
  <w:style w:type="numbering" w:customStyle="1" w:styleId="List82">
    <w:name w:val="List 82"/>
    <w:basedOn w:val="List180"/>
    <w:pPr>
      <w:numPr>
        <w:numId w:val="84"/>
      </w:numPr>
    </w:pPr>
  </w:style>
  <w:style w:type="numbering" w:customStyle="1" w:styleId="List83">
    <w:name w:val="List 83"/>
    <w:basedOn w:val="List360"/>
    <w:pPr>
      <w:numPr>
        <w:numId w:val="85"/>
      </w:numPr>
    </w:pPr>
  </w:style>
  <w:style w:type="numbering" w:customStyle="1" w:styleId="List84">
    <w:name w:val="List 84"/>
    <w:basedOn w:val="List410"/>
    <w:pPr>
      <w:numPr>
        <w:numId w:val="86"/>
      </w:numPr>
    </w:pPr>
  </w:style>
  <w:style w:type="numbering" w:customStyle="1" w:styleId="List410">
    <w:name w:val="List 41.0"/>
  </w:style>
  <w:style w:type="numbering" w:customStyle="1" w:styleId="List85">
    <w:name w:val="List 85"/>
    <w:basedOn w:val="List420"/>
    <w:pPr>
      <w:numPr>
        <w:numId w:val="87"/>
      </w:numPr>
    </w:pPr>
  </w:style>
  <w:style w:type="numbering" w:customStyle="1" w:styleId="List420">
    <w:name w:val="List 42.0"/>
  </w:style>
  <w:style w:type="numbering" w:customStyle="1" w:styleId="List86">
    <w:name w:val="List 86"/>
    <w:basedOn w:val="List180"/>
    <w:pPr>
      <w:numPr>
        <w:numId w:val="88"/>
      </w:numPr>
    </w:pPr>
  </w:style>
  <w:style w:type="numbering" w:customStyle="1" w:styleId="List87">
    <w:name w:val="List 87"/>
    <w:basedOn w:val="List430"/>
    <w:pPr>
      <w:numPr>
        <w:numId w:val="89"/>
      </w:numPr>
    </w:pPr>
  </w:style>
  <w:style w:type="numbering" w:customStyle="1" w:styleId="List430">
    <w:name w:val="List 43.0"/>
  </w:style>
  <w:style w:type="numbering" w:customStyle="1" w:styleId="List88">
    <w:name w:val="List 88"/>
    <w:basedOn w:val="List430"/>
    <w:pPr>
      <w:numPr>
        <w:numId w:val="90"/>
      </w:numPr>
    </w:pPr>
  </w:style>
  <w:style w:type="numbering" w:customStyle="1" w:styleId="List89">
    <w:name w:val="List 89"/>
    <w:basedOn w:val="List440"/>
    <w:pPr>
      <w:numPr>
        <w:numId w:val="91"/>
      </w:numPr>
    </w:pPr>
  </w:style>
  <w:style w:type="numbering" w:customStyle="1" w:styleId="List440">
    <w:name w:val="List 44.0"/>
  </w:style>
  <w:style w:type="numbering" w:customStyle="1" w:styleId="List90">
    <w:name w:val="List 90"/>
    <w:basedOn w:val="List480"/>
    <w:pPr>
      <w:numPr>
        <w:numId w:val="92"/>
      </w:numPr>
    </w:pPr>
  </w:style>
  <w:style w:type="numbering" w:customStyle="1" w:styleId="List480">
    <w:name w:val="List 48.0"/>
  </w:style>
  <w:style w:type="numbering" w:customStyle="1" w:styleId="List91">
    <w:name w:val="List 91"/>
    <w:basedOn w:val="List480"/>
    <w:pPr>
      <w:numPr>
        <w:numId w:val="93"/>
      </w:numPr>
    </w:pPr>
  </w:style>
  <w:style w:type="numbering" w:customStyle="1" w:styleId="List92">
    <w:name w:val="List 92"/>
    <w:basedOn w:val="List480"/>
    <w:pPr>
      <w:numPr>
        <w:numId w:val="94"/>
      </w:numPr>
    </w:pPr>
  </w:style>
  <w:style w:type="numbering" w:customStyle="1" w:styleId="List93">
    <w:name w:val="List 93"/>
    <w:basedOn w:val="List180"/>
    <w:pPr>
      <w:numPr>
        <w:numId w:val="95"/>
      </w:numPr>
    </w:pPr>
  </w:style>
  <w:style w:type="numbering" w:customStyle="1" w:styleId="List94">
    <w:name w:val="List 94"/>
    <w:basedOn w:val="List180"/>
    <w:pPr>
      <w:numPr>
        <w:numId w:val="96"/>
      </w:numPr>
    </w:pPr>
  </w:style>
  <w:style w:type="numbering" w:customStyle="1" w:styleId="List95">
    <w:name w:val="List 95"/>
    <w:basedOn w:val="List450"/>
    <w:pPr>
      <w:numPr>
        <w:numId w:val="97"/>
      </w:numPr>
    </w:pPr>
  </w:style>
  <w:style w:type="numbering" w:customStyle="1" w:styleId="List450">
    <w:name w:val="List 45.0"/>
  </w:style>
  <w:style w:type="numbering" w:customStyle="1" w:styleId="List96">
    <w:name w:val="List 96"/>
    <w:basedOn w:val="List450"/>
    <w:pPr>
      <w:numPr>
        <w:numId w:val="98"/>
      </w:numPr>
    </w:pPr>
  </w:style>
  <w:style w:type="numbering" w:customStyle="1" w:styleId="List97">
    <w:name w:val="List 97"/>
    <w:basedOn w:val="List460"/>
    <w:pPr>
      <w:numPr>
        <w:numId w:val="99"/>
      </w:numPr>
    </w:pPr>
  </w:style>
  <w:style w:type="numbering" w:customStyle="1" w:styleId="List460">
    <w:name w:val="List 46.0"/>
  </w:style>
  <w:style w:type="numbering" w:customStyle="1" w:styleId="List98">
    <w:name w:val="List 98"/>
    <w:basedOn w:val="List470"/>
    <w:pPr>
      <w:numPr>
        <w:numId w:val="100"/>
      </w:numPr>
    </w:pPr>
  </w:style>
  <w:style w:type="numbering" w:customStyle="1" w:styleId="List470">
    <w:name w:val="List 47.0"/>
  </w:style>
  <w:style w:type="numbering" w:customStyle="1" w:styleId="List99">
    <w:name w:val="List 99"/>
    <w:basedOn w:val="List590"/>
    <w:pPr>
      <w:numPr>
        <w:numId w:val="101"/>
      </w:numPr>
    </w:pPr>
  </w:style>
  <w:style w:type="numbering" w:customStyle="1" w:styleId="List590">
    <w:name w:val="List 59.0"/>
  </w:style>
  <w:style w:type="numbering" w:customStyle="1" w:styleId="List1000">
    <w:name w:val="List 100"/>
    <w:basedOn w:val="List490"/>
    <w:pPr>
      <w:numPr>
        <w:numId w:val="102"/>
      </w:numPr>
    </w:pPr>
  </w:style>
  <w:style w:type="numbering" w:customStyle="1" w:styleId="List490">
    <w:name w:val="List 49.0"/>
  </w:style>
  <w:style w:type="numbering" w:customStyle="1" w:styleId="List101">
    <w:name w:val="List 101"/>
    <w:basedOn w:val="List1200"/>
    <w:pPr>
      <w:numPr>
        <w:numId w:val="103"/>
      </w:numPr>
    </w:pPr>
  </w:style>
  <w:style w:type="numbering" w:customStyle="1" w:styleId="List102">
    <w:name w:val="List 102"/>
    <w:basedOn w:val="List180"/>
    <w:pPr>
      <w:numPr>
        <w:numId w:val="104"/>
      </w:numPr>
    </w:pPr>
  </w:style>
  <w:style w:type="numbering" w:customStyle="1" w:styleId="List103">
    <w:name w:val="List 103"/>
    <w:basedOn w:val="List490"/>
    <w:pPr>
      <w:numPr>
        <w:numId w:val="105"/>
      </w:numPr>
    </w:pPr>
  </w:style>
  <w:style w:type="numbering" w:customStyle="1" w:styleId="List104">
    <w:name w:val="List 104"/>
    <w:basedOn w:val="List490"/>
    <w:pPr>
      <w:numPr>
        <w:numId w:val="106"/>
      </w:numPr>
    </w:pPr>
  </w:style>
  <w:style w:type="numbering" w:customStyle="1" w:styleId="List690">
    <w:name w:val="List 69.0"/>
    <w:pPr>
      <w:numPr>
        <w:numId w:val="107"/>
      </w:numPr>
    </w:pPr>
  </w:style>
  <w:style w:type="numbering" w:customStyle="1" w:styleId="List700">
    <w:name w:val="List 70.0"/>
    <w:pPr>
      <w:numPr>
        <w:numId w:val="108"/>
      </w:numPr>
    </w:pPr>
  </w:style>
  <w:style w:type="numbering" w:customStyle="1" w:styleId="List105">
    <w:name w:val="List 105"/>
    <w:basedOn w:val="List180"/>
    <w:pPr>
      <w:numPr>
        <w:numId w:val="109"/>
      </w:numPr>
    </w:pPr>
  </w:style>
  <w:style w:type="numbering" w:customStyle="1" w:styleId="List106">
    <w:name w:val="List 106"/>
    <w:basedOn w:val="List500"/>
    <w:pPr>
      <w:numPr>
        <w:numId w:val="110"/>
      </w:numPr>
    </w:pPr>
  </w:style>
  <w:style w:type="numbering" w:customStyle="1" w:styleId="List500">
    <w:name w:val="List 50.0"/>
  </w:style>
  <w:style w:type="numbering" w:customStyle="1" w:styleId="List107">
    <w:name w:val="List 107"/>
    <w:basedOn w:val="List510"/>
    <w:pPr>
      <w:numPr>
        <w:numId w:val="111"/>
      </w:numPr>
    </w:pPr>
  </w:style>
  <w:style w:type="numbering" w:customStyle="1" w:styleId="List510">
    <w:name w:val="List 51.0"/>
  </w:style>
  <w:style w:type="numbering" w:customStyle="1" w:styleId="List108">
    <w:name w:val="List 108"/>
    <w:basedOn w:val="List520"/>
    <w:pPr>
      <w:numPr>
        <w:numId w:val="112"/>
      </w:numPr>
    </w:pPr>
  </w:style>
  <w:style w:type="numbering" w:customStyle="1" w:styleId="List520">
    <w:name w:val="List 52.0"/>
  </w:style>
  <w:style w:type="numbering" w:customStyle="1" w:styleId="List109">
    <w:name w:val="List 109"/>
    <w:basedOn w:val="List530"/>
    <w:pPr>
      <w:numPr>
        <w:numId w:val="113"/>
      </w:numPr>
    </w:pPr>
  </w:style>
  <w:style w:type="numbering" w:customStyle="1" w:styleId="List530">
    <w:name w:val="List 53.0"/>
  </w:style>
  <w:style w:type="numbering" w:customStyle="1" w:styleId="List110">
    <w:name w:val="List 110"/>
    <w:basedOn w:val="List540"/>
    <w:pPr>
      <w:numPr>
        <w:numId w:val="114"/>
      </w:numPr>
    </w:pPr>
  </w:style>
  <w:style w:type="numbering" w:customStyle="1" w:styleId="List540">
    <w:name w:val="List 54.0"/>
  </w:style>
  <w:style w:type="numbering" w:customStyle="1" w:styleId="List111">
    <w:name w:val="List 111"/>
    <w:basedOn w:val="List550"/>
    <w:pPr>
      <w:numPr>
        <w:numId w:val="115"/>
      </w:numPr>
    </w:pPr>
  </w:style>
  <w:style w:type="numbering" w:customStyle="1" w:styleId="List550">
    <w:name w:val="List 55.0"/>
  </w:style>
  <w:style w:type="numbering" w:customStyle="1" w:styleId="List112">
    <w:name w:val="List 112"/>
    <w:basedOn w:val="List560"/>
    <w:pPr>
      <w:numPr>
        <w:numId w:val="116"/>
      </w:numPr>
    </w:pPr>
  </w:style>
  <w:style w:type="numbering" w:customStyle="1" w:styleId="List560">
    <w:name w:val="List 56.0"/>
  </w:style>
  <w:style w:type="numbering" w:customStyle="1" w:styleId="List113">
    <w:name w:val="List 113"/>
    <w:basedOn w:val="List570"/>
    <w:pPr>
      <w:numPr>
        <w:numId w:val="117"/>
      </w:numPr>
    </w:pPr>
  </w:style>
  <w:style w:type="numbering" w:customStyle="1" w:styleId="List570">
    <w:name w:val="List 57.0"/>
  </w:style>
  <w:style w:type="numbering" w:customStyle="1" w:styleId="List114">
    <w:name w:val="List 114"/>
    <w:basedOn w:val="List570"/>
    <w:pPr>
      <w:numPr>
        <w:numId w:val="118"/>
      </w:numPr>
    </w:pPr>
  </w:style>
  <w:style w:type="numbering" w:customStyle="1" w:styleId="List115">
    <w:name w:val="List 115"/>
    <w:basedOn w:val="List570"/>
    <w:pPr>
      <w:numPr>
        <w:numId w:val="119"/>
      </w:numPr>
    </w:pPr>
  </w:style>
  <w:style w:type="numbering" w:customStyle="1" w:styleId="List116">
    <w:name w:val="List 116"/>
    <w:basedOn w:val="List540"/>
    <w:pPr>
      <w:numPr>
        <w:numId w:val="120"/>
      </w:numPr>
    </w:pPr>
  </w:style>
  <w:style w:type="numbering" w:customStyle="1" w:styleId="List117">
    <w:name w:val="List 117"/>
    <w:basedOn w:val="List580"/>
    <w:pPr>
      <w:numPr>
        <w:numId w:val="121"/>
      </w:numPr>
    </w:pPr>
  </w:style>
  <w:style w:type="numbering" w:customStyle="1" w:styleId="List580">
    <w:name w:val="List 58.0"/>
  </w:style>
  <w:style w:type="numbering" w:customStyle="1" w:styleId="List118">
    <w:name w:val="List 118"/>
    <w:basedOn w:val="List760"/>
    <w:pPr>
      <w:numPr>
        <w:numId w:val="122"/>
      </w:numPr>
    </w:pPr>
  </w:style>
  <w:style w:type="numbering" w:customStyle="1" w:styleId="List760">
    <w:name w:val="List 76.0"/>
  </w:style>
  <w:style w:type="numbering" w:customStyle="1" w:styleId="List119">
    <w:name w:val="List 119"/>
    <w:basedOn w:val="List6000"/>
    <w:pPr>
      <w:numPr>
        <w:numId w:val="123"/>
      </w:numPr>
    </w:pPr>
  </w:style>
  <w:style w:type="numbering" w:customStyle="1" w:styleId="List6000">
    <w:name w:val="List 60.0"/>
  </w:style>
  <w:style w:type="numbering" w:customStyle="1" w:styleId="List120">
    <w:name w:val="List 120"/>
    <w:basedOn w:val="List610"/>
    <w:pPr>
      <w:numPr>
        <w:numId w:val="124"/>
      </w:numPr>
    </w:pPr>
  </w:style>
  <w:style w:type="numbering" w:customStyle="1" w:styleId="List610">
    <w:name w:val="List 61.0"/>
  </w:style>
  <w:style w:type="numbering" w:customStyle="1" w:styleId="List121">
    <w:name w:val="List 121"/>
    <w:basedOn w:val="List620"/>
    <w:pPr>
      <w:numPr>
        <w:numId w:val="125"/>
      </w:numPr>
    </w:pPr>
  </w:style>
  <w:style w:type="numbering" w:customStyle="1" w:styleId="List620">
    <w:name w:val="List 62.0"/>
  </w:style>
  <w:style w:type="numbering" w:customStyle="1" w:styleId="List122">
    <w:name w:val="List 122"/>
    <w:basedOn w:val="List630"/>
    <w:pPr>
      <w:numPr>
        <w:numId w:val="126"/>
      </w:numPr>
    </w:pPr>
  </w:style>
  <w:style w:type="numbering" w:customStyle="1" w:styleId="List630">
    <w:name w:val="List 63.0"/>
  </w:style>
  <w:style w:type="numbering" w:customStyle="1" w:styleId="List123">
    <w:name w:val="List 123"/>
    <w:basedOn w:val="List630"/>
    <w:pPr>
      <w:numPr>
        <w:numId w:val="127"/>
      </w:numPr>
    </w:pPr>
  </w:style>
  <w:style w:type="numbering" w:customStyle="1" w:styleId="List124">
    <w:name w:val="List 124"/>
    <w:basedOn w:val="List640"/>
    <w:pPr>
      <w:numPr>
        <w:numId w:val="128"/>
      </w:numPr>
    </w:pPr>
  </w:style>
  <w:style w:type="numbering" w:customStyle="1" w:styleId="List640">
    <w:name w:val="List 64.0"/>
  </w:style>
  <w:style w:type="numbering" w:customStyle="1" w:styleId="List125">
    <w:name w:val="List 125"/>
    <w:basedOn w:val="List650"/>
    <w:pPr>
      <w:numPr>
        <w:numId w:val="129"/>
      </w:numPr>
    </w:pPr>
  </w:style>
  <w:style w:type="numbering" w:customStyle="1" w:styleId="List650">
    <w:name w:val="List 65.0"/>
  </w:style>
  <w:style w:type="numbering" w:customStyle="1" w:styleId="List126">
    <w:name w:val="List 126"/>
    <w:basedOn w:val="List660"/>
    <w:pPr>
      <w:numPr>
        <w:numId w:val="130"/>
      </w:numPr>
    </w:pPr>
  </w:style>
  <w:style w:type="numbering" w:customStyle="1" w:styleId="List660">
    <w:name w:val="List 66.0"/>
  </w:style>
  <w:style w:type="numbering" w:customStyle="1" w:styleId="List127">
    <w:name w:val="List 127"/>
    <w:basedOn w:val="List180"/>
    <w:pPr>
      <w:numPr>
        <w:numId w:val="131"/>
      </w:numPr>
    </w:pPr>
  </w:style>
  <w:style w:type="numbering" w:customStyle="1" w:styleId="List128">
    <w:name w:val="List 128"/>
    <w:basedOn w:val="List670"/>
    <w:pPr>
      <w:numPr>
        <w:numId w:val="132"/>
      </w:numPr>
    </w:pPr>
  </w:style>
  <w:style w:type="numbering" w:customStyle="1" w:styleId="List670">
    <w:name w:val="List 67.0"/>
  </w:style>
  <w:style w:type="numbering" w:customStyle="1" w:styleId="List129">
    <w:name w:val="List 129"/>
    <w:basedOn w:val="List490"/>
    <w:pPr>
      <w:numPr>
        <w:numId w:val="133"/>
      </w:numPr>
    </w:pPr>
  </w:style>
  <w:style w:type="numbering" w:customStyle="1" w:styleId="List130">
    <w:name w:val="List 130"/>
    <w:basedOn w:val="List680"/>
    <w:pPr>
      <w:numPr>
        <w:numId w:val="134"/>
      </w:numPr>
    </w:pPr>
  </w:style>
  <w:style w:type="numbering" w:customStyle="1" w:styleId="List680">
    <w:name w:val="List 68.0"/>
  </w:style>
  <w:style w:type="numbering" w:customStyle="1" w:styleId="List131">
    <w:name w:val="List 131"/>
    <w:basedOn w:val="List6000"/>
    <w:pPr>
      <w:numPr>
        <w:numId w:val="135"/>
      </w:numPr>
    </w:pPr>
  </w:style>
  <w:style w:type="numbering" w:customStyle="1" w:styleId="List132">
    <w:name w:val="List 132"/>
    <w:basedOn w:val="List580"/>
    <w:pPr>
      <w:numPr>
        <w:numId w:val="136"/>
      </w:numPr>
    </w:pPr>
  </w:style>
  <w:style w:type="numbering" w:customStyle="1" w:styleId="List133">
    <w:name w:val="List 133"/>
    <w:basedOn w:val="List580"/>
    <w:pPr>
      <w:numPr>
        <w:numId w:val="137"/>
      </w:numPr>
    </w:pPr>
  </w:style>
  <w:style w:type="numbering" w:customStyle="1" w:styleId="List134">
    <w:name w:val="List 134"/>
    <w:basedOn w:val="List510"/>
    <w:pPr>
      <w:numPr>
        <w:numId w:val="138"/>
      </w:numPr>
    </w:pPr>
  </w:style>
  <w:style w:type="numbering" w:customStyle="1" w:styleId="List135">
    <w:name w:val="List 135"/>
    <w:basedOn w:val="List770"/>
    <w:pPr>
      <w:numPr>
        <w:numId w:val="139"/>
      </w:numPr>
    </w:pPr>
  </w:style>
  <w:style w:type="numbering" w:customStyle="1" w:styleId="List770">
    <w:name w:val="List 77.0"/>
  </w:style>
  <w:style w:type="numbering" w:customStyle="1" w:styleId="List136">
    <w:name w:val="List 136"/>
    <w:basedOn w:val="List770"/>
    <w:pPr>
      <w:numPr>
        <w:numId w:val="140"/>
      </w:numPr>
    </w:pPr>
  </w:style>
  <w:style w:type="numbering" w:customStyle="1" w:styleId="List137">
    <w:name w:val="List 137"/>
    <w:basedOn w:val="List770"/>
    <w:pPr>
      <w:numPr>
        <w:numId w:val="141"/>
      </w:numPr>
    </w:pPr>
  </w:style>
  <w:style w:type="numbering" w:customStyle="1" w:styleId="List138">
    <w:name w:val="List 138"/>
    <w:basedOn w:val="List500"/>
    <w:pPr>
      <w:numPr>
        <w:numId w:val="142"/>
      </w:numPr>
    </w:pPr>
  </w:style>
  <w:style w:type="numbering" w:customStyle="1" w:styleId="List139">
    <w:name w:val="List 139"/>
    <w:basedOn w:val="List780"/>
    <w:pPr>
      <w:numPr>
        <w:numId w:val="143"/>
      </w:numPr>
    </w:pPr>
  </w:style>
  <w:style w:type="numbering" w:customStyle="1" w:styleId="List780">
    <w:name w:val="List 78.0"/>
  </w:style>
  <w:style w:type="numbering" w:customStyle="1" w:styleId="List140">
    <w:name w:val="List 140"/>
    <w:basedOn w:val="List790"/>
    <w:pPr>
      <w:numPr>
        <w:numId w:val="144"/>
      </w:numPr>
    </w:pPr>
  </w:style>
  <w:style w:type="numbering" w:customStyle="1" w:styleId="List790">
    <w:name w:val="List 79.0"/>
  </w:style>
  <w:style w:type="numbering" w:customStyle="1" w:styleId="List141">
    <w:name w:val="List 141"/>
    <w:basedOn w:val="List490"/>
    <w:pPr>
      <w:numPr>
        <w:numId w:val="145"/>
      </w:numPr>
    </w:pPr>
  </w:style>
  <w:style w:type="numbering" w:customStyle="1" w:styleId="List142">
    <w:name w:val="List 142"/>
    <w:basedOn w:val="List710"/>
    <w:pPr>
      <w:numPr>
        <w:numId w:val="146"/>
      </w:numPr>
    </w:pPr>
  </w:style>
  <w:style w:type="numbering" w:customStyle="1" w:styleId="List710">
    <w:name w:val="List 71.0"/>
  </w:style>
  <w:style w:type="numbering" w:customStyle="1" w:styleId="List143">
    <w:name w:val="List 143"/>
    <w:basedOn w:val="List720"/>
    <w:pPr>
      <w:numPr>
        <w:numId w:val="147"/>
      </w:numPr>
    </w:pPr>
  </w:style>
  <w:style w:type="numbering" w:customStyle="1" w:styleId="List720">
    <w:name w:val="List 72.0"/>
  </w:style>
  <w:style w:type="numbering" w:customStyle="1" w:styleId="List144">
    <w:name w:val="List 144"/>
    <w:basedOn w:val="List180"/>
    <w:pPr>
      <w:numPr>
        <w:numId w:val="148"/>
      </w:numPr>
    </w:pPr>
  </w:style>
  <w:style w:type="numbering" w:customStyle="1" w:styleId="List145">
    <w:name w:val="List 145"/>
    <w:basedOn w:val="List730"/>
    <w:pPr>
      <w:numPr>
        <w:numId w:val="149"/>
      </w:numPr>
    </w:pPr>
  </w:style>
  <w:style w:type="numbering" w:customStyle="1" w:styleId="List730">
    <w:name w:val="List 73.0"/>
  </w:style>
  <w:style w:type="numbering" w:customStyle="1" w:styleId="List146">
    <w:name w:val="List 146"/>
    <w:basedOn w:val="List740"/>
    <w:pPr>
      <w:numPr>
        <w:numId w:val="150"/>
      </w:numPr>
    </w:pPr>
  </w:style>
  <w:style w:type="numbering" w:customStyle="1" w:styleId="List740">
    <w:name w:val="List 74.0"/>
  </w:style>
  <w:style w:type="numbering" w:customStyle="1" w:styleId="List147">
    <w:name w:val="List 147"/>
    <w:basedOn w:val="List750"/>
    <w:pPr>
      <w:numPr>
        <w:numId w:val="151"/>
      </w:numPr>
    </w:pPr>
  </w:style>
  <w:style w:type="numbering" w:customStyle="1" w:styleId="List750">
    <w:name w:val="List 75.0"/>
  </w:style>
  <w:style w:type="paragraph" w:styleId="Subtitle">
    <w:name w:val="Subtitle"/>
    <w:basedOn w:val="Normal"/>
    <w:next w:val="Normal"/>
    <w:link w:val="SubtitleChar"/>
    <w:uiPriority w:val="11"/>
    <w:qFormat/>
    <w:rsid w:val="006F413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6F4132"/>
    <w:rPr>
      <w:rFonts w:asciiTheme="majorHAnsi" w:eastAsiaTheme="majorEastAsia" w:hAnsiTheme="majorHAnsi" w:cstheme="majorBidi"/>
      <w:i/>
      <w:iCs/>
      <w:color w:val="4F81BD" w:themeColor="accent1"/>
      <w:spacing w:val="15"/>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898A0-B116-434D-BEBD-71EC40B56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94</Pages>
  <Words>39409</Words>
  <Characters>224637</Characters>
  <Application>Microsoft Macintosh Word</Application>
  <DocSecurity>0</DocSecurity>
  <Lines>1871</Lines>
  <Paragraphs>527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Assemblée nationale</Company>
  <LinksUpToDate>false</LinksUpToDate>
  <CharactersWithSpaces>263519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Gervais Cloutier, Mareine</dc:creator>
  <cp:lastModifiedBy>Alexa  Abecassis</cp:lastModifiedBy>
  <cp:revision>2</cp:revision>
  <dcterms:created xsi:type="dcterms:W3CDTF">2016-05-12T22:41:00Z</dcterms:created>
  <dcterms:modified xsi:type="dcterms:W3CDTF">2016-05-12T22:41:00Z</dcterms:modified>
</cp:coreProperties>
</file>