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BBA" w:rsidRDefault="001E094E" w:rsidP="001E094E">
      <w:pPr>
        <w:jc w:val="center"/>
      </w:pPr>
      <w:r>
        <w:t>Landlord and Tenant law</w:t>
      </w:r>
    </w:p>
    <w:p w:rsidR="001E094E" w:rsidRDefault="001E094E" w:rsidP="001E094E">
      <w:pPr>
        <w:jc w:val="right"/>
      </w:pPr>
      <w:r>
        <w:t>Jan 19</w:t>
      </w:r>
      <w:r w:rsidRPr="001E094E">
        <w:rPr>
          <w:vertAlign w:val="superscript"/>
        </w:rPr>
        <w:t>th</w:t>
      </w:r>
      <w:r>
        <w:t xml:space="preserve"> 2011</w:t>
      </w:r>
    </w:p>
    <w:p w:rsidR="001E094E" w:rsidRDefault="001E094E" w:rsidP="001E094E">
      <w:pPr>
        <w:pStyle w:val="ListParagraph"/>
        <w:numPr>
          <w:ilvl w:val="0"/>
          <w:numId w:val="2"/>
        </w:numPr>
      </w:pPr>
      <w:r>
        <w:t xml:space="preserve">Most landlords do not qualify for  legal services b/c they have assets (land) </w:t>
      </w:r>
    </w:p>
    <w:p w:rsidR="001E094E" w:rsidRDefault="003A3618" w:rsidP="001E094E">
      <w:pPr>
        <w:pStyle w:val="ListParagraph"/>
        <w:numPr>
          <w:ilvl w:val="0"/>
          <w:numId w:val="2"/>
        </w:numPr>
      </w:pPr>
      <w:r>
        <w:t xml:space="preserve"> Law applies to residential tenancies (NOT commercial)</w:t>
      </w:r>
    </w:p>
    <w:p w:rsidR="003A3618" w:rsidRDefault="003A3618" w:rsidP="003A3618">
      <w:pPr>
        <w:pStyle w:val="ListParagraph"/>
        <w:numPr>
          <w:ilvl w:val="1"/>
          <w:numId w:val="2"/>
        </w:numPr>
      </w:pPr>
      <w:r>
        <w:t>Start with residential Tenancies Act (RTA)</w:t>
      </w:r>
    </w:p>
    <w:p w:rsidR="003A3618" w:rsidRDefault="003A3618" w:rsidP="003A3618">
      <w:pPr>
        <w:pStyle w:val="ListParagraph"/>
        <w:numPr>
          <w:ilvl w:val="1"/>
          <w:numId w:val="2"/>
        </w:numPr>
      </w:pPr>
      <w:r>
        <w:t>Must first determine whether it is residential, if it is, it falls under RTA</w:t>
      </w:r>
    </w:p>
    <w:p w:rsidR="003A3618" w:rsidRDefault="003A3618" w:rsidP="003A3618">
      <w:pPr>
        <w:pStyle w:val="ListParagraph"/>
        <w:numPr>
          <w:ilvl w:val="0"/>
          <w:numId w:val="2"/>
        </w:numPr>
      </w:pPr>
      <w:r>
        <w:t>GOOD EXAM QUESTION</w:t>
      </w:r>
    </w:p>
    <w:p w:rsidR="003A3618" w:rsidRDefault="003A3618" w:rsidP="003A3618">
      <w:pPr>
        <w:pStyle w:val="ListParagraph"/>
        <w:numPr>
          <w:ilvl w:val="1"/>
          <w:numId w:val="2"/>
        </w:numPr>
      </w:pPr>
      <w:r>
        <w:t>S.5 of the RTA lists exemptions</w:t>
      </w:r>
    </w:p>
    <w:p w:rsidR="003A3618" w:rsidRDefault="003A3618" w:rsidP="003A3618">
      <w:pPr>
        <w:pStyle w:val="ListParagraph"/>
        <w:numPr>
          <w:ilvl w:val="2"/>
          <w:numId w:val="2"/>
        </w:numPr>
      </w:pPr>
      <w:r>
        <w:t xml:space="preserve">Non-profit co-op housing </w:t>
      </w:r>
    </w:p>
    <w:p w:rsidR="003A3618" w:rsidRDefault="003A3618" w:rsidP="003A3618">
      <w:pPr>
        <w:pStyle w:val="ListParagraph"/>
        <w:numPr>
          <w:ilvl w:val="2"/>
          <w:numId w:val="2"/>
        </w:numPr>
      </w:pPr>
      <w:r>
        <w:t>Penal or correctional facilities</w:t>
      </w:r>
    </w:p>
    <w:p w:rsidR="003A3618" w:rsidRPr="003A3618" w:rsidRDefault="003A3618" w:rsidP="003A3618">
      <w:pPr>
        <w:pStyle w:val="ListParagraph"/>
        <w:numPr>
          <w:ilvl w:val="2"/>
          <w:numId w:val="2"/>
        </w:numPr>
      </w:pPr>
      <w:r>
        <w:t xml:space="preserve">Tenant shares a bathroom or kitchen facility with the </w:t>
      </w:r>
      <w:r>
        <w:rPr>
          <w:u w:val="single"/>
        </w:rPr>
        <w:t xml:space="preserve">owner or the owner’s family </w:t>
      </w:r>
    </w:p>
    <w:p w:rsidR="003A3618" w:rsidRPr="003A3618" w:rsidRDefault="003A3618" w:rsidP="003A3618">
      <w:pPr>
        <w:pStyle w:val="ListParagraph"/>
        <w:numPr>
          <w:ilvl w:val="3"/>
          <w:numId w:val="2"/>
        </w:numPr>
      </w:pPr>
      <w:r>
        <w:t>Considered a border, not a tenant, only renting a room</w:t>
      </w:r>
    </w:p>
    <w:p w:rsidR="003A3618" w:rsidRDefault="003A3618" w:rsidP="003A3618">
      <w:pPr>
        <w:pStyle w:val="ListParagraph"/>
        <w:numPr>
          <w:ilvl w:val="2"/>
          <w:numId w:val="2"/>
        </w:numPr>
      </w:pPr>
      <w:r>
        <w:t>Residence in a university</w:t>
      </w:r>
    </w:p>
    <w:p w:rsidR="003A3618" w:rsidRDefault="003A3618" w:rsidP="003A3618">
      <w:pPr>
        <w:pStyle w:val="ListParagraph"/>
        <w:numPr>
          <w:ilvl w:val="1"/>
          <w:numId w:val="2"/>
        </w:numPr>
      </w:pPr>
      <w:r>
        <w:t>These fall under a separate act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If the RTA does NOT apply, there are still protections under the common law (Judge Made Law) and/or other statutes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Landlord Tenant Board is the forum that hears residential tenancy disputes where the RTA applies and where money amount is under $25,000 (s.207 RTA)</w:t>
      </w:r>
    </w:p>
    <w:p w:rsidR="00D466B1" w:rsidRDefault="00D466B1" w:rsidP="00D466B1">
      <w:r>
        <w:t>Applying and entering into a Tenancy Agreement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Written/oral tenancy agreements</w:t>
      </w:r>
    </w:p>
    <w:p w:rsidR="00D466B1" w:rsidRDefault="00D466B1" w:rsidP="00D466B1">
      <w:pPr>
        <w:pStyle w:val="ListParagraph"/>
        <w:numPr>
          <w:ilvl w:val="1"/>
          <w:numId w:val="2"/>
        </w:numPr>
      </w:pPr>
      <w:r>
        <w:t xml:space="preserve">Even though the law recognizes oral tenancy agreements, get it in writing 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Terms (length of tenancy)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When tenancy Begins</w:t>
      </w:r>
      <w:r>
        <w:rPr>
          <w:b/>
        </w:rPr>
        <w:t xml:space="preserve"> high exam probability, </w:t>
      </w:r>
      <w:proofErr w:type="spellStart"/>
      <w:r>
        <w:rPr>
          <w:b/>
        </w:rPr>
        <w:t>IMPorTANT</w:t>
      </w:r>
      <w:proofErr w:type="spellEnd"/>
    </w:p>
    <w:p w:rsidR="00D466B1" w:rsidRDefault="00D466B1" w:rsidP="00D466B1">
      <w:pPr>
        <w:pStyle w:val="ListParagraph"/>
        <w:numPr>
          <w:ilvl w:val="1"/>
          <w:numId w:val="2"/>
        </w:numPr>
      </w:pPr>
      <w:r>
        <w:t>The term of a tenancy begins on the day the tenant is entitled to occupy the rental unit under the tenancy agreement s. 13(1) RTA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Actual entry not required</w:t>
      </w:r>
    </w:p>
    <w:p w:rsidR="00D466B1" w:rsidRDefault="00D466B1" w:rsidP="00D466B1">
      <w:pPr>
        <w:pStyle w:val="ListParagraph"/>
        <w:numPr>
          <w:ilvl w:val="1"/>
          <w:numId w:val="2"/>
        </w:numPr>
      </w:pPr>
      <w:r>
        <w:t>A tenancy agreement takes effect when the tenant is entitled to occupy the rental unit even if the tenant does not actually occupy it s.13(2) RTA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Guarantors and co-signers</w:t>
      </w:r>
    </w:p>
    <w:p w:rsidR="00D466B1" w:rsidRDefault="00D466B1" w:rsidP="00D466B1">
      <w:pPr>
        <w:pStyle w:val="ListParagraph"/>
        <w:numPr>
          <w:ilvl w:val="1"/>
          <w:numId w:val="2"/>
        </w:numPr>
      </w:pPr>
      <w:r>
        <w:t xml:space="preserve">If a guarantor guarantees to a landlord on behalf of a tenant, they have to pay obligations if </w:t>
      </w:r>
      <w:r w:rsidR="006D0116">
        <w:t>tenant doesn’t pay</w:t>
      </w:r>
    </w:p>
    <w:p w:rsidR="00D466B1" w:rsidRDefault="00D466B1" w:rsidP="00D466B1">
      <w:pPr>
        <w:pStyle w:val="ListParagraph"/>
        <w:numPr>
          <w:ilvl w:val="0"/>
          <w:numId w:val="2"/>
        </w:numPr>
      </w:pPr>
      <w:r>
        <w:t>Pets prohibition in tenancy act are void, even if it is in the contract</w:t>
      </w:r>
    </w:p>
    <w:p w:rsidR="00D466B1" w:rsidRDefault="006D0116" w:rsidP="00D466B1">
      <w:pPr>
        <w:pStyle w:val="ListParagraph"/>
        <w:numPr>
          <w:ilvl w:val="0"/>
          <w:numId w:val="2"/>
        </w:numPr>
      </w:pPr>
      <w:r>
        <w:t>O. Re. 290/98 business Practices permissible to landlords in selecting tenants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 xml:space="preserve">Read </w:t>
      </w:r>
      <w:proofErr w:type="spellStart"/>
      <w:r>
        <w:t>powerpoint</w:t>
      </w:r>
      <w:proofErr w:type="spellEnd"/>
      <w:r>
        <w:t xml:space="preserve"> on </w:t>
      </w:r>
      <w:proofErr w:type="spellStart"/>
      <w:r>
        <w:t>webct</w:t>
      </w:r>
      <w:proofErr w:type="spellEnd"/>
    </w:p>
    <w:p w:rsidR="006D0116" w:rsidRPr="006D0116" w:rsidRDefault="006D0116" w:rsidP="006D0116">
      <w:pPr>
        <w:pStyle w:val="ListParagraph"/>
        <w:numPr>
          <w:ilvl w:val="0"/>
          <w:numId w:val="2"/>
        </w:numPr>
      </w:pPr>
      <w:r>
        <w:rPr>
          <w:b/>
        </w:rPr>
        <w:t>Acceptance process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Methods of acceptance (oral or written) + concept of consensus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 xml:space="preserve">Consensus </w:t>
      </w:r>
      <w:r>
        <w:rPr>
          <w:i/>
        </w:rPr>
        <w:t>ad idem</w:t>
      </w:r>
      <w:r>
        <w:t xml:space="preserve"> – an agreement of parties to the same thing, a meeting of minds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lastRenderedPageBreak/>
        <w:t>Requirements for written tenancy agreements (s. 12 RTA)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A written tenancy agreement must set out the legal name and address of the landlord s.12(1) RTA</w:t>
      </w:r>
    </w:p>
    <w:p w:rsidR="006D0116" w:rsidRDefault="006D0116" w:rsidP="006D0116">
      <w:pPr>
        <w:pStyle w:val="ListParagraph"/>
        <w:numPr>
          <w:ilvl w:val="3"/>
          <w:numId w:val="2"/>
        </w:numPr>
      </w:pPr>
      <w:r>
        <w:t>Easier contact of the landlord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If the tenancy agreement is in writing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If a tenancy agreement is in writing, landlord must give a copy of agreement 21 days after tenant signs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if they don’t obligation to pay rent is suspended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don’t need to pay rent unless or until the tenancy obligation is fulfilled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if oral tenancy agreement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landlord must give name and address in writing within 21 days after the tenancy begins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After landlord complies, you MUST pay rent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After landlord complies, you MUST pay rent</w:t>
      </w:r>
    </w:p>
    <w:p w:rsidR="006D0116" w:rsidRDefault="006D0116" w:rsidP="006D0116">
      <w:pPr>
        <w:pStyle w:val="ListParagraph"/>
        <w:numPr>
          <w:ilvl w:val="0"/>
          <w:numId w:val="2"/>
        </w:numPr>
      </w:pPr>
      <w:r>
        <w:t>Acceleration clause void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Acceleration clause is a provision in a tenancy agreement that makes the tenant pay extra money</w:t>
      </w:r>
    </w:p>
    <w:p w:rsidR="006D0116" w:rsidRDefault="006D0116" w:rsidP="006D0116">
      <w:pPr>
        <w:pStyle w:val="ListParagraph"/>
        <w:numPr>
          <w:ilvl w:val="2"/>
          <w:numId w:val="2"/>
        </w:numPr>
      </w:pPr>
      <w:r>
        <w:t>If you don’t pay your month one money, all the total rent remaining for the rest of the months or next month’s rent is due the next day (acceleration clause)</w:t>
      </w:r>
    </w:p>
    <w:p w:rsidR="006D0116" w:rsidRDefault="006D0116" w:rsidP="006D0116">
      <w:pPr>
        <w:pStyle w:val="ListParagraph"/>
        <w:numPr>
          <w:ilvl w:val="0"/>
          <w:numId w:val="2"/>
        </w:numPr>
      </w:pPr>
      <w:r>
        <w:t>No pet provisions void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>Exceptions such as excessive barking</w:t>
      </w:r>
    </w:p>
    <w:p w:rsidR="006D0116" w:rsidRDefault="006D0116" w:rsidP="006D0116">
      <w:pPr>
        <w:pStyle w:val="ListParagraph"/>
        <w:numPr>
          <w:ilvl w:val="1"/>
          <w:numId w:val="2"/>
        </w:numPr>
      </w:pPr>
      <w:r>
        <w:t xml:space="preserve">But </w:t>
      </w:r>
      <w:r w:rsidR="00597F47">
        <w:t>presenc</w:t>
      </w:r>
      <w:r>
        <w:t>e of animal in itself is not enough to proh</w:t>
      </w:r>
      <w:r w:rsidR="00597F47">
        <w:t>ibit animal</w:t>
      </w:r>
    </w:p>
    <w:p w:rsidR="00597F47" w:rsidRDefault="00597F47" w:rsidP="00597F47">
      <w:pPr>
        <w:pStyle w:val="ListParagraph"/>
        <w:numPr>
          <w:ilvl w:val="0"/>
          <w:numId w:val="2"/>
        </w:numPr>
      </w:pPr>
      <w:r>
        <w:t>When act and written agreement are in conflict, the act takes precedence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If the RTA is silent on an issue that is covered in written agreement, agreement wins</w:t>
      </w:r>
    </w:p>
    <w:p w:rsidR="00597F47" w:rsidRPr="00597F47" w:rsidRDefault="00597F47" w:rsidP="00597F47">
      <w:pPr>
        <w:pStyle w:val="ListParagraph"/>
        <w:numPr>
          <w:ilvl w:val="0"/>
          <w:numId w:val="2"/>
        </w:numPr>
      </w:pPr>
      <w:r>
        <w:rPr>
          <w:b/>
        </w:rPr>
        <w:t>*MAYBE ON EXAM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If you come to mediated settlement and landlord tenant Board</w:t>
      </w:r>
    </w:p>
    <w:p w:rsidR="00597F47" w:rsidRDefault="00597F47" w:rsidP="00597F47">
      <w:pPr>
        <w:pStyle w:val="ListParagraph"/>
        <w:numPr>
          <w:ilvl w:val="2"/>
          <w:numId w:val="2"/>
        </w:numPr>
      </w:pPr>
      <w:r>
        <w:t>If landlord/tenant can resolve issues through mediation, whatever terms they can come up with is allowed to be inconsistent with the RTA</w:t>
      </w:r>
    </w:p>
    <w:p w:rsidR="00597F47" w:rsidRPr="00597F47" w:rsidRDefault="00597F47" w:rsidP="00597F47">
      <w:pPr>
        <w:pStyle w:val="ListParagraph"/>
        <w:numPr>
          <w:ilvl w:val="0"/>
          <w:numId w:val="2"/>
        </w:numPr>
      </w:pPr>
      <w:r>
        <w:rPr>
          <w:b/>
        </w:rPr>
        <w:t>This issue will be on exam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Security of tenure</w:t>
      </w:r>
    </w:p>
    <w:p w:rsidR="00597F47" w:rsidRDefault="00597F47" w:rsidP="00597F47">
      <w:pPr>
        <w:pStyle w:val="ListParagraph"/>
        <w:numPr>
          <w:ilvl w:val="2"/>
          <w:numId w:val="2"/>
        </w:numPr>
      </w:pPr>
      <w:r>
        <w:t>Tenancy may be terminated by only in accordance with the RTA s. 37 (1) RTA</w:t>
      </w:r>
    </w:p>
    <w:p w:rsidR="00597F47" w:rsidRDefault="00597F47" w:rsidP="00597F47">
      <w:pPr>
        <w:pStyle w:val="ListParagraph"/>
        <w:numPr>
          <w:ilvl w:val="2"/>
          <w:numId w:val="2"/>
        </w:numPr>
      </w:pPr>
      <w:r>
        <w:t>Only legal way tenancy can be terminated by order of the LTB (or court) agreement or through proper notice</w:t>
      </w:r>
    </w:p>
    <w:p w:rsidR="00597F47" w:rsidRDefault="00597F47" w:rsidP="00597F47">
      <w:pPr>
        <w:pStyle w:val="ListParagraph"/>
        <w:numPr>
          <w:ilvl w:val="3"/>
          <w:numId w:val="2"/>
        </w:numPr>
      </w:pPr>
      <w:r>
        <w:t>60 day notice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However, a  notice of termination need not be given if a landlord and a tenant have agreed to terminate the tenancy s. 37 (3)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 xml:space="preserve">Landlord can terminate tenancy on fault grounds and </w:t>
      </w:r>
      <w:proofErr w:type="spellStart"/>
      <w:r>
        <w:t>non fault</w:t>
      </w:r>
      <w:proofErr w:type="spellEnd"/>
      <w:r>
        <w:t xml:space="preserve"> ground</w:t>
      </w:r>
    </w:p>
    <w:p w:rsidR="00597F47" w:rsidRDefault="00597F47" w:rsidP="00597F47">
      <w:pPr>
        <w:pStyle w:val="ListParagraph"/>
        <w:numPr>
          <w:ilvl w:val="2"/>
          <w:numId w:val="2"/>
        </w:numPr>
      </w:pPr>
      <w:r>
        <w:t>Fault ground being that you haven’t paid rent</w:t>
      </w:r>
    </w:p>
    <w:p w:rsidR="00597F47" w:rsidRDefault="00597F47" w:rsidP="00597F47">
      <w:pPr>
        <w:pStyle w:val="ListParagraph"/>
        <w:numPr>
          <w:ilvl w:val="2"/>
          <w:numId w:val="2"/>
        </w:numPr>
      </w:pPr>
      <w:r>
        <w:t>Non-fault ground is they want to move in</w:t>
      </w:r>
    </w:p>
    <w:p w:rsidR="00597F47" w:rsidRPr="00597F47" w:rsidRDefault="00597F47" w:rsidP="00597F47">
      <w:pPr>
        <w:pStyle w:val="ListParagraph"/>
        <w:numPr>
          <w:ilvl w:val="0"/>
          <w:numId w:val="2"/>
        </w:numPr>
        <w:rPr>
          <w:b/>
        </w:rPr>
      </w:pPr>
      <w:r w:rsidRPr="00597F47">
        <w:rPr>
          <w:b/>
        </w:rPr>
        <w:t>ON THE EXAM, Three ways to end tenancy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Order of the court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By mutual agreement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lastRenderedPageBreak/>
        <w:t>Proper notice</w:t>
      </w:r>
    </w:p>
    <w:p w:rsidR="00597F47" w:rsidRDefault="00597F47" w:rsidP="00597F47">
      <w:pPr>
        <w:pStyle w:val="ListParagraph"/>
        <w:numPr>
          <w:ilvl w:val="0"/>
          <w:numId w:val="2"/>
        </w:numPr>
      </w:pPr>
      <w:r>
        <w:t>Security deposits are legal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E.g. first and last month’s rent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Security deposit cannot be greater than one month’s rent</w:t>
      </w:r>
    </w:p>
    <w:p w:rsidR="00597F47" w:rsidRDefault="00597F47" w:rsidP="00597F47">
      <w:pPr>
        <w:pStyle w:val="ListParagraph"/>
        <w:numPr>
          <w:ilvl w:val="1"/>
          <w:numId w:val="2"/>
        </w:numPr>
      </w:pPr>
      <w:r>
        <w:t>If they want the security deposit they must address it before you enter into the agreement</w:t>
      </w:r>
    </w:p>
    <w:p w:rsidR="00B16535" w:rsidRDefault="00B16535" w:rsidP="00597F47">
      <w:pPr>
        <w:pStyle w:val="ListParagraph"/>
        <w:numPr>
          <w:ilvl w:val="1"/>
          <w:numId w:val="2"/>
        </w:numPr>
      </w:pPr>
      <w:r>
        <w:t>If rent is paid on weekly basis, the security deposit can only be as great as the weekly rent</w:t>
      </w:r>
    </w:p>
    <w:p w:rsidR="00B16535" w:rsidRDefault="00B16535" w:rsidP="00B16535">
      <w:pPr>
        <w:pStyle w:val="ListParagraph"/>
        <w:numPr>
          <w:ilvl w:val="0"/>
          <w:numId w:val="2"/>
        </w:numPr>
      </w:pPr>
      <w:r>
        <w:t>Post-dated cheques</w:t>
      </w:r>
    </w:p>
    <w:p w:rsidR="00B16535" w:rsidRDefault="00B16535" w:rsidP="00B16535">
      <w:pPr>
        <w:pStyle w:val="ListParagraph"/>
        <w:numPr>
          <w:ilvl w:val="1"/>
          <w:numId w:val="2"/>
        </w:numPr>
      </w:pPr>
      <w:r>
        <w:t>Are non-enforceable</w:t>
      </w:r>
    </w:p>
    <w:p w:rsidR="00B16535" w:rsidRDefault="00B16535" w:rsidP="00B16535">
      <w:pPr>
        <w:pStyle w:val="ListParagraph"/>
        <w:numPr>
          <w:ilvl w:val="2"/>
          <w:numId w:val="2"/>
        </w:numPr>
      </w:pPr>
      <w:r>
        <w:t>Clause for post-dated cheques are void</w:t>
      </w:r>
    </w:p>
    <w:p w:rsidR="00B16535" w:rsidRPr="00B16535" w:rsidRDefault="00B16535" w:rsidP="00B16535">
      <w:pPr>
        <w:pStyle w:val="ListParagraph"/>
        <w:numPr>
          <w:ilvl w:val="0"/>
          <w:numId w:val="2"/>
        </w:numPr>
      </w:pPr>
      <w:r>
        <w:rPr>
          <w:b/>
        </w:rPr>
        <w:t>MAY BE ON EXAM</w:t>
      </w:r>
    </w:p>
    <w:p w:rsidR="00B16535" w:rsidRDefault="00B16535" w:rsidP="00B16535">
      <w:pPr>
        <w:pStyle w:val="ListParagraph"/>
        <w:numPr>
          <w:ilvl w:val="1"/>
          <w:numId w:val="2"/>
        </w:numPr>
      </w:pPr>
      <w:r>
        <w:t>Landlord must not rent portions of a unit out at prices which, when added together, are more than the amount that the landlord can lawfully charge for the whole unit: s.134(1) (c)</w:t>
      </w:r>
    </w:p>
    <w:p w:rsidR="00B16535" w:rsidRDefault="00B16535" w:rsidP="00B16535">
      <w:pPr>
        <w:pStyle w:val="ListParagraph"/>
        <w:numPr>
          <w:ilvl w:val="0"/>
          <w:numId w:val="2"/>
        </w:numPr>
      </w:pPr>
      <w:r>
        <w:t>Roommate Agreements</w:t>
      </w:r>
    </w:p>
    <w:p w:rsidR="00B16535" w:rsidRDefault="00B16535" w:rsidP="00B16535">
      <w:pPr>
        <w:pStyle w:val="ListParagraph"/>
        <w:numPr>
          <w:ilvl w:val="1"/>
          <w:numId w:val="2"/>
        </w:numPr>
      </w:pPr>
      <w:r>
        <w:t>Good idea – avoids conflict and sets out legal obligations, responsibilities and remedies</w:t>
      </w:r>
    </w:p>
    <w:p w:rsidR="00B16535" w:rsidRPr="00DB2247" w:rsidRDefault="00B16535" w:rsidP="00B16535">
      <w:pPr>
        <w:pStyle w:val="ListParagraph"/>
        <w:numPr>
          <w:ilvl w:val="1"/>
          <w:numId w:val="2"/>
        </w:numPr>
        <w:rPr>
          <w:b/>
        </w:rPr>
      </w:pPr>
      <w:r w:rsidRPr="00DB2247">
        <w:rPr>
          <w:b/>
        </w:rPr>
        <w:t>Joint and several liability</w:t>
      </w:r>
    </w:p>
    <w:p w:rsidR="00B16535" w:rsidRPr="00DB2247" w:rsidRDefault="00B16535" w:rsidP="00B16535">
      <w:pPr>
        <w:pStyle w:val="ListParagraph"/>
        <w:numPr>
          <w:ilvl w:val="2"/>
          <w:numId w:val="2"/>
        </w:numPr>
        <w:rPr>
          <w:b/>
        </w:rPr>
      </w:pPr>
      <w:r w:rsidRPr="00DB2247">
        <w:rPr>
          <w:b/>
        </w:rPr>
        <w:t>Joint – all tenants are responsible for the rent</w:t>
      </w:r>
    </w:p>
    <w:p w:rsidR="00B16535" w:rsidRDefault="00B16535" w:rsidP="00B16535">
      <w:pPr>
        <w:pStyle w:val="ListParagraph"/>
        <w:numPr>
          <w:ilvl w:val="2"/>
          <w:numId w:val="2"/>
        </w:numPr>
        <w:rPr>
          <w:b/>
        </w:rPr>
      </w:pPr>
      <w:r w:rsidRPr="00DB2247">
        <w:rPr>
          <w:b/>
        </w:rPr>
        <w:t>Several – if one tenant does not pay, the other tenants are responsible</w:t>
      </w:r>
    </w:p>
    <w:p w:rsidR="00DB2247" w:rsidRDefault="00DB2247" w:rsidP="00DB2247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>If one tenant destroys the house, you will be held liable by landlord</w:t>
      </w:r>
    </w:p>
    <w:p w:rsidR="00DB2247" w:rsidRPr="00DB2247" w:rsidRDefault="00DB2247" w:rsidP="00DB2247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>However you can turn around and sue absconding tenant</w:t>
      </w:r>
      <w:bookmarkStart w:id="0" w:name="_GoBack"/>
      <w:bookmarkEnd w:id="0"/>
    </w:p>
    <w:p w:rsidR="00B16535" w:rsidRDefault="00B16535" w:rsidP="00B16535">
      <w:pPr>
        <w:pStyle w:val="ListParagraph"/>
        <w:numPr>
          <w:ilvl w:val="1"/>
          <w:numId w:val="2"/>
        </w:numPr>
      </w:pPr>
      <w:r>
        <w:t>Sample Agreement (see course materials)</w:t>
      </w:r>
    </w:p>
    <w:p w:rsidR="00B16535" w:rsidRDefault="00B16535" w:rsidP="00B16535">
      <w:pPr>
        <w:pStyle w:val="ListParagraph"/>
        <w:numPr>
          <w:ilvl w:val="1"/>
          <w:numId w:val="2"/>
        </w:numPr>
      </w:pPr>
      <w:r>
        <w:t>Enforcement, i.e. What if my roommate does not pay?</w:t>
      </w:r>
    </w:p>
    <w:p w:rsidR="00B16535" w:rsidRDefault="00B16535" w:rsidP="00B16535">
      <w:pPr>
        <w:pStyle w:val="ListParagraph"/>
        <w:numPr>
          <w:ilvl w:val="2"/>
          <w:numId w:val="2"/>
        </w:numPr>
      </w:pPr>
      <w:r>
        <w:t>Assuming joint and several liability, each tenant is liable for whole rent</w:t>
      </w:r>
    </w:p>
    <w:p w:rsidR="00B16535" w:rsidRDefault="00B16535" w:rsidP="00B16535">
      <w:pPr>
        <w:pStyle w:val="ListParagraph"/>
        <w:numPr>
          <w:ilvl w:val="2"/>
          <w:numId w:val="2"/>
        </w:numPr>
      </w:pPr>
      <w:r>
        <w:t>I can sue my roommate in the small claims court based on th</w:t>
      </w:r>
      <w:r w:rsidR="00A0484B">
        <w:t>e roommate agreement to recover</w:t>
      </w:r>
      <w:r>
        <w:t xml:space="preserve"> the rent I paid</w:t>
      </w:r>
    </w:p>
    <w:p w:rsidR="00607D33" w:rsidRDefault="00607D33" w:rsidP="00607D33">
      <w:pPr>
        <w:pStyle w:val="ListParagraph"/>
        <w:numPr>
          <w:ilvl w:val="0"/>
          <w:numId w:val="2"/>
        </w:numPr>
      </w:pPr>
      <w:r>
        <w:t>RTA and LTB do not deal with roommate agreements, usually go to small claims court instead</w:t>
      </w:r>
    </w:p>
    <w:sectPr w:rsidR="00607D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509BD"/>
    <w:multiLevelType w:val="hybridMultilevel"/>
    <w:tmpl w:val="54CA2778"/>
    <w:lvl w:ilvl="0" w:tplc="FBCC72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E3737"/>
    <w:multiLevelType w:val="hybridMultilevel"/>
    <w:tmpl w:val="B9D81B34"/>
    <w:lvl w:ilvl="0" w:tplc="CFCC82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94E"/>
    <w:rsid w:val="001E094E"/>
    <w:rsid w:val="003A3618"/>
    <w:rsid w:val="00557BBA"/>
    <w:rsid w:val="00597F47"/>
    <w:rsid w:val="00607D33"/>
    <w:rsid w:val="006D0116"/>
    <w:rsid w:val="00A0484B"/>
    <w:rsid w:val="00B16535"/>
    <w:rsid w:val="00C10414"/>
    <w:rsid w:val="00D466B1"/>
    <w:rsid w:val="00DB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9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9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782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4</cp:revision>
  <dcterms:created xsi:type="dcterms:W3CDTF">2012-01-19T20:30:00Z</dcterms:created>
  <dcterms:modified xsi:type="dcterms:W3CDTF">2012-01-19T21:43:00Z</dcterms:modified>
</cp:coreProperties>
</file>