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032" w:rsidRDefault="008F5032" w:rsidP="008F5032">
      <w:pPr>
        <w:spacing w:line="480" w:lineRule="auto"/>
        <w:rPr>
          <w:rFonts w:ascii="Times New Roman" w:hAnsi="Times New Roman" w:cs="Times New Roman"/>
          <w:sz w:val="24"/>
          <w:szCs w:val="24"/>
        </w:rPr>
      </w:pPr>
    </w:p>
    <w:p w:rsidR="008F5032" w:rsidRDefault="008F5032" w:rsidP="008F5032">
      <w:pPr>
        <w:spacing w:line="480" w:lineRule="auto"/>
        <w:rPr>
          <w:rFonts w:ascii="Times New Roman" w:hAnsi="Times New Roman" w:cs="Times New Roman"/>
          <w:sz w:val="24"/>
          <w:szCs w:val="24"/>
        </w:rPr>
      </w:pPr>
    </w:p>
    <w:p w:rsidR="008F5032" w:rsidRDefault="008F5032" w:rsidP="008F5032">
      <w:pPr>
        <w:spacing w:line="480" w:lineRule="auto"/>
        <w:rPr>
          <w:rFonts w:ascii="Times New Roman" w:hAnsi="Times New Roman" w:cs="Times New Roman"/>
          <w:sz w:val="24"/>
          <w:szCs w:val="24"/>
        </w:rPr>
      </w:pPr>
    </w:p>
    <w:p w:rsidR="008F5032" w:rsidRDefault="008F5032" w:rsidP="008F5032">
      <w:pPr>
        <w:spacing w:line="480" w:lineRule="auto"/>
        <w:rPr>
          <w:rFonts w:ascii="Times New Roman" w:hAnsi="Times New Roman" w:cs="Times New Roman"/>
          <w:sz w:val="24"/>
          <w:szCs w:val="24"/>
        </w:rPr>
      </w:pPr>
    </w:p>
    <w:p w:rsidR="008F5032" w:rsidRDefault="008F5032" w:rsidP="008F5032">
      <w:pPr>
        <w:spacing w:line="480" w:lineRule="auto"/>
        <w:rPr>
          <w:rFonts w:ascii="Times New Roman" w:hAnsi="Times New Roman" w:cs="Times New Roman"/>
          <w:sz w:val="24"/>
          <w:szCs w:val="24"/>
        </w:rPr>
      </w:pPr>
    </w:p>
    <w:p w:rsidR="008F5032" w:rsidRPr="008F5032" w:rsidRDefault="008F5032" w:rsidP="008F5032">
      <w:pPr>
        <w:spacing w:line="480" w:lineRule="auto"/>
        <w:jc w:val="center"/>
        <w:rPr>
          <w:rFonts w:ascii="Times New Roman" w:hAnsi="Times New Roman" w:cs="Times New Roman"/>
          <w:b/>
          <w:sz w:val="36"/>
          <w:szCs w:val="24"/>
        </w:rPr>
      </w:pPr>
      <w:r w:rsidRPr="008F5032">
        <w:rPr>
          <w:rFonts w:ascii="Times New Roman" w:hAnsi="Times New Roman" w:cs="Times New Roman"/>
          <w:b/>
          <w:sz w:val="36"/>
          <w:szCs w:val="24"/>
        </w:rPr>
        <w:t>Module 1: Indigenous Peoples in the Americas</w:t>
      </w:r>
    </w:p>
    <w:p w:rsidR="008F5032" w:rsidRPr="008F5032" w:rsidRDefault="008F5032" w:rsidP="008F5032">
      <w:pPr>
        <w:spacing w:line="480" w:lineRule="auto"/>
        <w:jc w:val="center"/>
        <w:rPr>
          <w:rFonts w:ascii="Times New Roman" w:hAnsi="Times New Roman" w:cs="Times New Roman"/>
          <w:sz w:val="32"/>
          <w:szCs w:val="24"/>
        </w:rPr>
      </w:pPr>
    </w:p>
    <w:p w:rsidR="008F5032" w:rsidRPr="008F5032" w:rsidRDefault="008F5032" w:rsidP="008F5032">
      <w:pPr>
        <w:spacing w:line="480" w:lineRule="auto"/>
        <w:jc w:val="center"/>
        <w:rPr>
          <w:rFonts w:ascii="Times New Roman" w:hAnsi="Times New Roman" w:cs="Times New Roman"/>
          <w:sz w:val="32"/>
          <w:szCs w:val="24"/>
        </w:rPr>
      </w:pPr>
    </w:p>
    <w:p w:rsidR="008F5032" w:rsidRPr="008F5032" w:rsidRDefault="008F5032" w:rsidP="008F5032">
      <w:pPr>
        <w:spacing w:line="480" w:lineRule="auto"/>
        <w:jc w:val="center"/>
        <w:rPr>
          <w:rFonts w:ascii="Times New Roman" w:hAnsi="Times New Roman" w:cs="Times New Roman"/>
          <w:sz w:val="32"/>
          <w:szCs w:val="24"/>
        </w:rPr>
      </w:pPr>
    </w:p>
    <w:p w:rsidR="008F5032" w:rsidRDefault="008F5032" w:rsidP="008F5032">
      <w:pPr>
        <w:spacing w:line="480" w:lineRule="auto"/>
        <w:rPr>
          <w:rFonts w:ascii="Times New Roman" w:hAnsi="Times New Roman" w:cs="Times New Roman"/>
          <w:sz w:val="32"/>
          <w:szCs w:val="24"/>
        </w:rPr>
      </w:pPr>
    </w:p>
    <w:p w:rsidR="008F5032" w:rsidRPr="008F5032" w:rsidRDefault="008F5032" w:rsidP="008F5032">
      <w:pPr>
        <w:spacing w:line="480" w:lineRule="auto"/>
        <w:rPr>
          <w:rFonts w:ascii="Times New Roman" w:hAnsi="Times New Roman" w:cs="Times New Roman"/>
          <w:sz w:val="32"/>
          <w:szCs w:val="24"/>
        </w:rPr>
      </w:pPr>
    </w:p>
    <w:p w:rsidR="008F5032" w:rsidRPr="008F5032" w:rsidRDefault="008F5032" w:rsidP="008F5032">
      <w:pPr>
        <w:spacing w:line="480" w:lineRule="auto"/>
        <w:jc w:val="center"/>
        <w:rPr>
          <w:rFonts w:ascii="Times New Roman" w:hAnsi="Times New Roman" w:cs="Times New Roman"/>
          <w:sz w:val="28"/>
          <w:szCs w:val="24"/>
        </w:rPr>
      </w:pPr>
      <w:bookmarkStart w:id="0" w:name="_GoBack"/>
      <w:bookmarkEnd w:id="0"/>
      <w:r w:rsidRPr="008F5032">
        <w:rPr>
          <w:rFonts w:ascii="Times New Roman" w:hAnsi="Times New Roman" w:cs="Times New Roman"/>
          <w:sz w:val="28"/>
          <w:szCs w:val="24"/>
        </w:rPr>
        <w:t>DCC 3110 A</w:t>
      </w:r>
    </w:p>
    <w:p w:rsidR="008F5032" w:rsidRPr="008F5032" w:rsidRDefault="008F5032" w:rsidP="008F5032">
      <w:pPr>
        <w:spacing w:line="480" w:lineRule="auto"/>
        <w:jc w:val="center"/>
        <w:rPr>
          <w:rFonts w:ascii="Times New Roman" w:hAnsi="Times New Roman" w:cs="Times New Roman"/>
          <w:sz w:val="28"/>
          <w:szCs w:val="24"/>
        </w:rPr>
      </w:pPr>
      <w:r w:rsidRPr="008F5032">
        <w:rPr>
          <w:rFonts w:ascii="Times New Roman" w:hAnsi="Times New Roman" w:cs="Times New Roman"/>
          <w:sz w:val="28"/>
          <w:szCs w:val="24"/>
        </w:rPr>
        <w:t>Prof. John Packer</w:t>
      </w:r>
    </w:p>
    <w:p w:rsidR="008F5032" w:rsidRPr="008F5032" w:rsidRDefault="008F5032" w:rsidP="008F5032">
      <w:pPr>
        <w:spacing w:line="480" w:lineRule="auto"/>
        <w:jc w:val="center"/>
        <w:rPr>
          <w:rFonts w:ascii="Times New Roman" w:hAnsi="Times New Roman" w:cs="Times New Roman"/>
          <w:sz w:val="28"/>
          <w:szCs w:val="24"/>
        </w:rPr>
      </w:pPr>
      <w:r w:rsidRPr="008F5032">
        <w:rPr>
          <w:rFonts w:ascii="Times New Roman" w:hAnsi="Times New Roman" w:cs="Times New Roman"/>
          <w:sz w:val="28"/>
          <w:szCs w:val="24"/>
        </w:rPr>
        <w:t>University of Ottawa</w:t>
      </w:r>
    </w:p>
    <w:p w:rsidR="008F5032" w:rsidRPr="008F5032" w:rsidRDefault="008F5032" w:rsidP="008F5032">
      <w:pPr>
        <w:spacing w:line="480" w:lineRule="auto"/>
        <w:jc w:val="center"/>
        <w:rPr>
          <w:rFonts w:ascii="Times New Roman" w:hAnsi="Times New Roman" w:cs="Times New Roman"/>
          <w:sz w:val="28"/>
          <w:szCs w:val="24"/>
        </w:rPr>
      </w:pPr>
      <w:r w:rsidRPr="008F5032">
        <w:rPr>
          <w:rFonts w:ascii="Times New Roman" w:hAnsi="Times New Roman" w:cs="Times New Roman"/>
          <w:sz w:val="28"/>
          <w:szCs w:val="24"/>
        </w:rPr>
        <w:t>January 31</w:t>
      </w:r>
      <w:r w:rsidRPr="008F5032">
        <w:rPr>
          <w:rFonts w:ascii="Times New Roman" w:hAnsi="Times New Roman" w:cs="Times New Roman"/>
          <w:sz w:val="28"/>
          <w:szCs w:val="24"/>
          <w:vertAlign w:val="superscript"/>
        </w:rPr>
        <w:t>st</w:t>
      </w:r>
      <w:r w:rsidRPr="008F5032">
        <w:rPr>
          <w:rFonts w:ascii="Times New Roman" w:hAnsi="Times New Roman" w:cs="Times New Roman"/>
          <w:sz w:val="28"/>
          <w:szCs w:val="24"/>
        </w:rPr>
        <w:t>, 2016</w:t>
      </w:r>
    </w:p>
    <w:p w:rsidR="00AF039E" w:rsidRPr="008F5032" w:rsidRDefault="00AF039E" w:rsidP="008F5032">
      <w:pPr>
        <w:pStyle w:val="ListParagraph"/>
        <w:numPr>
          <w:ilvl w:val="0"/>
          <w:numId w:val="2"/>
        </w:numPr>
        <w:spacing w:line="480" w:lineRule="auto"/>
        <w:ind w:left="567" w:hanging="567"/>
        <w:rPr>
          <w:rFonts w:ascii="Times New Roman" w:hAnsi="Times New Roman" w:cs="Times New Roman"/>
          <w:sz w:val="24"/>
          <w:szCs w:val="24"/>
        </w:rPr>
      </w:pPr>
      <w:r w:rsidRPr="008F5032">
        <w:rPr>
          <w:rFonts w:ascii="Times New Roman" w:hAnsi="Times New Roman" w:cs="Times New Roman"/>
          <w:sz w:val="24"/>
          <w:szCs w:val="24"/>
        </w:rPr>
        <w:lastRenderedPageBreak/>
        <w:t xml:space="preserve">I would not necessarily say that there are any consequence in the recognition of Indigenous Peoples as subjects of International law, because this recognition is more progress than consequence. Not including Indigenous peoples as part of international law is what creates consequences according to </w:t>
      </w:r>
      <w:r w:rsidR="006D7DB9" w:rsidRPr="008F5032">
        <w:rPr>
          <w:rFonts w:ascii="Times New Roman" w:hAnsi="Times New Roman" w:cs="Times New Roman"/>
          <w:sz w:val="24"/>
          <w:szCs w:val="24"/>
        </w:rPr>
        <w:t xml:space="preserve">Lillian Aponte Miranda’s reading. Historically the process of colonization have limit the status and rights of indigenous peoples in favour of the European conquerors of the land who only recognized the state to be the subject of international law and not indigenous people. Indigenous peoples were, “ideologically constructed as irrational, uncivilized savages” thus, “under the philosophy of natural law…, irrational, uncivilized first peoples were not considered bearers of natural rights” (Miranda, 2008, p. 425). </w:t>
      </w:r>
      <w:r w:rsidR="00B05060" w:rsidRPr="008F5032">
        <w:rPr>
          <w:rFonts w:ascii="Times New Roman" w:hAnsi="Times New Roman" w:cs="Times New Roman"/>
          <w:sz w:val="24"/>
          <w:szCs w:val="24"/>
        </w:rPr>
        <w:t xml:space="preserve">Since the early development of sovereignty is based on Eurocentric views, all other mechanisms and ideals that followed, essentially favoured the State and disregarded ingenious peoples. As a consequence indigenous peoples who did not have similar structures as Europeans, were treated on a “domestic level” which allowed states to </w:t>
      </w:r>
      <w:r w:rsidR="00B00844" w:rsidRPr="008F5032">
        <w:rPr>
          <w:rFonts w:ascii="Times New Roman" w:hAnsi="Times New Roman" w:cs="Times New Roman"/>
          <w:sz w:val="24"/>
          <w:szCs w:val="24"/>
        </w:rPr>
        <w:t xml:space="preserve">‘justifiably’ </w:t>
      </w:r>
      <w:r w:rsidR="00B05060" w:rsidRPr="008F5032">
        <w:rPr>
          <w:rFonts w:ascii="Times New Roman" w:hAnsi="Times New Roman" w:cs="Times New Roman"/>
          <w:sz w:val="24"/>
          <w:szCs w:val="24"/>
        </w:rPr>
        <w:t xml:space="preserve">assume responsibility </w:t>
      </w:r>
      <w:r w:rsidR="00B00844" w:rsidRPr="008F5032">
        <w:rPr>
          <w:rFonts w:ascii="Times New Roman" w:hAnsi="Times New Roman" w:cs="Times New Roman"/>
          <w:sz w:val="24"/>
          <w:szCs w:val="24"/>
        </w:rPr>
        <w:t>in managing the legal and social relationship with indigenous peoples (Miranda, 2008, p. 425).</w:t>
      </w:r>
    </w:p>
    <w:p w:rsidR="00B05060" w:rsidRPr="008F5032" w:rsidRDefault="00B00844" w:rsidP="008F5032">
      <w:pPr>
        <w:pStyle w:val="ListParagraph"/>
        <w:spacing w:line="480" w:lineRule="auto"/>
        <w:ind w:left="567"/>
        <w:rPr>
          <w:rFonts w:ascii="Times New Roman" w:hAnsi="Times New Roman" w:cs="Times New Roman"/>
          <w:sz w:val="24"/>
          <w:szCs w:val="24"/>
        </w:rPr>
      </w:pPr>
      <w:r w:rsidRPr="008F5032">
        <w:rPr>
          <w:rFonts w:ascii="Times New Roman" w:hAnsi="Times New Roman" w:cs="Times New Roman"/>
          <w:sz w:val="24"/>
          <w:szCs w:val="24"/>
        </w:rPr>
        <w:t>Even after post-world war II, human rights were applied as a whole but did not take into account specific Indigenous rights that prevent them from improper abuse by the State. It was only until Indigenous Peoples emphasize their self-determination rights and began to refer to their actions as a collective “movement”</w:t>
      </w:r>
      <w:r w:rsidR="008F5032" w:rsidRPr="008F5032">
        <w:rPr>
          <w:rFonts w:ascii="Times New Roman" w:hAnsi="Times New Roman" w:cs="Times New Roman"/>
          <w:sz w:val="24"/>
          <w:szCs w:val="24"/>
        </w:rPr>
        <w:t>; was when they were starting</w:t>
      </w:r>
      <w:r w:rsidR="00B96374">
        <w:rPr>
          <w:rFonts w:ascii="Times New Roman" w:hAnsi="Times New Roman" w:cs="Times New Roman"/>
          <w:sz w:val="24"/>
          <w:szCs w:val="24"/>
        </w:rPr>
        <w:t xml:space="preserve"> to</w:t>
      </w:r>
      <w:r w:rsidR="008F5032" w:rsidRPr="008F5032">
        <w:rPr>
          <w:rFonts w:ascii="Times New Roman" w:hAnsi="Times New Roman" w:cs="Times New Roman"/>
          <w:sz w:val="24"/>
          <w:szCs w:val="24"/>
        </w:rPr>
        <w:t xml:space="preserve"> be recognized as a subject of international law. </w:t>
      </w:r>
    </w:p>
    <w:p w:rsidR="00B05060" w:rsidRPr="008F5032" w:rsidRDefault="00B05060" w:rsidP="008F5032">
      <w:pPr>
        <w:pStyle w:val="ListParagraph"/>
        <w:spacing w:line="480" w:lineRule="auto"/>
        <w:rPr>
          <w:rFonts w:ascii="Times New Roman" w:hAnsi="Times New Roman" w:cs="Times New Roman"/>
          <w:sz w:val="24"/>
          <w:szCs w:val="24"/>
        </w:rPr>
      </w:pPr>
    </w:p>
    <w:p w:rsidR="000372E9" w:rsidRDefault="000372E9" w:rsidP="008F5032">
      <w:pPr>
        <w:pStyle w:val="ListParagraph"/>
        <w:numPr>
          <w:ilvl w:val="0"/>
          <w:numId w:val="2"/>
        </w:numPr>
        <w:tabs>
          <w:tab w:val="left" w:pos="567"/>
        </w:tabs>
        <w:spacing w:line="480" w:lineRule="auto"/>
        <w:ind w:left="567" w:hanging="567"/>
        <w:rPr>
          <w:rFonts w:ascii="Times New Roman" w:hAnsi="Times New Roman" w:cs="Times New Roman"/>
          <w:sz w:val="24"/>
          <w:szCs w:val="24"/>
        </w:rPr>
      </w:pPr>
      <w:r w:rsidRPr="008F5032">
        <w:rPr>
          <w:rFonts w:ascii="Times New Roman" w:hAnsi="Times New Roman" w:cs="Times New Roman"/>
          <w:sz w:val="24"/>
          <w:szCs w:val="24"/>
        </w:rPr>
        <w:t xml:space="preserve">The literature states that consultation is the “cornerstone” of ILO Convention 169 because articles 6 and 7 regarding consultation and participation, “are key provisions of Convention </w:t>
      </w:r>
      <w:r w:rsidRPr="008F5032">
        <w:rPr>
          <w:rFonts w:ascii="Times New Roman" w:hAnsi="Times New Roman" w:cs="Times New Roman"/>
          <w:sz w:val="24"/>
          <w:szCs w:val="24"/>
        </w:rPr>
        <w:lastRenderedPageBreak/>
        <w:t>No.169 and the ‘basis for applying al</w:t>
      </w:r>
      <w:r w:rsidR="00D034C4" w:rsidRPr="008F5032">
        <w:rPr>
          <w:rFonts w:ascii="Times New Roman" w:hAnsi="Times New Roman" w:cs="Times New Roman"/>
          <w:sz w:val="24"/>
          <w:szCs w:val="24"/>
        </w:rPr>
        <w:t>l</w:t>
      </w:r>
      <w:r w:rsidRPr="008F5032">
        <w:rPr>
          <w:rFonts w:ascii="Times New Roman" w:hAnsi="Times New Roman" w:cs="Times New Roman"/>
          <w:sz w:val="24"/>
          <w:szCs w:val="24"/>
        </w:rPr>
        <w:t xml:space="preserve"> the others’” (</w:t>
      </w:r>
      <w:r w:rsidR="00D034C4" w:rsidRPr="008F5032">
        <w:rPr>
          <w:rFonts w:ascii="Times New Roman" w:hAnsi="Times New Roman" w:cs="Times New Roman"/>
          <w:sz w:val="24"/>
          <w:szCs w:val="24"/>
        </w:rPr>
        <w:t>Indigenous &amp; Tribal Peoples’ Rights in Practice, 2009)</w:t>
      </w:r>
      <w:r w:rsidR="00B96374">
        <w:rPr>
          <w:rFonts w:ascii="Times New Roman" w:hAnsi="Times New Roman" w:cs="Times New Roman"/>
          <w:sz w:val="24"/>
          <w:szCs w:val="24"/>
        </w:rPr>
        <w:t>.</w:t>
      </w:r>
      <w:r w:rsidR="00D034C4" w:rsidRPr="008F5032">
        <w:rPr>
          <w:rFonts w:ascii="Times New Roman" w:hAnsi="Times New Roman" w:cs="Times New Roman"/>
          <w:sz w:val="24"/>
          <w:szCs w:val="24"/>
        </w:rPr>
        <w:t xml:space="preserve"> The convention is to ensure that indigenous peoples rights are considered and respected throughout any process of development or potential change from the state. Articles 6 and 7 is the base of reference when reading the other provisions that are in relation to consultation and participation. </w:t>
      </w:r>
    </w:p>
    <w:p w:rsidR="008F5032" w:rsidRDefault="004635F2" w:rsidP="008F5032">
      <w:pPr>
        <w:pStyle w:val="ListParagraph"/>
        <w:numPr>
          <w:ilvl w:val="0"/>
          <w:numId w:val="2"/>
        </w:numPr>
        <w:tabs>
          <w:tab w:val="left" w:pos="567"/>
        </w:tabs>
        <w:spacing w:line="480" w:lineRule="auto"/>
        <w:ind w:left="567" w:hanging="567"/>
        <w:rPr>
          <w:rFonts w:ascii="Times New Roman" w:hAnsi="Times New Roman" w:cs="Times New Roman"/>
          <w:sz w:val="24"/>
          <w:szCs w:val="24"/>
        </w:rPr>
      </w:pPr>
      <w:r>
        <w:rPr>
          <w:rFonts w:ascii="Times New Roman" w:hAnsi="Times New Roman" w:cs="Times New Roman"/>
          <w:sz w:val="24"/>
          <w:szCs w:val="24"/>
        </w:rPr>
        <w:t xml:space="preserve">Collective property rights is an understanding that ownership over land does not belong to one single individual but belongs to all people within the group or community (Miranda, 2008, p. 435). Land holds a very sacred and meaningful concept for indigenous people and is very important to their culture and identity. The importance of land is not simply possession and use of resources; it has a spiritual component that connects them to nature and their ancestors. Many projects and progress initiatives to promote development </w:t>
      </w:r>
      <w:r w:rsidR="00982800">
        <w:rPr>
          <w:rFonts w:ascii="Times New Roman" w:hAnsi="Times New Roman" w:cs="Times New Roman"/>
          <w:sz w:val="24"/>
          <w:szCs w:val="24"/>
        </w:rPr>
        <w:t>on indigenous land violated many property rights. The Commission and Court considered three characteristics; evidence of customary l</w:t>
      </w:r>
      <w:r w:rsidR="007B5A0A">
        <w:rPr>
          <w:rFonts w:ascii="Times New Roman" w:hAnsi="Times New Roman" w:cs="Times New Roman"/>
          <w:sz w:val="24"/>
          <w:szCs w:val="24"/>
        </w:rPr>
        <w:t>and use separate from the state;</w:t>
      </w:r>
      <w:r w:rsidR="00982800">
        <w:rPr>
          <w:rFonts w:ascii="Times New Roman" w:hAnsi="Times New Roman" w:cs="Times New Roman"/>
          <w:sz w:val="24"/>
          <w:szCs w:val="24"/>
        </w:rPr>
        <w:t xml:space="preserve"> </w:t>
      </w:r>
      <w:r w:rsidR="007B5A0A">
        <w:rPr>
          <w:rFonts w:ascii="Times New Roman" w:hAnsi="Times New Roman" w:cs="Times New Roman"/>
          <w:sz w:val="24"/>
          <w:szCs w:val="24"/>
        </w:rPr>
        <w:t>idea</w:t>
      </w:r>
      <w:r w:rsidR="003524C0">
        <w:rPr>
          <w:rFonts w:ascii="Times New Roman" w:hAnsi="Times New Roman" w:cs="Times New Roman"/>
          <w:sz w:val="24"/>
          <w:szCs w:val="24"/>
        </w:rPr>
        <w:t>s</w:t>
      </w:r>
      <w:r w:rsidR="007B5A0A">
        <w:rPr>
          <w:rFonts w:ascii="Times New Roman" w:hAnsi="Times New Roman" w:cs="Times New Roman"/>
          <w:sz w:val="24"/>
          <w:szCs w:val="24"/>
        </w:rPr>
        <w:t xml:space="preserve"> between human rights to property in regards to Indigenous communities of how they perceive distinct land tenure systems; and reference to international laws regarding indigenous land rights. Furthermore, three ways to apply property rights to Indigenous communities are; first, substantive and procedural aspects of right to property is based on indigenous peoples’ distinct land tenure systems; second, right to property guarantee permanent use and enjoyment of their ancestral land; third, there is a procedural right to give informed consultation or consent when States make decisions that impact indigenous peoples’</w:t>
      </w:r>
      <w:r w:rsidR="003524C0">
        <w:rPr>
          <w:rFonts w:ascii="Times New Roman" w:hAnsi="Times New Roman" w:cs="Times New Roman"/>
          <w:sz w:val="24"/>
          <w:szCs w:val="24"/>
        </w:rPr>
        <w:t xml:space="preserve"> land and resources</w:t>
      </w:r>
      <w:r w:rsidR="007B5A0A">
        <w:rPr>
          <w:rFonts w:ascii="Times New Roman" w:hAnsi="Times New Roman" w:cs="Times New Roman"/>
          <w:sz w:val="24"/>
          <w:szCs w:val="24"/>
        </w:rPr>
        <w:t xml:space="preserve"> </w:t>
      </w:r>
      <w:r w:rsidR="003524C0">
        <w:rPr>
          <w:rFonts w:ascii="Times New Roman" w:hAnsi="Times New Roman" w:cs="Times New Roman"/>
          <w:sz w:val="24"/>
          <w:szCs w:val="24"/>
        </w:rPr>
        <w:t>(Miranda, 2008, p. 434).</w:t>
      </w:r>
    </w:p>
    <w:p w:rsidR="0055302A" w:rsidRPr="008F5032" w:rsidRDefault="0055302A" w:rsidP="008F5032">
      <w:pPr>
        <w:pStyle w:val="ListParagraph"/>
        <w:numPr>
          <w:ilvl w:val="0"/>
          <w:numId w:val="2"/>
        </w:numPr>
        <w:tabs>
          <w:tab w:val="left" w:pos="567"/>
        </w:tabs>
        <w:spacing w:line="480" w:lineRule="auto"/>
        <w:ind w:left="567" w:hanging="567"/>
        <w:rPr>
          <w:rFonts w:ascii="Times New Roman" w:hAnsi="Times New Roman" w:cs="Times New Roman"/>
          <w:sz w:val="24"/>
          <w:szCs w:val="24"/>
        </w:rPr>
      </w:pPr>
      <w:r>
        <w:rPr>
          <w:rFonts w:ascii="Times New Roman" w:hAnsi="Times New Roman" w:cs="Times New Roman"/>
          <w:sz w:val="24"/>
          <w:szCs w:val="24"/>
        </w:rPr>
        <w:t>P</w:t>
      </w:r>
      <w:r w:rsidR="00DC577E">
        <w:rPr>
          <w:rFonts w:ascii="Times New Roman" w:hAnsi="Times New Roman" w:cs="Times New Roman"/>
          <w:sz w:val="24"/>
          <w:szCs w:val="24"/>
        </w:rPr>
        <w:t>rogress according to Survival I</w:t>
      </w:r>
      <w:r>
        <w:rPr>
          <w:rFonts w:ascii="Times New Roman" w:hAnsi="Times New Roman" w:cs="Times New Roman"/>
          <w:sz w:val="24"/>
          <w:szCs w:val="24"/>
        </w:rPr>
        <w:t>nternational is, “forward moving towards a destination; development towards an improved or advanced condition” (2007, p. 3</w:t>
      </w:r>
      <w:r w:rsidR="00DC577E">
        <w:rPr>
          <w:rFonts w:ascii="Times New Roman" w:hAnsi="Times New Roman" w:cs="Times New Roman"/>
          <w:sz w:val="24"/>
          <w:szCs w:val="24"/>
        </w:rPr>
        <w:t xml:space="preserve">). Survival </w:t>
      </w:r>
      <w:r w:rsidR="00DC577E">
        <w:rPr>
          <w:rFonts w:ascii="Times New Roman" w:hAnsi="Times New Roman" w:cs="Times New Roman"/>
          <w:sz w:val="24"/>
          <w:szCs w:val="24"/>
        </w:rPr>
        <w:lastRenderedPageBreak/>
        <w:t>I</w:t>
      </w:r>
      <w:r>
        <w:rPr>
          <w:rFonts w:ascii="Times New Roman" w:hAnsi="Times New Roman" w:cs="Times New Roman"/>
          <w:sz w:val="24"/>
          <w:szCs w:val="24"/>
        </w:rPr>
        <w:t>nternational outlines different factors that as a result of progress have greatly affected indigenous populations globally. Progress may seem like a good initiative</w:t>
      </w:r>
      <w:r w:rsidR="002E0AD1">
        <w:rPr>
          <w:rFonts w:ascii="Times New Roman" w:hAnsi="Times New Roman" w:cs="Times New Roman"/>
          <w:sz w:val="24"/>
          <w:szCs w:val="24"/>
        </w:rPr>
        <w:t xml:space="preserve"> that benefits all people</w:t>
      </w:r>
      <w:r>
        <w:rPr>
          <w:rFonts w:ascii="Times New Roman" w:hAnsi="Times New Roman" w:cs="Times New Roman"/>
          <w:sz w:val="24"/>
          <w:szCs w:val="24"/>
        </w:rPr>
        <w:t xml:space="preserve"> but when States disregard </w:t>
      </w:r>
      <w:r w:rsidR="002E0AD1">
        <w:rPr>
          <w:rFonts w:ascii="Times New Roman" w:hAnsi="Times New Roman" w:cs="Times New Roman"/>
          <w:sz w:val="24"/>
          <w:szCs w:val="24"/>
        </w:rPr>
        <w:t>the rights, needs, and cultural sensitivities of indigenous peoples, we see a decline in the population and the falling of indigenous</w:t>
      </w:r>
      <w:r w:rsidR="00DC577E">
        <w:rPr>
          <w:rFonts w:ascii="Times New Roman" w:hAnsi="Times New Roman" w:cs="Times New Roman"/>
          <w:sz w:val="24"/>
          <w:szCs w:val="24"/>
        </w:rPr>
        <w:t xml:space="preserve"> identity. The right to consultation as outlined in ILO Convention 169, is important to emphasize and utilize in order to protect what is left of indigenous communities around the world. Indigenous representatives that have been elected through political parties have no experience within the political world and do not share the same level of education as their ‘equal’ members that are non-indigenous. As a result choosing representatives and decision making in the interest of indigenous peoples is limited and is controlled by political parties that only seek to make decisions that benefit themselves. Although consultation is addre</w:t>
      </w:r>
      <w:r w:rsidR="005C5A14">
        <w:rPr>
          <w:rFonts w:ascii="Times New Roman" w:hAnsi="Times New Roman" w:cs="Times New Roman"/>
          <w:sz w:val="24"/>
          <w:szCs w:val="24"/>
        </w:rPr>
        <w:t xml:space="preserve">ssed within </w:t>
      </w:r>
      <w:r w:rsidR="00DC577E">
        <w:rPr>
          <w:rFonts w:ascii="Times New Roman" w:hAnsi="Times New Roman" w:cs="Times New Roman"/>
          <w:sz w:val="24"/>
          <w:szCs w:val="24"/>
        </w:rPr>
        <w:t xml:space="preserve">Convention 169 it needs to be further implemented strictly and consistently in the interest of </w:t>
      </w:r>
      <w:r w:rsidR="005C5A14">
        <w:rPr>
          <w:rFonts w:ascii="Times New Roman" w:hAnsi="Times New Roman" w:cs="Times New Roman"/>
          <w:sz w:val="24"/>
          <w:szCs w:val="24"/>
        </w:rPr>
        <w:t xml:space="preserve">bettering the lives of Indigenous peoples.  Mechanisms and initiatives that are created to protect Indigenous peoples, in reality seems to be ignored and continues to create further harm. </w:t>
      </w:r>
    </w:p>
    <w:p w:rsidR="00D034C4" w:rsidRDefault="00D034C4"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3524C0" w:rsidRDefault="003524C0" w:rsidP="008F5032">
      <w:pPr>
        <w:pStyle w:val="ListParagraph"/>
        <w:spacing w:line="480" w:lineRule="auto"/>
        <w:ind w:left="567" w:hanging="567"/>
        <w:rPr>
          <w:rFonts w:ascii="Times New Roman" w:hAnsi="Times New Roman" w:cs="Times New Roman"/>
          <w:sz w:val="24"/>
          <w:szCs w:val="24"/>
        </w:rPr>
      </w:pPr>
    </w:p>
    <w:p w:rsidR="00DB722F" w:rsidRPr="00162C28" w:rsidRDefault="00DB722F" w:rsidP="00DB722F">
      <w:pPr>
        <w:pStyle w:val="ListParagraph"/>
        <w:spacing w:line="480" w:lineRule="auto"/>
        <w:ind w:left="567" w:hanging="567"/>
        <w:jc w:val="center"/>
        <w:rPr>
          <w:rFonts w:ascii="Times New Roman" w:hAnsi="Times New Roman" w:cs="Times New Roman"/>
          <w:b/>
          <w:sz w:val="24"/>
          <w:szCs w:val="24"/>
        </w:rPr>
      </w:pPr>
      <w:r w:rsidRPr="00162C28">
        <w:rPr>
          <w:rFonts w:ascii="Times New Roman" w:hAnsi="Times New Roman" w:cs="Times New Roman"/>
          <w:b/>
          <w:sz w:val="24"/>
          <w:szCs w:val="24"/>
        </w:rPr>
        <w:lastRenderedPageBreak/>
        <w:t>References</w:t>
      </w:r>
    </w:p>
    <w:p w:rsidR="00DB722F" w:rsidRPr="00DB722F" w:rsidRDefault="00DB722F" w:rsidP="00DB722F">
      <w:pPr>
        <w:spacing w:after="0" w:line="480" w:lineRule="auto"/>
        <w:ind w:left="900" w:hanging="900"/>
        <w:rPr>
          <w:rFonts w:ascii="Times New Roman" w:eastAsia="Times New Roman" w:hAnsi="Times New Roman" w:cs="Times New Roman"/>
          <w:sz w:val="24"/>
          <w:szCs w:val="24"/>
          <w:lang w:eastAsia="en-CA"/>
        </w:rPr>
      </w:pPr>
      <w:proofErr w:type="gramStart"/>
      <w:r w:rsidRPr="00DB722F">
        <w:rPr>
          <w:rFonts w:ascii="Times New Roman" w:eastAsia="Times New Roman" w:hAnsi="Times New Roman" w:cs="Times New Roman"/>
          <w:sz w:val="24"/>
          <w:szCs w:val="24"/>
          <w:lang w:eastAsia="en-CA"/>
        </w:rPr>
        <w:t>Indigenous &amp; Tribal Peoples' Rights in Practice; A guide to ILO Convention No. 169.</w:t>
      </w:r>
      <w:proofErr w:type="gramEnd"/>
      <w:r w:rsidRPr="00DB722F">
        <w:rPr>
          <w:rFonts w:ascii="Times New Roman" w:eastAsia="Times New Roman" w:hAnsi="Times New Roman" w:cs="Times New Roman"/>
          <w:sz w:val="24"/>
          <w:szCs w:val="24"/>
          <w:lang w:eastAsia="en-CA"/>
        </w:rPr>
        <w:t xml:space="preserve"> (2009). </w:t>
      </w:r>
      <w:r w:rsidRPr="00DB722F">
        <w:rPr>
          <w:rFonts w:ascii="Times New Roman" w:eastAsia="Times New Roman" w:hAnsi="Times New Roman" w:cs="Times New Roman"/>
          <w:i/>
          <w:iCs/>
          <w:sz w:val="24"/>
          <w:szCs w:val="24"/>
          <w:lang w:eastAsia="en-CA"/>
        </w:rPr>
        <w:t>International Labour Standards Department,</w:t>
      </w:r>
      <w:r w:rsidRPr="00DB722F">
        <w:rPr>
          <w:rFonts w:ascii="Times New Roman" w:eastAsia="Times New Roman" w:hAnsi="Times New Roman" w:cs="Times New Roman"/>
          <w:sz w:val="24"/>
          <w:szCs w:val="24"/>
          <w:lang w:eastAsia="en-CA"/>
        </w:rPr>
        <w:t xml:space="preserve"> 58-79. </w:t>
      </w:r>
    </w:p>
    <w:p w:rsidR="003524C0" w:rsidRDefault="003524C0" w:rsidP="00DB722F">
      <w:pPr>
        <w:spacing w:after="0" w:line="480" w:lineRule="auto"/>
        <w:rPr>
          <w:rFonts w:ascii="Times New Roman" w:eastAsia="Times New Roman" w:hAnsi="Times New Roman" w:cs="Times New Roman"/>
          <w:sz w:val="24"/>
          <w:szCs w:val="24"/>
          <w:lang w:eastAsia="en-CA"/>
        </w:rPr>
      </w:pPr>
    </w:p>
    <w:p w:rsidR="003524C0" w:rsidRPr="003524C0" w:rsidRDefault="003524C0" w:rsidP="00DB722F">
      <w:pPr>
        <w:spacing w:after="0" w:line="480" w:lineRule="auto"/>
        <w:ind w:left="900" w:hanging="900"/>
        <w:rPr>
          <w:rFonts w:ascii="Times New Roman" w:eastAsia="Times New Roman" w:hAnsi="Times New Roman" w:cs="Times New Roman"/>
          <w:sz w:val="24"/>
          <w:szCs w:val="24"/>
          <w:lang w:eastAsia="en-CA"/>
        </w:rPr>
      </w:pPr>
      <w:r w:rsidRPr="003524C0">
        <w:rPr>
          <w:rFonts w:ascii="Times New Roman" w:eastAsia="Times New Roman" w:hAnsi="Times New Roman" w:cs="Times New Roman"/>
          <w:sz w:val="24"/>
          <w:szCs w:val="24"/>
          <w:lang w:eastAsia="en-CA"/>
        </w:rPr>
        <w:t>Miranda, L. A. (</w:t>
      </w:r>
      <w:proofErr w:type="spellStart"/>
      <w:r w:rsidRPr="003524C0">
        <w:rPr>
          <w:rFonts w:ascii="Times New Roman" w:eastAsia="Times New Roman" w:hAnsi="Times New Roman" w:cs="Times New Roman"/>
          <w:sz w:val="24"/>
          <w:szCs w:val="24"/>
          <w:lang w:eastAsia="en-CA"/>
        </w:rPr>
        <w:t>n.d.</w:t>
      </w:r>
      <w:proofErr w:type="spellEnd"/>
      <w:r w:rsidRPr="003524C0">
        <w:rPr>
          <w:rFonts w:ascii="Times New Roman" w:eastAsia="Times New Roman" w:hAnsi="Times New Roman" w:cs="Times New Roman"/>
          <w:sz w:val="24"/>
          <w:szCs w:val="24"/>
          <w:lang w:eastAsia="en-CA"/>
        </w:rPr>
        <w:t xml:space="preserve">). Uploading the Local: Assessing the Contemporary Relationship </w:t>
      </w:r>
      <w:proofErr w:type="gramStart"/>
      <w:r w:rsidRPr="003524C0">
        <w:rPr>
          <w:rFonts w:ascii="Times New Roman" w:eastAsia="Times New Roman" w:hAnsi="Times New Roman" w:cs="Times New Roman"/>
          <w:sz w:val="24"/>
          <w:szCs w:val="24"/>
          <w:lang w:eastAsia="en-CA"/>
        </w:rPr>
        <w:t>Between</w:t>
      </w:r>
      <w:proofErr w:type="gramEnd"/>
      <w:r w:rsidRPr="003524C0">
        <w:rPr>
          <w:rFonts w:ascii="Times New Roman" w:eastAsia="Times New Roman" w:hAnsi="Times New Roman" w:cs="Times New Roman"/>
          <w:sz w:val="24"/>
          <w:szCs w:val="24"/>
          <w:lang w:eastAsia="en-CA"/>
        </w:rPr>
        <w:t xml:space="preserve"> Indigenous Peoples' Land Tenure Systems and International Human Rights Law Regarding the Allocation of Traditional Lands and Resources in Latin America. </w:t>
      </w:r>
      <w:proofErr w:type="spellStart"/>
      <w:r w:rsidRPr="003524C0">
        <w:rPr>
          <w:rFonts w:ascii="Times New Roman" w:eastAsia="Times New Roman" w:hAnsi="Times New Roman" w:cs="Times New Roman"/>
          <w:i/>
          <w:iCs/>
          <w:sz w:val="24"/>
          <w:szCs w:val="24"/>
          <w:lang w:eastAsia="en-CA"/>
        </w:rPr>
        <w:t>HeinOnline</w:t>
      </w:r>
      <w:proofErr w:type="spellEnd"/>
      <w:r w:rsidRPr="003524C0">
        <w:rPr>
          <w:rFonts w:ascii="Times New Roman" w:eastAsia="Times New Roman" w:hAnsi="Times New Roman" w:cs="Times New Roman"/>
          <w:i/>
          <w:iCs/>
          <w:sz w:val="24"/>
          <w:szCs w:val="24"/>
          <w:lang w:eastAsia="en-CA"/>
        </w:rPr>
        <w:t>,</w:t>
      </w:r>
      <w:r w:rsidRPr="003524C0">
        <w:rPr>
          <w:rFonts w:ascii="Times New Roman" w:eastAsia="Times New Roman" w:hAnsi="Times New Roman" w:cs="Times New Roman"/>
          <w:sz w:val="24"/>
          <w:szCs w:val="24"/>
          <w:lang w:eastAsia="en-CA"/>
        </w:rPr>
        <w:t xml:space="preserve"> 419-444. </w:t>
      </w:r>
    </w:p>
    <w:p w:rsidR="00DB722F" w:rsidRDefault="00DB722F" w:rsidP="00DB722F">
      <w:pPr>
        <w:spacing w:after="0" w:line="480" w:lineRule="auto"/>
        <w:rPr>
          <w:rFonts w:ascii="Times New Roman" w:hAnsi="Times New Roman" w:cs="Times New Roman"/>
          <w:sz w:val="24"/>
          <w:szCs w:val="24"/>
        </w:rPr>
      </w:pPr>
    </w:p>
    <w:p w:rsidR="003524C0" w:rsidRPr="003524C0" w:rsidRDefault="003524C0" w:rsidP="00DB722F">
      <w:pPr>
        <w:spacing w:after="0" w:line="480" w:lineRule="auto"/>
        <w:rPr>
          <w:rFonts w:ascii="Times New Roman" w:eastAsia="Times New Roman" w:hAnsi="Times New Roman" w:cs="Times New Roman"/>
          <w:sz w:val="24"/>
          <w:szCs w:val="24"/>
          <w:lang w:eastAsia="en-CA"/>
        </w:rPr>
      </w:pPr>
      <w:r w:rsidRPr="003524C0">
        <w:rPr>
          <w:rFonts w:ascii="Times New Roman" w:eastAsia="Times New Roman" w:hAnsi="Times New Roman" w:cs="Times New Roman"/>
          <w:sz w:val="24"/>
          <w:szCs w:val="24"/>
          <w:lang w:eastAsia="en-CA"/>
        </w:rPr>
        <w:t xml:space="preserve">Woodman, J., </w:t>
      </w:r>
      <w:proofErr w:type="spellStart"/>
      <w:r w:rsidRPr="003524C0">
        <w:rPr>
          <w:rFonts w:ascii="Times New Roman" w:eastAsia="Times New Roman" w:hAnsi="Times New Roman" w:cs="Times New Roman"/>
          <w:sz w:val="24"/>
          <w:szCs w:val="24"/>
          <w:lang w:eastAsia="en-CA"/>
        </w:rPr>
        <w:t>Dr</w:t>
      </w:r>
      <w:proofErr w:type="spellEnd"/>
      <w:r w:rsidRPr="003524C0">
        <w:rPr>
          <w:rFonts w:ascii="Times New Roman" w:eastAsia="Times New Roman" w:hAnsi="Times New Roman" w:cs="Times New Roman"/>
          <w:sz w:val="24"/>
          <w:szCs w:val="24"/>
          <w:lang w:eastAsia="en-CA"/>
        </w:rPr>
        <w:t xml:space="preserve">, &amp; </w:t>
      </w:r>
      <w:proofErr w:type="spellStart"/>
      <w:r w:rsidRPr="003524C0">
        <w:rPr>
          <w:rFonts w:ascii="Times New Roman" w:eastAsia="Times New Roman" w:hAnsi="Times New Roman" w:cs="Times New Roman"/>
          <w:sz w:val="24"/>
          <w:szCs w:val="24"/>
          <w:lang w:eastAsia="en-CA"/>
        </w:rPr>
        <w:t>Grig</w:t>
      </w:r>
      <w:proofErr w:type="spellEnd"/>
      <w:r w:rsidRPr="003524C0">
        <w:rPr>
          <w:rFonts w:ascii="Times New Roman" w:eastAsia="Times New Roman" w:hAnsi="Times New Roman" w:cs="Times New Roman"/>
          <w:sz w:val="24"/>
          <w:szCs w:val="24"/>
          <w:lang w:eastAsia="en-CA"/>
        </w:rPr>
        <w:t xml:space="preserve">, S. (Eds.). (2007). Progress Can Kill. </w:t>
      </w:r>
      <w:r w:rsidRPr="003524C0">
        <w:rPr>
          <w:rFonts w:ascii="Times New Roman" w:eastAsia="Times New Roman" w:hAnsi="Times New Roman" w:cs="Times New Roman"/>
          <w:i/>
          <w:iCs/>
          <w:sz w:val="24"/>
          <w:szCs w:val="24"/>
          <w:lang w:eastAsia="en-CA"/>
        </w:rPr>
        <w:t>Survival International,</w:t>
      </w:r>
      <w:r w:rsidRPr="003524C0">
        <w:rPr>
          <w:rFonts w:ascii="Times New Roman" w:eastAsia="Times New Roman" w:hAnsi="Times New Roman" w:cs="Times New Roman"/>
          <w:sz w:val="24"/>
          <w:szCs w:val="24"/>
          <w:lang w:eastAsia="en-CA"/>
        </w:rPr>
        <w:t xml:space="preserve"> 1-19. </w:t>
      </w:r>
    </w:p>
    <w:p w:rsidR="003524C0" w:rsidRPr="008F5032" w:rsidRDefault="003524C0" w:rsidP="00DB722F">
      <w:pPr>
        <w:pStyle w:val="ListParagraph"/>
        <w:spacing w:line="480" w:lineRule="auto"/>
        <w:ind w:left="567" w:hanging="567"/>
        <w:rPr>
          <w:rFonts w:ascii="Times New Roman" w:hAnsi="Times New Roman" w:cs="Times New Roman"/>
          <w:sz w:val="24"/>
          <w:szCs w:val="24"/>
        </w:rPr>
      </w:pPr>
    </w:p>
    <w:sectPr w:rsidR="003524C0" w:rsidRPr="008F5032">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B0C" w:rsidRDefault="00CF4B0C" w:rsidP="008F5032">
      <w:pPr>
        <w:spacing w:after="0" w:line="240" w:lineRule="auto"/>
      </w:pPr>
      <w:r>
        <w:separator/>
      </w:r>
    </w:p>
  </w:endnote>
  <w:endnote w:type="continuationSeparator" w:id="0">
    <w:p w:rsidR="00CF4B0C" w:rsidRDefault="00CF4B0C" w:rsidP="008F5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B0C" w:rsidRDefault="00CF4B0C" w:rsidP="008F5032">
      <w:pPr>
        <w:spacing w:after="0" w:line="240" w:lineRule="auto"/>
      </w:pPr>
      <w:r>
        <w:separator/>
      </w:r>
    </w:p>
  </w:footnote>
  <w:footnote w:type="continuationSeparator" w:id="0">
    <w:p w:rsidR="00CF4B0C" w:rsidRDefault="00CF4B0C" w:rsidP="008F50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53994"/>
      <w:docPartObj>
        <w:docPartGallery w:val="Page Numbers (Top of Page)"/>
        <w:docPartUnique/>
      </w:docPartObj>
    </w:sdtPr>
    <w:sdtEndPr>
      <w:rPr>
        <w:noProof/>
      </w:rPr>
    </w:sdtEndPr>
    <w:sdtContent>
      <w:p w:rsidR="008F5032" w:rsidRDefault="008F5032">
        <w:pPr>
          <w:pStyle w:val="Header"/>
          <w:jc w:val="right"/>
        </w:pPr>
        <w:r>
          <w:fldChar w:fldCharType="begin"/>
        </w:r>
        <w:r>
          <w:instrText xml:space="preserve"> PAGE   \* MERGEFORMAT </w:instrText>
        </w:r>
        <w:r>
          <w:fldChar w:fldCharType="separate"/>
        </w:r>
        <w:r w:rsidR="00F67194">
          <w:rPr>
            <w:noProof/>
          </w:rPr>
          <w:t>5</w:t>
        </w:r>
        <w:r>
          <w:rPr>
            <w:noProof/>
          </w:rPr>
          <w:fldChar w:fldCharType="end"/>
        </w:r>
      </w:p>
    </w:sdtContent>
  </w:sdt>
  <w:p w:rsidR="008F5032" w:rsidRDefault="008F50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02301"/>
    <w:multiLevelType w:val="hybridMultilevel"/>
    <w:tmpl w:val="AE16F6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54A1AB1"/>
    <w:multiLevelType w:val="hybridMultilevel"/>
    <w:tmpl w:val="390CD082"/>
    <w:lvl w:ilvl="0" w:tplc="030661E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2E9"/>
    <w:rsid w:val="000372E9"/>
    <w:rsid w:val="00162C28"/>
    <w:rsid w:val="002E0AD1"/>
    <w:rsid w:val="003524C0"/>
    <w:rsid w:val="004635F2"/>
    <w:rsid w:val="0055302A"/>
    <w:rsid w:val="005546D6"/>
    <w:rsid w:val="005654F2"/>
    <w:rsid w:val="005C40C2"/>
    <w:rsid w:val="005C5A14"/>
    <w:rsid w:val="006D7DB9"/>
    <w:rsid w:val="007B5A0A"/>
    <w:rsid w:val="008F5032"/>
    <w:rsid w:val="00982800"/>
    <w:rsid w:val="00AF039E"/>
    <w:rsid w:val="00B00844"/>
    <w:rsid w:val="00B05060"/>
    <w:rsid w:val="00B96374"/>
    <w:rsid w:val="00CF4B0C"/>
    <w:rsid w:val="00D034C4"/>
    <w:rsid w:val="00D31D81"/>
    <w:rsid w:val="00DB722F"/>
    <w:rsid w:val="00DC577E"/>
    <w:rsid w:val="00E14A03"/>
    <w:rsid w:val="00EB463E"/>
    <w:rsid w:val="00F671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2E9"/>
    <w:pPr>
      <w:ind w:left="720"/>
      <w:contextualSpacing/>
    </w:pPr>
  </w:style>
  <w:style w:type="paragraph" w:styleId="Header">
    <w:name w:val="header"/>
    <w:basedOn w:val="Normal"/>
    <w:link w:val="HeaderChar"/>
    <w:uiPriority w:val="99"/>
    <w:unhideWhenUsed/>
    <w:rsid w:val="008F5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5032"/>
  </w:style>
  <w:style w:type="paragraph" w:styleId="Footer">
    <w:name w:val="footer"/>
    <w:basedOn w:val="Normal"/>
    <w:link w:val="FooterChar"/>
    <w:uiPriority w:val="99"/>
    <w:unhideWhenUsed/>
    <w:rsid w:val="008F5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032"/>
  </w:style>
  <w:style w:type="character" w:customStyle="1" w:styleId="apple-converted-space">
    <w:name w:val="apple-converted-space"/>
    <w:basedOn w:val="DefaultParagraphFont"/>
    <w:rsid w:val="003524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2E9"/>
    <w:pPr>
      <w:ind w:left="720"/>
      <w:contextualSpacing/>
    </w:pPr>
  </w:style>
  <w:style w:type="paragraph" w:styleId="Header">
    <w:name w:val="header"/>
    <w:basedOn w:val="Normal"/>
    <w:link w:val="HeaderChar"/>
    <w:uiPriority w:val="99"/>
    <w:unhideWhenUsed/>
    <w:rsid w:val="008F5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5032"/>
  </w:style>
  <w:style w:type="paragraph" w:styleId="Footer">
    <w:name w:val="footer"/>
    <w:basedOn w:val="Normal"/>
    <w:link w:val="FooterChar"/>
    <w:uiPriority w:val="99"/>
    <w:unhideWhenUsed/>
    <w:rsid w:val="008F5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032"/>
  </w:style>
  <w:style w:type="character" w:customStyle="1" w:styleId="apple-converted-space">
    <w:name w:val="apple-converted-space"/>
    <w:basedOn w:val="DefaultParagraphFont"/>
    <w:rsid w:val="00352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5954">
      <w:bodyDiv w:val="1"/>
      <w:marLeft w:val="0"/>
      <w:marRight w:val="0"/>
      <w:marTop w:val="0"/>
      <w:marBottom w:val="0"/>
      <w:divBdr>
        <w:top w:val="none" w:sz="0" w:space="0" w:color="auto"/>
        <w:left w:val="none" w:sz="0" w:space="0" w:color="auto"/>
        <w:bottom w:val="none" w:sz="0" w:space="0" w:color="auto"/>
        <w:right w:val="none" w:sz="0" w:space="0" w:color="auto"/>
      </w:divBdr>
      <w:divsChild>
        <w:div w:id="248007989">
          <w:marLeft w:val="0"/>
          <w:marRight w:val="0"/>
          <w:marTop w:val="0"/>
          <w:marBottom w:val="0"/>
          <w:divBdr>
            <w:top w:val="none" w:sz="0" w:space="0" w:color="auto"/>
            <w:left w:val="none" w:sz="0" w:space="0" w:color="auto"/>
            <w:bottom w:val="none" w:sz="0" w:space="0" w:color="auto"/>
            <w:right w:val="none" w:sz="0" w:space="0" w:color="auto"/>
          </w:divBdr>
        </w:div>
      </w:divsChild>
    </w:div>
    <w:div w:id="1182813869">
      <w:bodyDiv w:val="1"/>
      <w:marLeft w:val="0"/>
      <w:marRight w:val="0"/>
      <w:marTop w:val="0"/>
      <w:marBottom w:val="0"/>
      <w:divBdr>
        <w:top w:val="none" w:sz="0" w:space="0" w:color="auto"/>
        <w:left w:val="none" w:sz="0" w:space="0" w:color="auto"/>
        <w:bottom w:val="none" w:sz="0" w:space="0" w:color="auto"/>
        <w:right w:val="none" w:sz="0" w:space="0" w:color="auto"/>
      </w:divBdr>
      <w:divsChild>
        <w:div w:id="804738102">
          <w:marLeft w:val="0"/>
          <w:marRight w:val="0"/>
          <w:marTop w:val="0"/>
          <w:marBottom w:val="0"/>
          <w:divBdr>
            <w:top w:val="none" w:sz="0" w:space="0" w:color="auto"/>
            <w:left w:val="none" w:sz="0" w:space="0" w:color="auto"/>
            <w:bottom w:val="none" w:sz="0" w:space="0" w:color="auto"/>
            <w:right w:val="none" w:sz="0" w:space="0" w:color="auto"/>
          </w:divBdr>
        </w:div>
      </w:divsChild>
    </w:div>
    <w:div w:id="1675912470">
      <w:bodyDiv w:val="1"/>
      <w:marLeft w:val="0"/>
      <w:marRight w:val="0"/>
      <w:marTop w:val="0"/>
      <w:marBottom w:val="0"/>
      <w:divBdr>
        <w:top w:val="none" w:sz="0" w:space="0" w:color="auto"/>
        <w:left w:val="none" w:sz="0" w:space="0" w:color="auto"/>
        <w:bottom w:val="none" w:sz="0" w:space="0" w:color="auto"/>
        <w:right w:val="none" w:sz="0" w:space="0" w:color="auto"/>
      </w:divBdr>
      <w:divsChild>
        <w:div w:id="1354650666">
          <w:marLeft w:val="0"/>
          <w:marRight w:val="0"/>
          <w:marTop w:val="0"/>
          <w:marBottom w:val="0"/>
          <w:divBdr>
            <w:top w:val="none" w:sz="0" w:space="0" w:color="auto"/>
            <w:left w:val="none" w:sz="0" w:space="0" w:color="auto"/>
            <w:bottom w:val="none" w:sz="0" w:space="0" w:color="auto"/>
            <w:right w:val="none" w:sz="0" w:space="0" w:color="auto"/>
          </w:divBdr>
        </w:div>
      </w:divsChild>
    </w:div>
    <w:div w:id="1683166966">
      <w:bodyDiv w:val="1"/>
      <w:marLeft w:val="0"/>
      <w:marRight w:val="0"/>
      <w:marTop w:val="0"/>
      <w:marBottom w:val="0"/>
      <w:divBdr>
        <w:top w:val="none" w:sz="0" w:space="0" w:color="auto"/>
        <w:left w:val="none" w:sz="0" w:space="0" w:color="auto"/>
        <w:bottom w:val="none" w:sz="0" w:space="0" w:color="auto"/>
        <w:right w:val="none" w:sz="0" w:space="0" w:color="auto"/>
      </w:divBdr>
      <w:divsChild>
        <w:div w:id="1969234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68DDE-EA70-40D0-990F-5A8A9E2BD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5</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of Canada/Gouvernement du Canada</Company>
  <LinksUpToDate>false</LinksUpToDate>
  <CharactersWithSpaces>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kwann</dc:creator>
  <cp:keywords/>
  <dc:description/>
  <cp:lastModifiedBy>Nathalie Kwan</cp:lastModifiedBy>
  <cp:revision>9</cp:revision>
  <dcterms:created xsi:type="dcterms:W3CDTF">2016-01-29T14:12:00Z</dcterms:created>
  <dcterms:modified xsi:type="dcterms:W3CDTF">2016-05-15T19:02:00Z</dcterms:modified>
</cp:coreProperties>
</file>