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tl w:val="0"/>
        </w:rPr>
        <w:t xml:space="preserve">New Media Final Exam </w:t>
      </w:r>
    </w:p>
    <w:p>
      <w:pPr>
        <w:pStyle w:val="Subject"/>
        <w:bidi w:val="0"/>
      </w:pPr>
      <w:r>
        <w:rPr>
          <w:rtl w:val="0"/>
        </w:rPr>
        <w:t xml:space="preserve">Cases </w:t>
      </w:r>
    </w:p>
    <w:p>
      <w:pPr>
        <w:pStyle w:val="Body"/>
      </w:pPr>
      <w:r>
        <w:rPr>
          <w:shd w:val="clear" w:color="auto" w:fill="ffe061"/>
          <w:rtl w:val="0"/>
          <w:lang w:val="en-US"/>
        </w:rPr>
        <w:t xml:space="preserve">Case 1: Radio Reference </w:t>
      </w:r>
    </w:p>
    <w:p>
      <w:pPr>
        <w:pStyle w:val="Body"/>
        <w:numPr>
          <w:ilvl w:val="0"/>
          <w:numId w:val="2"/>
        </w:numPr>
        <w:rPr>
          <w:u w:val="single"/>
          <w:lang w:val="en-US"/>
        </w:rPr>
      </w:pPr>
      <w:r>
        <w:rPr>
          <w:u w:val="single"/>
          <w:rtl w:val="0"/>
          <w:lang w:val="en-US"/>
        </w:rPr>
        <w:t>Sections 91:</w:t>
      </w:r>
      <w:r>
        <w:rPr>
          <w:u w:val="none"/>
          <w:rtl w:val="0"/>
          <w:lang w:val="en-US"/>
        </w:rPr>
        <w:t xml:space="preserve"> [Constitutional Law, - Radio Communication- Dominion and Provincial Jurisdiction- BNA act, 1867, ss. 9, 92, 132] </w:t>
      </w:r>
    </w:p>
    <w:p>
      <w:pPr>
        <w:pStyle w:val="Body"/>
        <w:numPr>
          <w:ilvl w:val="0"/>
          <w:numId w:val="2"/>
        </w:numPr>
        <w:rPr>
          <w:u w:val="single"/>
          <w:lang w:val="en-US"/>
        </w:rPr>
      </w:pPr>
      <w:r>
        <w:rPr>
          <w:u w:val="none"/>
          <w:rtl w:val="0"/>
          <w:lang w:val="en-US"/>
        </w:rPr>
        <w:t xml:space="preserve">States that </w:t>
      </w:r>
      <w:r>
        <w:rPr>
          <w:u w:val="none"/>
          <w:rtl w:val="0"/>
          <w:lang w:val="en-US"/>
        </w:rPr>
        <w:t>“</w:t>
      </w:r>
      <w:r>
        <w:rPr>
          <w:u w:val="none"/>
          <w:rtl w:val="0"/>
          <w:lang w:val="en-US"/>
        </w:rPr>
        <w:t>radio communication is subject to the legislative jurisdiction of the Dominion of Parliament</w:t>
      </w:r>
      <w:r>
        <w:rPr>
          <w:u w:val="none"/>
          <w:rtl w:val="0"/>
          <w:lang w:val="en-US"/>
        </w:rPr>
        <w:t xml:space="preserve">” </w:t>
      </w:r>
    </w:p>
    <w:p>
      <w:pPr>
        <w:pStyle w:val="Body"/>
        <w:numPr>
          <w:ilvl w:val="0"/>
          <w:numId w:val="2"/>
        </w:numPr>
        <w:rPr>
          <w:u w:val="single"/>
          <w:lang w:val="en-US"/>
        </w:rPr>
      </w:pPr>
      <w:r>
        <w:rPr>
          <w:u w:val="single"/>
          <w:rtl w:val="0"/>
          <w:lang w:val="en-US"/>
        </w:rPr>
        <w:t xml:space="preserve">Section 92: </w:t>
      </w:r>
      <w:r>
        <w:rPr>
          <w:u w:val="none"/>
          <w:rtl w:val="0"/>
          <w:lang w:val="en-US"/>
        </w:rPr>
        <w:t>“</w:t>
      </w:r>
      <w:r>
        <w:rPr>
          <w:u w:val="none"/>
          <w:rtl w:val="0"/>
          <w:lang w:val="en-US"/>
        </w:rPr>
        <w:t xml:space="preserve">The dominion of Parliament has NOT jurisdiction to legislate on the subject of radio communication in every respect. This falls under section 13 (property and civil rights) or under no. 10 (local works and undertakings) of SECTION 92 of the BNA act.. except in cases where the dominion parliament has superseding jurisdiction under some heads in sec. 91 and 132 (relating treaties) </w:t>
      </w:r>
    </w:p>
    <w:p>
      <w:pPr>
        <w:pStyle w:val="Body"/>
        <w:numPr>
          <w:ilvl w:val="0"/>
          <w:numId w:val="2"/>
        </w:numPr>
        <w:rPr>
          <w:u w:val="single"/>
          <w:lang w:val="en-US"/>
        </w:rPr>
      </w:pPr>
      <w:r>
        <w:rPr>
          <w:u w:val="none"/>
          <w:rtl w:val="0"/>
          <w:lang w:val="en-US"/>
        </w:rPr>
        <w:t xml:space="preserve">Case: The province of quebec has questioned the jurisdiction of the Parliament of Canada to regulate and control radio communication and hs submitted questions to the Court of Kings bench in appeal of the prince, whether the rain telegraph act, in whole or in part, is within the jurisdiction of the legislature of the province to enact. </w:t>
      </w:r>
    </w:p>
    <w:p>
      <w:pPr>
        <w:pStyle w:val="Body"/>
        <w:numPr>
          <w:ilvl w:val="0"/>
          <w:numId w:val="2"/>
        </w:numPr>
        <w:rPr>
          <w:lang w:val="en-US"/>
        </w:rPr>
      </w:pPr>
      <w:r>
        <w:rPr>
          <w:rtl w:val="0"/>
          <w:lang w:val="en-US"/>
        </w:rPr>
        <w:t xml:space="preserve">The Supreme Courts Answer: it does not concern for the rights of property in the instrument used for communication, their ownership, or civil rights i regard to them, but has to do entirely, with the effects produced by them. It is </w:t>
      </w:r>
      <w:r>
        <w:rPr>
          <w:rtl w:val="0"/>
          <w:lang w:val="en-US"/>
        </w:rPr>
        <w:t>“</w:t>
      </w:r>
      <w:r>
        <w:rPr>
          <w:rtl w:val="0"/>
          <w:lang w:val="en-US"/>
        </w:rPr>
        <w:t>Radio Communication</w:t>
      </w:r>
      <w:r>
        <w:rPr>
          <w:rtl w:val="0"/>
          <w:lang w:val="en-US"/>
        </w:rPr>
        <w:t xml:space="preserve">” </w:t>
      </w:r>
      <w:r>
        <w:rPr>
          <w:rtl w:val="0"/>
          <w:lang w:val="en-US"/>
        </w:rPr>
        <w:t xml:space="preserve">that is dealt withy the question, not the instruments employed in making it. </w:t>
      </w:r>
    </w:p>
    <w:p>
      <w:pPr>
        <w:pStyle w:val="Body"/>
        <w:numPr>
          <w:ilvl w:val="0"/>
          <w:numId w:val="2"/>
        </w:numPr>
        <w:rPr>
          <w:lang w:val="en-US"/>
        </w:rPr>
      </w:pPr>
      <w:r>
        <w:rPr>
          <w:rtl w:val="0"/>
          <w:lang w:val="en-US"/>
        </w:rPr>
        <w:t xml:space="preserve">Radio Communication is Dominion Wide </w:t>
      </w:r>
    </w:p>
    <w:p>
      <w:pPr>
        <w:pStyle w:val="Body"/>
        <w:numPr>
          <w:ilvl w:val="0"/>
          <w:numId w:val="2"/>
        </w:numPr>
        <w:rPr>
          <w:lang w:val="en-US"/>
        </w:rPr>
      </w:pPr>
      <w:r>
        <w:rPr>
          <w:rtl w:val="0"/>
          <w:lang w:val="en-US"/>
        </w:rPr>
        <w:t xml:space="preserve">Hertzien waves were unknown to the framers of the BNA act, therefore it is not to be expected that language should be found in that act explicitly covering the subject matter of the present reference. </w:t>
      </w:r>
    </w:p>
    <w:p>
      <w:pPr>
        <w:pStyle w:val="Body"/>
        <w:numPr>
          <w:ilvl w:val="0"/>
          <w:numId w:val="2"/>
        </w:numPr>
        <w:rPr>
          <w:lang w:val="en-US"/>
        </w:rPr>
      </w:pPr>
      <w:r>
        <w:rPr>
          <w:rtl w:val="0"/>
          <w:lang w:val="en-US"/>
        </w:rPr>
        <w:t>Therefore, all occasions should be interpreted in a large, liberal and comprehensive spirit, considering the magnitude of this subjects [Living Tree Analogy]</w:t>
      </w:r>
    </w:p>
    <w:p>
      <w:pPr>
        <w:pStyle w:val="Body"/>
        <w:numPr>
          <w:ilvl w:val="0"/>
          <w:numId w:val="2"/>
        </w:numPr>
        <w:rPr>
          <w:lang w:val="en-US"/>
        </w:rPr>
      </w:pPr>
      <w:r>
        <w:rPr>
          <w:rtl w:val="0"/>
          <w:lang w:val="en-US"/>
        </w:rPr>
        <w:t xml:space="preserve">The application of section 92 of the constitution is rejected because Hertzian waves are unknown to the B.N.A act, living tree analogy and language of constitutional interpretation </w:t>
      </w:r>
    </w:p>
    <w:p>
      <w:pPr>
        <w:pStyle w:val="Body"/>
        <w:numPr>
          <w:ilvl w:val="0"/>
          <w:numId w:val="2"/>
        </w:numPr>
        <w:rPr>
          <w:u w:val="single"/>
          <w:lang w:val="en-US"/>
        </w:rPr>
      </w:pPr>
      <w:r>
        <w:rPr>
          <w:u w:val="single"/>
          <w:rtl w:val="0"/>
          <w:lang w:val="en-US"/>
        </w:rPr>
        <w:t xml:space="preserve">Subsection 13: </w:t>
      </w:r>
      <w:r>
        <w:rPr>
          <w:u w:val="none"/>
          <w:rtl w:val="0"/>
          <w:lang w:val="en-US"/>
        </w:rPr>
        <w:t>When we think of radio as a medium of communication we can also see it as a property. It requires</w:t>
      </w:r>
      <w:r>
        <w:rPr>
          <w:u w:val="single"/>
          <w:rtl w:val="0"/>
          <w:lang w:val="en-US"/>
        </w:rPr>
        <w:t xml:space="preserve"> instruments</w:t>
      </w:r>
      <w:r>
        <w:rPr>
          <w:u w:val="none"/>
          <w:rtl w:val="0"/>
          <w:lang w:val="en-US"/>
        </w:rPr>
        <w:t xml:space="preserve">, which constitute a form of property </w:t>
      </w:r>
    </w:p>
    <w:p>
      <w:pPr>
        <w:pStyle w:val="Body"/>
        <w:numPr>
          <w:ilvl w:val="0"/>
          <w:numId w:val="2"/>
        </w:numPr>
        <w:rPr>
          <w:u w:val="single"/>
          <w:lang w:val="en-US"/>
        </w:rPr>
      </w:pPr>
      <w:r>
        <w:rPr>
          <w:u w:val="none"/>
          <w:rtl w:val="0"/>
          <w:lang w:val="en-US"/>
        </w:rPr>
        <w:t xml:space="preserve">SCC Appeal: Radio Broadcasting does not concern the rights of property because </w:t>
      </w:r>
      <w:r>
        <w:rPr>
          <w:u w:val="none"/>
          <w:rtl w:val="0"/>
          <w:lang w:val="en-US"/>
        </w:rPr>
        <w:t>“</w:t>
      </w:r>
      <w:r>
        <w:rPr>
          <w:u w:val="none"/>
          <w:rtl w:val="0"/>
          <w:lang w:val="en-US"/>
        </w:rPr>
        <w:t>radio communication</w:t>
      </w:r>
      <w:r>
        <w:rPr>
          <w:u w:val="none"/>
          <w:rtl w:val="0"/>
          <w:lang w:val="en-US"/>
        </w:rPr>
        <w:t xml:space="preserve">” </w:t>
      </w:r>
      <w:r>
        <w:rPr>
          <w:u w:val="none"/>
          <w:rtl w:val="0"/>
          <w:lang w:val="en-US"/>
        </w:rPr>
        <w:t xml:space="preserve">and the signals that are being transmitted is the matter of the question, not the instruments employed in the making of it. </w:t>
      </w:r>
    </w:p>
    <w:p>
      <w:pPr>
        <w:pStyle w:val="Body"/>
        <w:numPr>
          <w:ilvl w:val="0"/>
          <w:numId w:val="2"/>
        </w:numPr>
        <w:rPr>
          <w:u w:val="single"/>
          <w:lang w:val="en-US"/>
        </w:rPr>
      </w:pPr>
      <w:r>
        <w:rPr>
          <w:u w:val="none"/>
          <w:rtl w:val="0"/>
          <w:lang w:val="en-US"/>
        </w:rPr>
        <w:t xml:space="preserve">Subsection 16: Argues that radio communication is a </w:t>
      </w:r>
      <w:r>
        <w:rPr>
          <w:u w:val="none"/>
          <w:rtl w:val="0"/>
          <w:lang w:val="en-US"/>
        </w:rPr>
        <w:t>“</w:t>
      </w:r>
      <w:r>
        <w:rPr>
          <w:u w:val="none"/>
          <w:rtl w:val="0"/>
          <w:lang w:val="en-US"/>
        </w:rPr>
        <w:t xml:space="preserve">merely local or private nature in the province. </w:t>
      </w:r>
    </w:p>
    <w:p>
      <w:pPr>
        <w:pStyle w:val="Body"/>
        <w:numPr>
          <w:ilvl w:val="0"/>
          <w:numId w:val="2"/>
        </w:numPr>
        <w:rPr>
          <w:u w:val="single"/>
          <w:lang w:val="en-US"/>
        </w:rPr>
      </w:pPr>
      <w:r>
        <w:rPr>
          <w:u w:val="none"/>
          <w:rtl w:val="0"/>
          <w:lang w:val="en-US"/>
        </w:rPr>
        <w:t xml:space="preserve">In the course if discussion, an attempt was made to distinguish between the transmission of a message snd the reception of it; however the question is directed not to the rights of property in goods or chattels, situate within a province, but to radio communication, an affect that is not local, but interprovincial. </w:t>
      </w:r>
    </w:p>
    <w:p>
      <w:pPr>
        <w:pStyle w:val="Body"/>
        <w:numPr>
          <w:ilvl w:val="0"/>
          <w:numId w:val="2"/>
        </w:numPr>
        <w:rPr>
          <w:u w:val="single"/>
          <w:lang w:val="en-US"/>
        </w:rPr>
      </w:pPr>
      <w:r>
        <w:rPr>
          <w:u w:val="none"/>
          <w:rtl w:val="0"/>
          <w:lang w:val="en-US"/>
        </w:rPr>
        <w:t xml:space="preserve">Hertzien waves, which are necessary for radio communication, do not follow provincial boundaries. </w:t>
      </w:r>
    </w:p>
    <w:p>
      <w:pPr>
        <w:pStyle w:val="Body"/>
        <w:numPr>
          <w:ilvl w:val="0"/>
          <w:numId w:val="2"/>
        </w:numPr>
        <w:rPr>
          <w:lang w:val="en-US"/>
        </w:rPr>
      </w:pPr>
      <w:r>
        <w:rPr>
          <w:rtl w:val="0"/>
          <w:lang w:val="en-US"/>
        </w:rPr>
        <w:t>Radio communication is intra provincial, there must be two parties to a communication and if the sender be in a foreign country, province or territory then the communication is not local. Hertzian waves do not respect provincial boundaries</w:t>
      </w:r>
    </w:p>
    <w:p>
      <w:pPr>
        <w:pStyle w:val="Body"/>
        <w:numPr>
          <w:ilvl w:val="0"/>
          <w:numId w:val="2"/>
        </w:numPr>
        <w:rPr>
          <w:lang w:val="en-US"/>
        </w:rPr>
      </w:pPr>
      <w:r>
        <w:rPr>
          <w:rFonts w:ascii="Arial" w:hAnsi="Arial"/>
          <w:color w:val="000000"/>
          <w:u w:color="000000"/>
          <w:rtl w:val="0"/>
          <w:lang w:val="en-US"/>
        </w:rPr>
        <w:t>*With respect to local works and undertakings, provincial jurisdiction over local works &amp; undertakings is the rule, Federal jurisdiction is the exception. *</w:t>
      </w:r>
      <w:r>
        <w:rPr>
          <w:rFonts w:ascii="Arial" w:hAnsi="Arial"/>
          <w:color w:val="000000"/>
          <w:u w:color="000000"/>
          <w:rtl w:val="0"/>
          <w:lang w:val="en-US"/>
        </w:rPr>
        <w:t xml:space="preserve"> </w:t>
      </w:r>
    </w:p>
    <w:p>
      <w:pPr>
        <w:pStyle w:val="Body"/>
      </w:pPr>
    </w:p>
    <w:p>
      <w:pPr>
        <w:pStyle w:val="Body"/>
      </w:pPr>
      <w:r>
        <w:rPr>
          <w:shd w:val="clear" w:color="auto" w:fill="ffe061"/>
          <w:rtl w:val="0"/>
          <w:lang w:val="en-US"/>
        </w:rPr>
        <w:t xml:space="preserve">Case 2: PSB (Public Service Board) v Dionne </w:t>
      </w:r>
    </w:p>
    <w:p>
      <w:pPr>
        <w:pStyle w:val="Body"/>
        <w:numPr>
          <w:ilvl w:val="0"/>
          <w:numId w:val="2"/>
        </w:numPr>
        <w:rPr>
          <w:lang w:val="en-US"/>
        </w:rPr>
      </w:pPr>
      <w:r>
        <w:rPr>
          <w:rtl w:val="0"/>
          <w:lang w:val="en-US"/>
        </w:rPr>
        <w:t>Happened 40 years after the radio reference</w:t>
      </w:r>
    </w:p>
    <w:p>
      <w:pPr>
        <w:pStyle w:val="Body"/>
        <w:numPr>
          <w:ilvl w:val="0"/>
          <w:numId w:val="2"/>
        </w:numPr>
        <w:rPr>
          <w:lang w:val="en-US"/>
        </w:rPr>
      </w:pPr>
      <w:r>
        <w:rPr>
          <w:rtl w:val="0"/>
          <w:lang w:val="en-US"/>
        </w:rPr>
        <w:t xml:space="preserve">[Prima Facie: On the surface/ at first glance] </w:t>
      </w:r>
    </w:p>
    <w:p>
      <w:pPr>
        <w:pStyle w:val="Body"/>
        <w:numPr>
          <w:ilvl w:val="0"/>
          <w:numId w:val="2"/>
        </w:numPr>
        <w:rPr>
          <w:lang w:val="en-US"/>
        </w:rPr>
      </w:pPr>
      <w:r>
        <w:rPr>
          <w:rtl w:val="0"/>
          <w:lang w:val="en-US"/>
        </w:rPr>
        <w:t xml:space="preserve">[On appeal from the court of appeal for Quebec. Constitutional Law, Cable Distribution Undertakings, Radio Broadcasting Act, Public Service Board Act </w:t>
      </w:r>
    </w:p>
    <w:p>
      <w:pPr>
        <w:pStyle w:val="Body"/>
        <w:numPr>
          <w:ilvl w:val="0"/>
          <w:numId w:val="2"/>
        </w:numPr>
        <w:rPr>
          <w:lang w:val="en-US"/>
        </w:rPr>
      </w:pPr>
      <w:r>
        <w:rPr>
          <w:rtl w:val="0"/>
          <w:lang w:val="en-US"/>
        </w:rPr>
        <w:t>Appellant d</w:t>
      </w:r>
      <w:r>
        <w:rPr>
          <w:rtl w:val="0"/>
          <w:lang w:val="en-US"/>
        </w:rPr>
        <w:t>’</w:t>
      </w:r>
      <w:r>
        <w:rPr>
          <w:rtl w:val="0"/>
          <w:lang w:val="en-US"/>
        </w:rPr>
        <w:t>Auteuil and respondent Dionne were authorized by the Quebec Public service board to establish and operate</w:t>
      </w:r>
      <w:r>
        <w:rPr>
          <w:u w:val="single"/>
          <w:rtl w:val="0"/>
          <w:lang w:val="en-US"/>
        </w:rPr>
        <w:t xml:space="preserve"> cable distribution undertakings</w:t>
      </w:r>
      <w:r>
        <w:rPr>
          <w:rtl w:val="0"/>
          <w:lang w:val="en-US"/>
        </w:rPr>
        <w:t xml:space="preserve">, each in a specific area. The purpose was to transmit sounds and pictures to specific receivers, using cables or other means </w:t>
      </w:r>
    </w:p>
    <w:p>
      <w:pPr>
        <w:pStyle w:val="Body"/>
        <w:numPr>
          <w:ilvl w:val="0"/>
          <w:numId w:val="2"/>
        </w:numPr>
        <w:rPr>
          <w:lang w:val="en-US"/>
        </w:rPr>
      </w:pPr>
      <w:r>
        <w:rPr>
          <w:rtl w:val="0"/>
          <w:lang w:val="en-US"/>
        </w:rPr>
        <w:t xml:space="preserve">The Quebec court of appeal unanimously set aside the decisions of the board and declared ultra vires </w:t>
      </w:r>
    </w:p>
    <w:p>
      <w:pPr>
        <w:pStyle w:val="Body"/>
        <w:numPr>
          <w:ilvl w:val="0"/>
          <w:numId w:val="2"/>
        </w:numPr>
        <w:rPr>
          <w:lang w:val="en-US"/>
        </w:rPr>
      </w:pPr>
      <w:r>
        <w:rPr>
          <w:rtl w:val="0"/>
          <w:lang w:val="en-US"/>
        </w:rPr>
        <w:t xml:space="preserve">The fundamental question is not whether the service involved in cable distribution is limited to intra provincial subscribers or that it is operated by a local concern, but rather what the service consists of. </w:t>
      </w:r>
    </w:p>
    <w:p>
      <w:pPr>
        <w:pStyle w:val="Body"/>
        <w:numPr>
          <w:ilvl w:val="0"/>
          <w:numId w:val="2"/>
        </w:numPr>
        <w:rPr>
          <w:lang w:val="en-US"/>
        </w:rPr>
      </w:pPr>
      <w:r>
        <w:rPr>
          <w:rtl w:val="0"/>
          <w:lang w:val="en-US"/>
        </w:rPr>
        <w:t xml:space="preserve">Where television and broadcasting/receiving is concerned there cannot be a separation for constitutional control of what is functionally an interrelated system of transmitting and receiving television through signals that are received and carried over the system. </w:t>
      </w:r>
    </w:p>
    <w:p>
      <w:pPr>
        <w:pStyle w:val="Body"/>
        <w:numPr>
          <w:ilvl w:val="0"/>
          <w:numId w:val="2"/>
        </w:numPr>
        <w:rPr>
          <w:lang w:val="en-US"/>
        </w:rPr>
      </w:pPr>
      <w:r>
        <w:rPr>
          <w:rtl w:val="0"/>
          <w:lang w:val="en-US"/>
        </w:rPr>
        <w:t xml:space="preserve">Quebec thought that television could be distinguished from radio, and in some cases television is able to be a strictly local undertaking, therefor it can be provincially regulated </w:t>
      </w:r>
    </w:p>
    <w:p>
      <w:pPr>
        <w:pStyle w:val="Body"/>
        <w:numPr>
          <w:ilvl w:val="0"/>
          <w:numId w:val="2"/>
        </w:numPr>
        <w:rPr>
          <w:lang w:val="en-US"/>
        </w:rPr>
      </w:pPr>
      <w:r>
        <w:rPr>
          <w:rtl w:val="0"/>
          <w:lang w:val="en-US"/>
        </w:rPr>
        <w:t xml:space="preserve">Appeal: Supreme Court of Canada said that Quebec was acting ultra vires because: TV broadcasting still relies on Hertzian Waves and there is not a </w:t>
      </w:r>
      <w:r>
        <w:rPr>
          <w:u w:val="single"/>
          <w:rtl w:val="0"/>
          <w:lang w:val="en-US"/>
        </w:rPr>
        <w:t xml:space="preserve">local undertaking </w:t>
      </w:r>
      <w:r>
        <w:rPr>
          <w:rtl w:val="0"/>
          <w:lang w:val="en-US"/>
        </w:rPr>
        <w:t xml:space="preserve"> therefor it must be federal regulated </w:t>
      </w:r>
    </w:p>
    <w:p>
      <w:pPr>
        <w:pStyle w:val="Body"/>
        <w:numPr>
          <w:ilvl w:val="0"/>
          <w:numId w:val="2"/>
        </w:numPr>
        <w:rPr>
          <w:lang w:val="en-US"/>
        </w:rPr>
      </w:pPr>
      <w:r>
        <w:rPr>
          <w:rtl w:val="0"/>
          <w:lang w:val="en-US"/>
        </w:rPr>
        <w:t xml:space="preserve">Tripart model for understanding how to approach new tech medium in which we engage communication </w:t>
      </w:r>
    </w:p>
    <w:p>
      <w:pPr>
        <w:pStyle w:val="Body"/>
        <w:numPr>
          <w:ilvl w:val="0"/>
          <w:numId w:val="2"/>
        </w:numPr>
        <w:rPr>
          <w:lang w:val="en-US"/>
        </w:rPr>
      </w:pPr>
      <w:r>
        <w:rPr>
          <w:rtl w:val="0"/>
          <w:lang w:val="en-US"/>
        </w:rPr>
        <w:t xml:space="preserve">1. Physical apparatus </w:t>
      </w:r>
    </w:p>
    <w:p>
      <w:pPr>
        <w:pStyle w:val="Body"/>
        <w:numPr>
          <w:ilvl w:val="0"/>
          <w:numId w:val="2"/>
        </w:numPr>
        <w:rPr>
          <w:lang w:val="en-US"/>
        </w:rPr>
      </w:pPr>
      <w:r>
        <w:rPr>
          <w:rtl w:val="0"/>
          <w:lang w:val="en-US"/>
        </w:rPr>
        <w:t xml:space="preserve">2. Carrier System </w:t>
      </w:r>
    </w:p>
    <w:p>
      <w:pPr>
        <w:pStyle w:val="Body"/>
        <w:numPr>
          <w:ilvl w:val="0"/>
          <w:numId w:val="2"/>
        </w:numPr>
        <w:rPr>
          <w:lang w:val="en-US"/>
        </w:rPr>
      </w:pPr>
      <w:r>
        <w:rPr>
          <w:rtl w:val="0"/>
          <w:lang w:val="en-US"/>
        </w:rPr>
        <w:t xml:space="preserve">3. Signals </w:t>
      </w:r>
    </w:p>
    <w:p>
      <w:pPr>
        <w:pStyle w:val="Body"/>
        <w:bidi w:val="0"/>
        <w:spacing w:before="0" w:line="240" w:lineRule="auto"/>
        <w:ind w:left="1080" w:right="0" w:firstLine="0"/>
        <w:jc w:val="left"/>
        <w:rPr>
          <w:rtl w:val="0"/>
        </w:rPr>
      </w:pPr>
      <w:r>
        <w:rPr>
          <w:rFonts w:ascii="Arial" w:cs="Cambria" w:hAnsi="Arial" w:eastAsia="Cambria" w:hint="default"/>
          <w:color w:val="000000"/>
          <w:u w:color="000000"/>
          <w:rtl w:val="0"/>
          <w:lang w:val="en-US"/>
        </w:rPr>
        <w:t>“</w:t>
      </w:r>
      <w:r>
        <w:rPr>
          <w:rFonts w:ascii="Arial" w:cs="Cambria" w:hAnsi="Arial" w:eastAsia="Cambria"/>
          <w:color w:val="000000"/>
          <w:u w:color="000000"/>
          <w:rtl w:val="0"/>
          <w:lang w:val="en-US"/>
        </w:rPr>
        <w:t>When you have an undertaking that relies on the interception of television signals and their retransmission to cablevision subscribers, it is therefore Federal jurisdiction.</w:t>
      </w:r>
    </w:p>
    <w:p>
      <w:pPr>
        <w:pStyle w:val="Body"/>
        <w:numPr>
          <w:ilvl w:val="0"/>
          <w:numId w:val="2"/>
        </w:numPr>
        <w:rPr>
          <w:lang w:val="en-US"/>
        </w:rPr>
      </w:pPr>
      <w:r>
        <w:rPr>
          <w:rtl w:val="0"/>
          <w:lang w:val="en-US"/>
        </w:rPr>
        <w:t xml:space="preserve"> Fundamental question is WHAT DOES A SERVICE CONSIST OF? </w:t>
      </w:r>
    </w:p>
    <w:p>
      <w:pPr>
        <w:pStyle w:val="Body"/>
        <w:numPr>
          <w:ilvl w:val="0"/>
          <w:numId w:val="2"/>
        </w:numPr>
        <w:rPr>
          <w:lang w:val="en-US"/>
        </w:rPr>
      </w:pPr>
      <w:r>
        <w:rPr>
          <w:rtl w:val="0"/>
          <w:lang w:val="en-US"/>
        </w:rPr>
        <w:t xml:space="preserve">Inquiry must be as to the service that is provided and not simply as to the means through which it is carried </w:t>
      </w:r>
    </w:p>
    <w:p>
      <w:pPr>
        <w:pStyle w:val="Body"/>
        <w:numPr>
          <w:ilvl w:val="0"/>
          <w:numId w:val="2"/>
        </w:numPr>
        <w:rPr>
          <w:lang w:val="en-US"/>
        </w:rPr>
      </w:pPr>
      <w:r>
        <w:rPr>
          <w:rtl w:val="0"/>
          <w:lang w:val="en-US"/>
        </w:rPr>
        <w:t xml:space="preserve">Stare Decisis: the rule of precedence </w:t>
      </w:r>
    </w:p>
    <w:p>
      <w:pPr>
        <w:pStyle w:val="Body"/>
        <w:numPr>
          <w:ilvl w:val="0"/>
          <w:numId w:val="2"/>
        </w:numPr>
        <w:rPr>
          <w:lang w:val="en-US"/>
        </w:rPr>
      </w:pPr>
      <w:r>
        <w:rPr>
          <w:rtl w:val="0"/>
          <w:lang w:val="en-US"/>
        </w:rPr>
        <w:t xml:space="preserve">Capital Cities Case: This court concluded that on the facts of established in the Capital Cities the exclusive legislative authority in relation to the regulation of cable vision stations (where involved the interception of television signals) therefore rested in the parliament of Canada.  </w:t>
      </w:r>
    </w:p>
    <w:p>
      <w:pPr>
        <w:pStyle w:val="Body"/>
        <w:numPr>
          <w:ilvl w:val="0"/>
          <w:numId w:val="2"/>
        </w:numPr>
        <w:rPr>
          <w:lang w:val="en-US"/>
        </w:rPr>
      </w:pPr>
      <w:r>
        <w:rPr>
          <w:rtl w:val="0"/>
          <w:lang w:val="en-US"/>
        </w:rPr>
        <w:t xml:space="preserve">Quebecs 2 main arguments: 1. That </w:t>
      </w:r>
      <w:r>
        <w:rPr>
          <w:rtl w:val="0"/>
          <w:lang w:val="en-US"/>
        </w:rPr>
        <w:t>“</w:t>
      </w:r>
      <w:r>
        <w:rPr>
          <w:rtl w:val="0"/>
          <w:lang w:val="en-US"/>
        </w:rPr>
        <w:t>2 enterprises having having no necessary connection with each other, were involved in television operations.</w:t>
      </w:r>
      <w:r>
        <w:rPr>
          <w:rtl w:val="0"/>
          <w:lang w:val="en-US"/>
        </w:rPr>
        <w:t xml:space="preserve">” </w:t>
      </w:r>
      <w:r>
        <w:rPr>
          <w:rtl w:val="0"/>
          <w:lang w:val="en-US"/>
        </w:rPr>
        <w:t xml:space="preserve">2. </w:t>
      </w:r>
      <w:r>
        <w:rPr>
          <w:rtl w:val="0"/>
          <w:lang w:val="en-US"/>
        </w:rPr>
        <w:t>“</w:t>
      </w:r>
      <w:r>
        <w:rPr>
          <w:rtl w:val="0"/>
          <w:lang w:val="en-US"/>
        </w:rPr>
        <w:t xml:space="preserve">The fact that different controlling entities were involved in these operations, since the cable distribution operation was locally situate and [limited in its subscriber relations to persons in Quebec] </w:t>
      </w:r>
    </w:p>
    <w:p>
      <w:pPr>
        <w:pStyle w:val="Body"/>
      </w:pPr>
    </w:p>
    <w:p>
      <w:pPr>
        <w:pStyle w:val="Body"/>
      </w:pPr>
      <w:r>
        <w:rPr>
          <w:shd w:val="clear" w:color="auto" w:fill="ffe061"/>
          <w:rtl w:val="0"/>
          <w:lang w:val="en-US"/>
        </w:rPr>
        <w:t xml:space="preserve">Case 3: Reference re Broadcasting Act </w:t>
      </w:r>
    </w:p>
    <w:p>
      <w:pPr>
        <w:pStyle w:val="Body"/>
        <w:numPr>
          <w:ilvl w:val="0"/>
          <w:numId w:val="2"/>
        </w:numPr>
        <w:rPr>
          <w:shd w:val="clear" w:color="auto" w:fill="fefefe"/>
          <w:lang w:val="en-US"/>
        </w:rPr>
      </w:pPr>
      <w:r>
        <w:rPr>
          <w:shd w:val="clear" w:color="auto" w:fill="fefefe"/>
          <w:rtl w:val="0"/>
          <w:lang w:val="en-US"/>
        </w:rPr>
        <w:t xml:space="preserve">Appeal: Whether internet service providers are broadcasters when they provide end-users with access to broadcasting through the internet. </w:t>
      </w:r>
    </w:p>
    <w:p>
      <w:pPr>
        <w:pStyle w:val="Body"/>
        <w:numPr>
          <w:ilvl w:val="0"/>
          <w:numId w:val="2"/>
        </w:numPr>
        <w:rPr>
          <w:shd w:val="clear" w:color="auto" w:fill="fefefe"/>
          <w:lang w:val="en-US"/>
        </w:rPr>
      </w:pPr>
      <w:r>
        <w:rPr>
          <w:shd w:val="clear" w:color="auto" w:fill="fefefe"/>
          <w:rtl w:val="0"/>
          <w:lang w:val="en-US"/>
        </w:rPr>
        <w:t>(whether retail Internet service providers (ISP</w:t>
      </w:r>
      <w:r>
        <w:rPr>
          <w:shd w:val="clear" w:color="auto" w:fill="fefefe"/>
          <w:rtl w:val="0"/>
          <w:lang w:val="en-US"/>
        </w:rPr>
        <w:t>’</w:t>
      </w:r>
      <w:r>
        <w:rPr>
          <w:shd w:val="clear" w:color="auto" w:fill="fefefe"/>
          <w:rtl w:val="0"/>
          <w:lang w:val="en-US"/>
        </w:rPr>
        <w:t xml:space="preserve">s) carry on in whole, or in part </w:t>
      </w:r>
      <w:r>
        <w:rPr>
          <w:u w:val="single"/>
          <w:shd w:val="clear" w:color="auto" w:fill="fefefe"/>
          <w:rtl w:val="0"/>
          <w:lang w:val="en-US"/>
        </w:rPr>
        <w:t>“</w:t>
      </w:r>
      <w:r>
        <w:rPr>
          <w:u w:val="single"/>
          <w:shd w:val="clear" w:color="auto" w:fill="fefefe"/>
          <w:rtl w:val="0"/>
          <w:lang w:val="en-US"/>
        </w:rPr>
        <w:t>broadcasting undertakings</w:t>
      </w:r>
      <w:r>
        <w:rPr>
          <w:u w:val="single"/>
          <w:shd w:val="clear" w:color="auto" w:fill="fefefe"/>
          <w:rtl w:val="0"/>
          <w:lang w:val="en-US"/>
        </w:rPr>
        <w:t>”</w:t>
      </w:r>
      <w:r>
        <w:rPr>
          <w:shd w:val="clear" w:color="auto" w:fill="fefefe"/>
          <w:rtl w:val="0"/>
          <w:lang w:val="en-US"/>
        </w:rPr>
        <w:t xml:space="preserve"> when they provide access through the internet to broadcasting requested by end users) The Court said they do not. The appeal should be dismissed</w:t>
      </w:r>
    </w:p>
    <w:p>
      <w:pPr>
        <w:pStyle w:val="Body"/>
        <w:numPr>
          <w:ilvl w:val="0"/>
          <w:numId w:val="2"/>
        </w:numPr>
        <w:rPr>
          <w:shd w:val="clear" w:color="auto" w:fill="fefefe"/>
          <w:lang w:val="en-US"/>
        </w:rPr>
      </w:pPr>
      <w:r>
        <w:rPr>
          <w:shd w:val="clear" w:color="auto" w:fill="fefefe"/>
          <w:rtl w:val="0"/>
          <w:lang w:val="en-US"/>
        </w:rPr>
        <w:t xml:space="preserve">Broadcasting is does not merely provide a mode of transmission , it is clear that broadcasting undertakings have some measure of control over programming </w:t>
      </w:r>
    </w:p>
    <w:p>
      <w:pPr>
        <w:pStyle w:val="Body"/>
        <w:numPr>
          <w:ilvl w:val="0"/>
          <w:numId w:val="2"/>
        </w:numPr>
        <w:rPr>
          <w:shd w:val="clear" w:color="auto" w:fill="fefefe"/>
          <w:lang w:val="en-US"/>
        </w:rPr>
      </w:pPr>
      <w:r>
        <w:rPr>
          <w:shd w:val="clear" w:color="auto" w:fill="fefefe"/>
          <w:rtl w:val="0"/>
          <w:lang w:val="en-US"/>
        </w:rPr>
        <w:t xml:space="preserve">When providing access to the internet (which is what service providers do) they take no part in the selection, origination or packaging of content </w:t>
      </w:r>
    </w:p>
    <w:p>
      <w:pPr>
        <w:pStyle w:val="Body"/>
        <w:numPr>
          <w:ilvl w:val="0"/>
          <w:numId w:val="2"/>
        </w:numPr>
        <w:rPr>
          <w:shd w:val="clear" w:color="auto" w:fill="fefefe"/>
          <w:lang w:val="en-US"/>
        </w:rPr>
      </w:pPr>
      <w:r>
        <w:rPr>
          <w:shd w:val="clear" w:color="auto" w:fill="fefefe"/>
          <w:rtl w:val="0"/>
          <w:lang w:val="en-US"/>
        </w:rPr>
        <w:t xml:space="preserve">In 1999 the CRTC concluded that </w:t>
      </w:r>
      <w:r>
        <w:rPr>
          <w:shd w:val="clear" w:color="auto" w:fill="fefefe"/>
          <w:rtl w:val="0"/>
          <w:lang w:val="en-US"/>
        </w:rPr>
        <w:t>“</w:t>
      </w:r>
      <w:r>
        <w:rPr>
          <w:shd w:val="clear" w:color="auto" w:fill="fefefe"/>
          <w:rtl w:val="0"/>
          <w:lang w:val="en-US"/>
        </w:rPr>
        <w:t>broadcasting</w:t>
      </w:r>
      <w:r>
        <w:rPr>
          <w:shd w:val="clear" w:color="auto" w:fill="fefefe"/>
          <w:rtl w:val="0"/>
          <w:lang w:val="en-US"/>
        </w:rPr>
        <w:t xml:space="preserve">” </w:t>
      </w:r>
      <w:r>
        <w:rPr>
          <w:shd w:val="clear" w:color="auto" w:fill="fefefe"/>
          <w:rtl w:val="0"/>
          <w:lang w:val="en-US"/>
        </w:rPr>
        <w:t>in s.2(1) of the Broadcasting Act (SC, 1991) included programs transmitted to end users over the internet</w:t>
      </w:r>
    </w:p>
    <w:p>
      <w:pPr>
        <w:pStyle w:val="Body"/>
        <w:numPr>
          <w:ilvl w:val="0"/>
          <w:numId w:val="2"/>
        </w:numPr>
        <w:rPr>
          <w:lang w:val="en-US"/>
        </w:rPr>
      </w:pPr>
      <w:r>
        <w:rPr>
          <w:rtl w:val="0"/>
          <w:lang w:val="en-US"/>
        </w:rPr>
        <w:t xml:space="preserve">Canadian Radio Televison and Telecommunications Commission referred to the federal court of appeal with the question of weather </w:t>
      </w:r>
      <w:r>
        <w:rPr>
          <w:i w:val="1"/>
          <w:iCs w:val="1"/>
          <w:rtl w:val="0"/>
          <w:lang w:val="en-US"/>
        </w:rPr>
        <w:t xml:space="preserve">retail internet service providers carry on broadcasting undertaking when they provide access through the internet to broadcasting requested by end users. </w:t>
      </w:r>
    </w:p>
    <w:p>
      <w:pPr>
        <w:pStyle w:val="Body"/>
        <w:numPr>
          <w:ilvl w:val="0"/>
          <w:numId w:val="2"/>
        </w:numPr>
        <w:rPr>
          <w:lang w:val="en-US"/>
        </w:rPr>
      </w:pPr>
      <w:r>
        <w:rPr>
          <w:rtl w:val="0"/>
          <w:lang w:val="en-US"/>
        </w:rPr>
        <w:t xml:space="preserve">The court held that broadcasting undertakings are assumed some control over programming however an ISP does not engage with this when it is simply providing the mode of transmission </w:t>
      </w:r>
    </w:p>
    <w:p>
      <w:pPr>
        <w:pStyle w:val="Body"/>
        <w:numPr>
          <w:ilvl w:val="0"/>
          <w:numId w:val="2"/>
        </w:numPr>
        <w:rPr>
          <w:lang w:val="en-US"/>
        </w:rPr>
      </w:pPr>
      <w:r>
        <w:rPr>
          <w:rtl w:val="0"/>
          <w:lang w:val="en-US"/>
        </w:rPr>
        <w:t xml:space="preserve">SOCAN: Society of Composers, Authors and Music Publishers of Canada </w:t>
      </w:r>
    </w:p>
    <w:p>
      <w:pPr>
        <w:pStyle w:val="Body"/>
        <w:numPr>
          <w:ilvl w:val="0"/>
          <w:numId w:val="2"/>
        </w:numPr>
        <w:rPr>
          <w:lang w:val="en-US"/>
        </w:rPr>
      </w:pPr>
      <w:r>
        <w:rPr>
          <w:rtl w:val="0"/>
          <w:lang w:val="en-US"/>
        </w:rPr>
        <w:t xml:space="preserve">CAIP: Canadian Association of Internet providers </w:t>
      </w:r>
    </w:p>
    <w:p>
      <w:pPr>
        <w:pStyle w:val="Body"/>
        <w:numPr>
          <w:ilvl w:val="0"/>
          <w:numId w:val="2"/>
        </w:numPr>
        <w:rPr>
          <w:lang w:val="en-US"/>
        </w:rPr>
      </w:pPr>
      <w:r>
        <w:rPr>
          <w:rtl w:val="0"/>
          <w:lang w:val="en-US"/>
        </w:rPr>
        <w:t>Main question to understand.. with ISP</w:t>
      </w:r>
      <w:r>
        <w:rPr>
          <w:rtl w:val="0"/>
          <w:lang w:val="en-US"/>
        </w:rPr>
        <w:t>’</w:t>
      </w:r>
      <w:r>
        <w:rPr>
          <w:rtl w:val="0"/>
          <w:lang w:val="en-US"/>
        </w:rPr>
        <w:t>s providing their end users with</w:t>
      </w:r>
      <w:r>
        <w:rPr>
          <w:b w:val="1"/>
          <w:bCs w:val="1"/>
          <w:rtl w:val="0"/>
          <w:lang w:val="en-US"/>
        </w:rPr>
        <w:t xml:space="preserve"> broadcasting content </w:t>
      </w:r>
      <w:r>
        <w:rPr>
          <w:rtl w:val="0"/>
          <w:lang w:val="en-US"/>
        </w:rPr>
        <w:t xml:space="preserve">does this count as a </w:t>
      </w:r>
      <w:r>
        <w:rPr>
          <w:b w:val="1"/>
          <w:bCs w:val="1"/>
          <w:rtl w:val="0"/>
          <w:lang w:val="en-US"/>
        </w:rPr>
        <w:t>local undertaking??</w:t>
      </w:r>
    </w:p>
    <w:p>
      <w:pPr>
        <w:pStyle w:val="Body"/>
        <w:numPr>
          <w:ilvl w:val="0"/>
          <w:numId w:val="2"/>
        </w:numPr>
        <w:rPr>
          <w:lang w:val="en-US"/>
        </w:rPr>
      </w:pPr>
      <w:r>
        <w:rPr>
          <w:rtl w:val="0"/>
          <w:lang w:val="en-US"/>
        </w:rPr>
        <w:t>No.. an ISP is only a conduit or a carrier for information it cannot be HELD to communicate the information (preceding under the copy right act) ISP</w:t>
      </w:r>
      <w:r>
        <w:rPr>
          <w:rtl w:val="0"/>
          <w:lang w:val="en-US"/>
        </w:rPr>
        <w:t>’</w:t>
      </w:r>
      <w:r>
        <w:rPr>
          <w:rtl w:val="0"/>
          <w:lang w:val="en-US"/>
        </w:rPr>
        <w:t xml:space="preserve">s are NOT SUBJECT to the BROADCASTING ACT </w:t>
      </w:r>
    </w:p>
    <w:p>
      <w:pPr>
        <w:pStyle w:val="Body"/>
        <w:numPr>
          <w:ilvl w:val="0"/>
          <w:numId w:val="2"/>
        </w:numPr>
        <w:rPr>
          <w:lang w:val="en-US"/>
        </w:rPr>
      </w:pPr>
      <w:r>
        <w:rPr>
          <w:rtl w:val="0"/>
          <w:lang w:val="en-US"/>
        </w:rPr>
        <w:t>Broadcasting undertakings are defined as anything that is a transmission of programs, by radio waves or other means of telecommunication for reception by the public</w:t>
      </w:r>
    </w:p>
    <w:p>
      <w:pPr>
        <w:pStyle w:val="Body"/>
      </w:pPr>
      <w:r>
        <w:rPr>
          <w:shd w:val="clear" w:color="auto" w:fill="ffe061"/>
          <w:rtl w:val="0"/>
          <w:lang w:val="en-US"/>
        </w:rPr>
        <w:t xml:space="preserve">Case 4 : Hill v. Church of Scientology </w:t>
      </w:r>
    </w:p>
    <w:p>
      <w:pPr>
        <w:pStyle w:val="Body"/>
        <w:numPr>
          <w:ilvl w:val="0"/>
          <w:numId w:val="2"/>
        </w:numPr>
        <w:rPr>
          <w:lang w:val="en-US"/>
        </w:rPr>
      </w:pPr>
      <w:r>
        <w:rPr>
          <w:rtl w:val="0"/>
          <w:lang w:val="en-US"/>
        </w:rPr>
        <w:t>Issue; whether the common law of defamation is consistent with the Canadian Charter of Rights and Freedoms</w:t>
      </w:r>
    </w:p>
    <w:p>
      <w:pPr>
        <w:pStyle w:val="Body"/>
        <w:numPr>
          <w:ilvl w:val="0"/>
          <w:numId w:val="2"/>
        </w:numPr>
        <w:rPr>
          <w:lang w:val="en-US"/>
        </w:rPr>
      </w:pPr>
      <w:r>
        <w:rPr>
          <w:rtl w:val="0"/>
          <w:lang w:val="en-US"/>
        </w:rPr>
        <w:t xml:space="preserve">Casey Hill is suing Morris Manning and the Church of Scientology for publishing defamatory untrue (malice) statements about him at a press conference </w:t>
      </w:r>
    </w:p>
    <w:p>
      <w:pPr>
        <w:pStyle w:val="Body"/>
        <w:numPr>
          <w:ilvl w:val="0"/>
          <w:numId w:val="2"/>
        </w:numPr>
        <w:rPr>
          <w:lang w:val="en-US"/>
        </w:rPr>
      </w:pPr>
      <w:r>
        <w:rPr>
          <w:rtl w:val="0"/>
          <w:lang w:val="en-US"/>
        </w:rPr>
        <w:t xml:space="preserve">Manning was not provided defence of qualified privilege because he knew that the statements were false </w:t>
      </w:r>
    </w:p>
    <w:p>
      <w:pPr>
        <w:pStyle w:val="Body"/>
        <w:numPr>
          <w:ilvl w:val="0"/>
          <w:numId w:val="2"/>
        </w:numPr>
        <w:rPr>
          <w:lang w:val="en-US"/>
        </w:rPr>
      </w:pPr>
      <w:r>
        <w:rPr>
          <w:rtl w:val="0"/>
          <w:lang w:val="en-US"/>
        </w:rPr>
        <w:t xml:space="preserve">Manning also lost precedents in the fact that he wanted the charter to be applied. It could not be because Hill was acting as a government official not as an individual </w:t>
      </w:r>
    </w:p>
    <w:p>
      <w:pPr>
        <w:pStyle w:val="Body"/>
        <w:numPr>
          <w:ilvl w:val="0"/>
          <w:numId w:val="2"/>
        </w:numPr>
        <w:rPr>
          <w:lang w:val="en-US"/>
        </w:rPr>
      </w:pPr>
      <w:r>
        <w:rPr>
          <w:rtl w:val="0"/>
          <w:lang w:val="en-US"/>
        </w:rPr>
        <w:t xml:space="preserve">Freedom of speech is subject to the law and must be balanced against the essential need of an individual to protect their reputation </w:t>
      </w:r>
    </w:p>
    <w:p>
      <w:pPr>
        <w:pStyle w:val="Body"/>
        <w:numPr>
          <w:ilvl w:val="0"/>
          <w:numId w:val="2"/>
        </w:numPr>
        <w:rPr>
          <w:lang w:val="en-US"/>
        </w:rPr>
      </w:pPr>
      <w:r>
        <w:rPr>
          <w:rtl w:val="0"/>
          <w:lang w:val="en-US"/>
        </w:rPr>
        <w:t xml:space="preserve">Qualified privilege can be obtained upon which the communication is made and not the communication itself </w:t>
      </w:r>
    </w:p>
    <w:p>
      <w:pPr>
        <w:pStyle w:val="Body"/>
        <w:numPr>
          <w:ilvl w:val="0"/>
          <w:numId w:val="2"/>
        </w:numPr>
        <w:rPr>
          <w:lang w:val="en-US"/>
        </w:rPr>
      </w:pPr>
      <w:r>
        <w:rPr>
          <w:rtl w:val="0"/>
          <w:lang w:val="en-US"/>
        </w:rPr>
        <w:t xml:space="preserve">The privilege is not absolute and can be defeated if the dominant motif for publishing the statement is actual or expresses malice </w:t>
      </w:r>
    </w:p>
    <w:p>
      <w:pPr>
        <w:pStyle w:val="Body"/>
        <w:numPr>
          <w:ilvl w:val="0"/>
          <w:numId w:val="2"/>
        </w:numPr>
        <w:rPr>
          <w:lang w:val="en-US"/>
        </w:rPr>
      </w:pPr>
      <w:r>
        <w:rPr>
          <w:rtl w:val="0"/>
          <w:lang w:val="en-US"/>
        </w:rPr>
        <w:t xml:space="preserve">Manning did not take the proper steps. He was supposed to wait until the investigation was completed before launching an attack on the respondent, and he didn't the steps to confirm the allegations that were being made. He was also wasn't reading from a legal document because the motion has not yet been submitted </w:t>
      </w:r>
    </w:p>
    <w:p>
      <w:pPr>
        <w:pStyle w:val="Body"/>
        <w:numPr>
          <w:ilvl w:val="0"/>
          <w:numId w:val="2"/>
        </w:numPr>
        <w:rPr>
          <w:lang w:val="en-US"/>
        </w:rPr>
      </w:pPr>
      <w:r>
        <w:rPr>
          <w:rtl w:val="0"/>
          <w:lang w:val="en-US"/>
        </w:rPr>
        <w:t xml:space="preserve">THE DEFENCE OF QUALIFIED PRIVILEGE: enables a person to make defamatory statements publicly </w:t>
      </w:r>
    </w:p>
    <w:p>
      <w:pPr>
        <w:pStyle w:val="Body"/>
        <w:numPr>
          <w:ilvl w:val="0"/>
          <w:numId w:val="2"/>
        </w:numPr>
        <w:rPr>
          <w:lang w:val="en-US"/>
        </w:rPr>
      </w:pPr>
      <w:r>
        <w:rPr>
          <w:rtl w:val="0"/>
          <w:lang w:val="en-US"/>
        </w:rPr>
        <w:t>defence of justification</w:t>
      </w:r>
    </w:p>
    <w:p>
      <w:pPr>
        <w:pStyle w:val="Body"/>
        <w:numPr>
          <w:ilvl w:val="0"/>
          <w:numId w:val="2"/>
        </w:numPr>
        <w:rPr>
          <w:lang w:val="en-US"/>
        </w:rPr>
      </w:pPr>
      <w:r>
        <w:rPr>
          <w:rtl w:val="0"/>
          <w:lang w:val="en-US"/>
        </w:rPr>
        <w:t xml:space="preserve">defence of qualified truth </w:t>
      </w:r>
    </w:p>
    <w:p>
      <w:pPr>
        <w:pStyle w:val="Body"/>
        <w:numPr>
          <w:ilvl w:val="0"/>
          <w:numId w:val="2"/>
        </w:numPr>
        <w:rPr>
          <w:lang w:val="en-US"/>
        </w:rPr>
      </w:pPr>
      <w:r>
        <w:rPr>
          <w:rtl w:val="0"/>
          <w:lang w:val="en-US"/>
        </w:rPr>
        <w:t xml:space="preserve">defence of fair comment </w:t>
      </w:r>
    </w:p>
    <w:p>
      <w:pPr>
        <w:pStyle w:val="Body"/>
        <w:numPr>
          <w:ilvl w:val="0"/>
          <w:numId w:val="2"/>
        </w:numPr>
        <w:rPr>
          <w:lang w:val="en-US"/>
        </w:rPr>
      </w:pPr>
      <w:r>
        <w:rPr>
          <w:rtl w:val="0"/>
          <w:lang w:val="en-US"/>
        </w:rPr>
        <w:t xml:space="preserve">You must prove that the statements are of opinion, not fact </w:t>
      </w:r>
    </w:p>
    <w:p>
      <w:pPr>
        <w:pStyle w:val="Body"/>
        <w:numPr>
          <w:ilvl w:val="0"/>
          <w:numId w:val="2"/>
        </w:numPr>
        <w:rPr>
          <w:lang w:val="en-US"/>
        </w:rPr>
      </w:pPr>
      <w:r>
        <w:rPr>
          <w:rtl w:val="0"/>
          <w:lang w:val="en-US"/>
        </w:rPr>
        <w:t>If the complainant proves all three elements are true then falsity and harm are presumed</w:t>
      </w:r>
    </w:p>
    <w:p>
      <w:pPr>
        <w:pStyle w:val="Body"/>
        <w:numPr>
          <w:ilvl w:val="0"/>
          <w:numId w:val="2"/>
        </w:numPr>
        <w:rPr>
          <w:lang w:val="en-US"/>
        </w:rPr>
      </w:pPr>
      <w:r>
        <w:rPr>
          <w:rtl w:val="0"/>
          <w:lang w:val="en-US"/>
        </w:rPr>
        <w:t xml:space="preserve">Standard of proof in criminal law is </w:t>
      </w:r>
      <w:r>
        <w:rPr>
          <w:b w:val="1"/>
          <w:bCs w:val="1"/>
          <w:rtl w:val="0"/>
          <w:lang w:val="en-US"/>
        </w:rPr>
        <w:t xml:space="preserve">beyond reasonable doubt </w:t>
      </w:r>
    </w:p>
    <w:p>
      <w:pPr>
        <w:pStyle w:val="Body"/>
        <w:numPr>
          <w:ilvl w:val="0"/>
          <w:numId w:val="2"/>
        </w:numPr>
        <w:rPr>
          <w:lang w:val="en-US"/>
        </w:rPr>
      </w:pPr>
      <w:r>
        <w:rPr>
          <w:rtl w:val="0"/>
          <w:lang w:val="en-US"/>
        </w:rPr>
        <w:t>Three elements that are required for defamation to proceed under common law</w:t>
      </w:r>
    </w:p>
    <w:p>
      <w:pPr>
        <w:pStyle w:val="Body"/>
        <w:numPr>
          <w:ilvl w:val="0"/>
          <w:numId w:val="2"/>
        </w:numPr>
        <w:rPr>
          <w:lang w:val="en-US"/>
        </w:rPr>
      </w:pPr>
      <w:r>
        <w:rPr>
          <w:rtl w:val="0"/>
          <w:lang w:val="en-US"/>
        </w:rPr>
        <w:t xml:space="preserve">1. Impugned (called into question) statements are intact defamatory. They have potential to harm the persons reputation </w:t>
      </w:r>
    </w:p>
    <w:p>
      <w:pPr>
        <w:pStyle w:val="Body"/>
        <w:numPr>
          <w:ilvl w:val="0"/>
          <w:numId w:val="2"/>
        </w:numPr>
        <w:rPr>
          <w:lang w:val="en-US"/>
        </w:rPr>
      </w:pPr>
      <w:r>
        <w:rPr>
          <w:rtl w:val="0"/>
          <w:lang w:val="en-US"/>
        </w:rPr>
        <w:t xml:space="preserve">2. Words actually refer to the complainant. </w:t>
      </w:r>
    </w:p>
    <w:p>
      <w:pPr>
        <w:pStyle w:val="Body"/>
        <w:numPr>
          <w:ilvl w:val="0"/>
          <w:numId w:val="2"/>
        </w:numPr>
        <w:rPr>
          <w:lang w:val="en-US"/>
        </w:rPr>
      </w:pPr>
      <w:r>
        <w:rPr>
          <w:rtl w:val="0"/>
          <w:lang w:val="en-US"/>
        </w:rPr>
        <w:t xml:space="preserve">3. The components were published </w:t>
      </w:r>
    </w:p>
    <w:p>
      <w:pPr>
        <w:pStyle w:val="Body"/>
        <w:numPr>
          <w:ilvl w:val="0"/>
          <w:numId w:val="2"/>
        </w:numPr>
        <w:rPr>
          <w:lang w:val="en-US"/>
        </w:rPr>
      </w:pPr>
      <w:r>
        <w:rPr>
          <w:rtl w:val="0"/>
          <w:lang w:val="en-US"/>
        </w:rPr>
        <w:t xml:space="preserve">If all three elements are proven then falsity and harm are presumed </w:t>
      </w:r>
    </w:p>
    <w:p>
      <w:pPr>
        <w:pStyle w:val="Body"/>
        <w:numPr>
          <w:ilvl w:val="0"/>
          <w:numId w:val="2"/>
        </w:numPr>
        <w:rPr>
          <w:lang w:val="en-US"/>
        </w:rPr>
      </w:pPr>
      <w:r>
        <w:rPr>
          <w:rtl w:val="0"/>
          <w:lang w:val="en-US"/>
        </w:rPr>
        <w:t xml:space="preserve">Defamation has three elements that a complainant must prove: </w:t>
      </w:r>
    </w:p>
    <w:p>
      <w:pPr>
        <w:pStyle w:val="Body"/>
        <w:numPr>
          <w:ilvl w:val="0"/>
          <w:numId w:val="2"/>
        </w:numPr>
        <w:rPr>
          <w:lang w:val="en-US"/>
        </w:rPr>
      </w:pPr>
      <w:r>
        <w:rPr>
          <w:rtl w:val="0"/>
          <w:lang w:val="en-US"/>
        </w:rPr>
        <w:t xml:space="preserve">1. The common law of defamation is a </w:t>
      </w:r>
      <w:r>
        <w:rPr>
          <w:rtl w:val="0"/>
          <w:lang w:val="en-US"/>
        </w:rPr>
        <w:t>“</w:t>
      </w:r>
      <w:r>
        <w:rPr>
          <w:rtl w:val="0"/>
          <w:lang w:val="en-US"/>
        </w:rPr>
        <w:t>tort</w:t>
      </w:r>
      <w:r>
        <w:rPr>
          <w:rtl w:val="0"/>
          <w:lang w:val="en-US"/>
        </w:rPr>
        <w:t xml:space="preserve">”  </w:t>
      </w:r>
      <w:r>
        <w:rPr>
          <w:rtl w:val="0"/>
          <w:lang w:val="en-US"/>
        </w:rPr>
        <w:t xml:space="preserve">litigation between private parties </w:t>
      </w:r>
    </w:p>
    <w:p>
      <w:pPr>
        <w:pStyle w:val="Body"/>
        <w:numPr>
          <w:ilvl w:val="0"/>
          <w:numId w:val="2"/>
        </w:numPr>
        <w:rPr>
          <w:lang w:val="en-US"/>
        </w:rPr>
      </w:pPr>
      <w:r>
        <w:rPr>
          <w:rtl w:val="0"/>
          <w:lang w:val="en-US"/>
        </w:rPr>
        <w:t xml:space="preserve">2. The common law of defamation does not involve government action </w:t>
      </w:r>
    </w:p>
    <w:p>
      <w:pPr>
        <w:pStyle w:val="Body"/>
        <w:numPr>
          <w:ilvl w:val="0"/>
          <w:numId w:val="2"/>
        </w:numPr>
        <w:rPr>
          <w:lang w:val="en-US"/>
        </w:rPr>
      </w:pPr>
      <w:r>
        <w:rPr>
          <w:rtl w:val="0"/>
          <w:lang w:val="en-US"/>
        </w:rPr>
        <w:t xml:space="preserve">3. The only time you can invoke the charter of rights and freedoms is when there is governmental action </w:t>
      </w:r>
    </w:p>
    <w:p>
      <w:pPr>
        <w:pStyle w:val="Body"/>
        <w:numPr>
          <w:ilvl w:val="0"/>
          <w:numId w:val="2"/>
        </w:numPr>
        <w:rPr>
          <w:lang w:val="en-US"/>
        </w:rPr>
      </w:pPr>
      <w:r>
        <w:rPr>
          <w:rtl w:val="0"/>
          <w:lang w:val="en-US"/>
        </w:rPr>
        <w:t xml:space="preserve">The balance between freedom of expression and protection of reputation is why involves the charger of rights and freedoms in the case of scientology regarding the inconsistency with the common law of defamation </w:t>
      </w:r>
    </w:p>
    <w:p>
      <w:pPr>
        <w:pStyle w:val="Body"/>
        <w:numPr>
          <w:ilvl w:val="0"/>
          <w:numId w:val="2"/>
        </w:numPr>
        <w:rPr>
          <w:lang w:val="en-US"/>
        </w:rPr>
      </w:pPr>
      <w:r>
        <w:rPr>
          <w:rtl w:val="0"/>
          <w:lang w:val="en-US"/>
        </w:rPr>
        <w:t xml:space="preserve">(Malice, knowledge that the information was false) </w:t>
      </w:r>
    </w:p>
    <w:p>
      <w:pPr>
        <w:pStyle w:val="Body"/>
      </w:pPr>
    </w:p>
    <w:p>
      <w:pPr>
        <w:pStyle w:val="Body"/>
      </w:pPr>
      <w:r>
        <w:rPr>
          <w:shd w:val="clear" w:color="auto" w:fill="ffe061"/>
          <w:rtl w:val="0"/>
          <w:lang w:val="en-US"/>
        </w:rPr>
        <w:t>Case 5: Newman v. Halstead (Crazing school mom)</w:t>
      </w:r>
    </w:p>
    <w:p>
      <w:pPr>
        <w:pStyle w:val="Body"/>
        <w:numPr>
          <w:ilvl w:val="0"/>
          <w:numId w:val="2"/>
        </w:numPr>
        <w:rPr>
          <w:shd w:val="clear" w:color="auto" w:fill="fefefe"/>
          <w:lang w:val="en-US"/>
        </w:rPr>
      </w:pPr>
      <w:r>
        <w:rPr>
          <w:shd w:val="clear" w:color="auto" w:fill="fefefe"/>
          <w:rtl w:val="0"/>
          <w:lang w:val="en-US"/>
        </w:rPr>
        <w:t xml:space="preserve">Issues regarding case: Approx. 60 defamatory statements about teachers were posted by Halstead online , Halstead also posted photos of teachers that appeared in the rouges gallery using terms such as least wanted teachers.. presuming that this was a defamatory statement </w:t>
      </w:r>
    </w:p>
    <w:p>
      <w:pPr>
        <w:pStyle w:val="Body"/>
        <w:numPr>
          <w:ilvl w:val="0"/>
          <w:numId w:val="2"/>
        </w:numPr>
        <w:rPr>
          <w:shd w:val="clear" w:color="auto" w:fill="fefefe"/>
          <w:lang w:val="en-US"/>
        </w:rPr>
      </w:pPr>
      <w:r>
        <w:rPr>
          <w:shd w:val="clear" w:color="auto" w:fill="fefefe"/>
          <w:rtl w:val="0"/>
          <w:lang w:val="en-US"/>
        </w:rPr>
        <w:t xml:space="preserve">Stated false presumptions that these teachers were criminally convicted </w:t>
      </w:r>
    </w:p>
    <w:p>
      <w:pPr>
        <w:pStyle w:val="Body"/>
        <w:numPr>
          <w:ilvl w:val="0"/>
          <w:numId w:val="2"/>
        </w:numPr>
        <w:rPr>
          <w:shd w:val="clear" w:color="auto" w:fill="fefefe"/>
          <w:lang w:val="en-US"/>
        </w:rPr>
      </w:pPr>
      <w:r>
        <w:rPr>
          <w:shd w:val="clear" w:color="auto" w:fill="fefefe"/>
          <w:rtl w:val="0"/>
          <w:lang w:val="en-US"/>
        </w:rPr>
        <w:t xml:space="preserve">Halstead cannot use the defence of qualified privilege because she is in no position of authority or power, also cannot use the defence of fair comment however for a statement to be a comment it must be a statement of opinion, not of fact </w:t>
      </w:r>
    </w:p>
    <w:p>
      <w:pPr>
        <w:pStyle w:val="Body"/>
        <w:numPr>
          <w:ilvl w:val="0"/>
          <w:numId w:val="2"/>
        </w:numPr>
        <w:rPr>
          <w:shd w:val="clear" w:color="auto" w:fill="fefefe"/>
          <w:lang w:val="en-US"/>
        </w:rPr>
      </w:pPr>
      <w:r>
        <w:rPr>
          <w:shd w:val="clear" w:color="auto" w:fill="fefefe"/>
          <w:rtl w:val="0"/>
          <w:lang w:val="en-US"/>
        </w:rPr>
        <w:t xml:space="preserve">Elements of Publication: </w:t>
      </w:r>
    </w:p>
    <w:p>
      <w:pPr>
        <w:pStyle w:val="Body"/>
        <w:numPr>
          <w:ilvl w:val="0"/>
          <w:numId w:val="2"/>
        </w:numPr>
        <w:rPr>
          <w:shd w:val="clear" w:color="auto" w:fill="fefefe"/>
          <w:lang w:val="en-US"/>
        </w:rPr>
      </w:pPr>
      <w:r>
        <w:rPr>
          <w:shd w:val="clear" w:color="auto" w:fill="fefefe"/>
          <w:rtl w:val="0"/>
          <w:lang w:val="en-US"/>
        </w:rPr>
        <w:t xml:space="preserve">1. The allegedly defamatory meaning was conveyed to a single third party- there must be an audience </w:t>
      </w:r>
    </w:p>
    <w:p>
      <w:pPr>
        <w:pStyle w:val="Body"/>
        <w:numPr>
          <w:ilvl w:val="0"/>
          <w:numId w:val="2"/>
        </w:numPr>
        <w:rPr>
          <w:shd w:val="clear" w:color="auto" w:fill="fefefe"/>
          <w:lang w:val="en-US"/>
        </w:rPr>
      </w:pPr>
      <w:r>
        <w:rPr>
          <w:shd w:val="clear" w:color="auto" w:fill="fefefe"/>
          <w:rtl w:val="0"/>
          <w:lang w:val="en-US"/>
        </w:rPr>
        <w:t xml:space="preserve">2. The party received and can understand the defamatory meaning </w:t>
      </w:r>
    </w:p>
    <w:p>
      <w:pPr>
        <w:pStyle w:val="Body"/>
        <w:numPr>
          <w:ilvl w:val="0"/>
          <w:numId w:val="2"/>
        </w:numPr>
        <w:rPr>
          <w:shd w:val="clear" w:color="auto" w:fill="fefefe"/>
          <w:lang w:val="en-US"/>
        </w:rPr>
      </w:pPr>
      <w:r>
        <w:rPr>
          <w:shd w:val="clear" w:color="auto" w:fill="fefefe"/>
          <w:rtl w:val="0"/>
          <w:lang w:val="en-US"/>
        </w:rPr>
        <w:t xml:space="preserve">A </w:t>
      </w:r>
      <w:r>
        <w:rPr>
          <w:i w:val="1"/>
          <w:iCs w:val="1"/>
          <w:shd w:val="clear" w:color="auto" w:fill="fefefe"/>
          <w:rtl w:val="0"/>
          <w:lang w:val="en-US"/>
        </w:rPr>
        <w:t xml:space="preserve">Mitigating Factor </w:t>
      </w:r>
      <w:r>
        <w:rPr>
          <w:shd w:val="clear" w:color="auto" w:fill="fefefe"/>
          <w:rtl w:val="0"/>
          <w:lang w:val="en-US"/>
        </w:rPr>
        <w:t xml:space="preserve">(Tends to minimize damage) and </w:t>
      </w:r>
      <w:r>
        <w:rPr>
          <w:i w:val="1"/>
          <w:iCs w:val="1"/>
          <w:shd w:val="clear" w:color="auto" w:fill="fefefe"/>
          <w:rtl w:val="0"/>
          <w:lang w:val="en-US"/>
        </w:rPr>
        <w:t xml:space="preserve">Aggravating Factors </w:t>
      </w:r>
      <w:r>
        <w:rPr>
          <w:shd w:val="clear" w:color="auto" w:fill="fefefe"/>
          <w:rtl w:val="0"/>
          <w:lang w:val="en-US"/>
        </w:rPr>
        <w:t xml:space="preserve">(Tends to make matters worst) </w:t>
      </w:r>
    </w:p>
    <w:p>
      <w:pPr>
        <w:pStyle w:val="Body"/>
      </w:pPr>
    </w:p>
    <w:p>
      <w:pPr>
        <w:pStyle w:val="Body"/>
      </w:pPr>
      <w:r>
        <w:rPr>
          <w:shd w:val="clear" w:color="auto" w:fill="ffe061"/>
          <w:rtl w:val="0"/>
          <w:lang w:val="en-US"/>
        </w:rPr>
        <w:t xml:space="preserve">Case 6: Crookes v. Newton </w:t>
      </w:r>
    </w:p>
    <w:p>
      <w:pPr>
        <w:pStyle w:val="Body"/>
      </w:pPr>
      <w:r>
        <w:rPr>
          <w:shd w:val="clear" w:color="auto" w:fill="fefefe"/>
          <w:rtl w:val="0"/>
          <w:lang w:val="en-US"/>
        </w:rPr>
        <w:t xml:space="preserve">Issues Regarding the Case: Newton provided deep and shallow hyperlinks in his blog providing information about Crookes that brought them to another site which included defamatory words against Crookes </w:t>
      </w:r>
    </w:p>
    <w:p>
      <w:pPr>
        <w:pStyle w:val="Body"/>
        <w:numPr>
          <w:ilvl w:val="0"/>
          <w:numId w:val="2"/>
        </w:numPr>
        <w:rPr>
          <w:shd w:val="clear" w:color="auto" w:fill="fefefe"/>
          <w:lang w:val="en-US"/>
        </w:rPr>
      </w:pPr>
      <w:r>
        <w:rPr>
          <w:shd w:val="clear" w:color="auto" w:fill="fefefe"/>
          <w:rtl w:val="0"/>
          <w:lang w:val="en-US"/>
        </w:rPr>
        <w:t xml:space="preserve">Crookes believed that because Newton provided these hyperlinks he should be presumed responsible for the defamatory publications that the links lead to .. leading to the question, do hyperlinks constitute publication? </w:t>
      </w:r>
    </w:p>
    <w:p>
      <w:pPr>
        <w:pStyle w:val="Body"/>
        <w:numPr>
          <w:ilvl w:val="0"/>
          <w:numId w:val="2"/>
        </w:numPr>
        <w:rPr>
          <w:shd w:val="clear" w:color="auto" w:fill="fefefe"/>
          <w:lang w:val="en-US"/>
        </w:rPr>
      </w:pPr>
      <w:r>
        <w:rPr>
          <w:shd w:val="clear" w:color="auto" w:fill="fefefe"/>
          <w:rtl w:val="0"/>
          <w:lang w:val="en-US"/>
        </w:rPr>
        <w:t xml:space="preserve">2 basic elements of the Common Law of Defamation </w:t>
      </w:r>
    </w:p>
    <w:p>
      <w:pPr>
        <w:pStyle w:val="Body"/>
        <w:numPr>
          <w:ilvl w:val="0"/>
          <w:numId w:val="2"/>
        </w:numPr>
        <w:rPr>
          <w:shd w:val="clear" w:color="auto" w:fill="fefefe"/>
          <w:lang w:val="en-US"/>
        </w:rPr>
      </w:pPr>
      <w:r>
        <w:rPr>
          <w:shd w:val="clear" w:color="auto" w:fill="fefefe"/>
          <w:rtl w:val="0"/>
          <w:lang w:val="en-US"/>
        </w:rPr>
        <w:t xml:space="preserve">1. Determine that there has been a publication </w:t>
      </w:r>
    </w:p>
    <w:p>
      <w:pPr>
        <w:pStyle w:val="Body"/>
        <w:numPr>
          <w:ilvl w:val="0"/>
          <w:numId w:val="2"/>
        </w:numPr>
        <w:rPr>
          <w:shd w:val="clear" w:color="auto" w:fill="fefefe"/>
          <w:lang w:val="en-US"/>
        </w:rPr>
      </w:pPr>
      <w:r>
        <w:rPr>
          <w:shd w:val="clear" w:color="auto" w:fill="fefefe"/>
          <w:rtl w:val="0"/>
          <w:lang w:val="en-US"/>
        </w:rPr>
        <w:t xml:space="preserve">2. Demonstrated that theres been harm to a reputation </w:t>
      </w:r>
    </w:p>
    <w:p>
      <w:pPr>
        <w:pStyle w:val="Body"/>
        <w:numPr>
          <w:ilvl w:val="0"/>
          <w:numId w:val="2"/>
        </w:numPr>
        <w:rPr>
          <w:shd w:val="clear" w:color="auto" w:fill="fefefe"/>
          <w:lang w:val="en-US"/>
        </w:rPr>
      </w:pPr>
      <w:r>
        <w:rPr>
          <w:shd w:val="clear" w:color="auto" w:fill="fefefe"/>
          <w:rtl w:val="0"/>
          <w:lang w:val="en-US"/>
        </w:rPr>
        <w:t xml:space="preserve">2 elements of publication </w:t>
      </w:r>
    </w:p>
    <w:p>
      <w:pPr>
        <w:pStyle w:val="Body"/>
        <w:numPr>
          <w:ilvl w:val="0"/>
          <w:numId w:val="2"/>
        </w:numPr>
        <w:rPr>
          <w:shd w:val="clear" w:color="auto" w:fill="fefefe"/>
          <w:lang w:val="en-US"/>
        </w:rPr>
      </w:pPr>
      <w:r>
        <w:rPr>
          <w:shd w:val="clear" w:color="auto" w:fill="fefefe"/>
          <w:rtl w:val="0"/>
          <w:lang w:val="en-US"/>
        </w:rPr>
        <w:t xml:space="preserve">1. Any act that has conveyed defamatory meaning to a third party </w:t>
      </w:r>
    </w:p>
    <w:p>
      <w:pPr>
        <w:pStyle w:val="Body"/>
        <w:numPr>
          <w:ilvl w:val="0"/>
          <w:numId w:val="2"/>
        </w:numPr>
        <w:rPr>
          <w:shd w:val="clear" w:color="auto" w:fill="fefefe"/>
          <w:lang w:val="en-US"/>
        </w:rPr>
      </w:pPr>
      <w:r>
        <w:rPr>
          <w:shd w:val="clear" w:color="auto" w:fill="fefefe"/>
          <w:rtl w:val="0"/>
          <w:lang w:val="en-US"/>
        </w:rPr>
        <w:t xml:space="preserve">2. The third party has received the defamatory statements </w:t>
      </w:r>
    </w:p>
    <w:p>
      <w:pPr>
        <w:pStyle w:val="Body"/>
        <w:numPr>
          <w:ilvl w:val="0"/>
          <w:numId w:val="2"/>
        </w:numPr>
        <w:rPr>
          <w:shd w:val="clear" w:color="auto" w:fill="fefefe"/>
          <w:lang w:val="en-US"/>
        </w:rPr>
      </w:pPr>
      <w:r>
        <w:rPr>
          <w:shd w:val="clear" w:color="auto" w:fill="fefefe"/>
          <w:rtl w:val="0"/>
          <w:lang w:val="en-US"/>
        </w:rPr>
        <w:t xml:space="preserve">Judge Abella believes that posting a hyperlink does not constitute publication, however our publication rule is too broad and should be further developed to fit todays society </w:t>
      </w:r>
    </w:p>
    <w:p>
      <w:pPr>
        <w:pStyle w:val="Body"/>
        <w:numPr>
          <w:ilvl w:val="0"/>
          <w:numId w:val="2"/>
        </w:numPr>
        <w:rPr>
          <w:shd w:val="clear" w:color="auto" w:fill="fefefe"/>
          <w:lang w:val="en-US"/>
        </w:rPr>
      </w:pPr>
      <w:r>
        <w:rPr>
          <w:shd w:val="clear" w:color="auto" w:fill="fefefe"/>
          <w:rtl w:val="0"/>
          <w:lang w:val="en-US"/>
        </w:rPr>
        <w:t xml:space="preserve">Judge Deschamps however believes that shallow hyperlinks do not constitute publication however deep hyperlinks do </w:t>
      </w:r>
    </w:p>
    <w:p>
      <w:pPr>
        <w:pStyle w:val="Body"/>
      </w:pPr>
    </w:p>
    <w:p>
      <w:pPr>
        <w:pStyle w:val="Body"/>
      </w:pPr>
      <w:r>
        <w:rPr>
          <w:shd w:val="clear" w:color="auto" w:fill="ffe061"/>
          <w:rtl w:val="0"/>
          <w:lang w:val="en-US"/>
        </w:rPr>
        <w:t xml:space="preserve">Case 8: Baglow Vs. Smith </w:t>
      </w:r>
    </w:p>
    <w:p>
      <w:pPr>
        <w:pStyle w:val="Body"/>
      </w:pPr>
      <w:r>
        <w:rPr>
          <w:shd w:val="clear" w:color="auto" w:fill="fefefe"/>
          <w:rtl w:val="0"/>
          <w:lang w:val="en-US"/>
        </w:rPr>
        <w:t xml:space="preserve">Issues Regarding Case: Focus on the concept of defence of fair comment </w:t>
      </w:r>
    </w:p>
    <w:p>
      <w:pPr>
        <w:pStyle w:val="Body"/>
        <w:numPr>
          <w:ilvl w:val="0"/>
          <w:numId w:val="2"/>
        </w:numPr>
        <w:rPr>
          <w:shd w:val="clear" w:color="auto" w:fill="fefefe"/>
          <w:lang w:val="en-US"/>
        </w:rPr>
      </w:pPr>
      <w:r>
        <w:rPr>
          <w:shd w:val="clear" w:color="auto" w:fill="fefefe"/>
          <w:rtl w:val="0"/>
          <w:lang w:val="en-US"/>
        </w:rPr>
        <w:t xml:space="preserve">Smith posted a comment on his blog stating that Baglow was one of the Talibans more vocal supporters and when Baglow stated this was untrue and asked for him to remove it, Smith rejected. </w:t>
      </w:r>
    </w:p>
    <w:p>
      <w:pPr>
        <w:pStyle w:val="Body"/>
        <w:numPr>
          <w:ilvl w:val="0"/>
          <w:numId w:val="2"/>
        </w:numPr>
        <w:rPr>
          <w:shd w:val="clear" w:color="auto" w:fill="fefefe"/>
          <w:lang w:val="en-US"/>
        </w:rPr>
      </w:pPr>
      <w:r>
        <w:rPr>
          <w:shd w:val="clear" w:color="auto" w:fill="fefefe"/>
          <w:rtl w:val="0"/>
          <w:lang w:val="en-US"/>
        </w:rPr>
        <w:t>Fundamentals Regarding defence of Fair Comment</w:t>
      </w:r>
    </w:p>
    <w:p>
      <w:pPr>
        <w:pStyle w:val="Body"/>
        <w:numPr>
          <w:ilvl w:val="0"/>
          <w:numId w:val="2"/>
        </w:numPr>
        <w:rPr>
          <w:shd w:val="clear" w:color="auto" w:fill="fefefe"/>
          <w:lang w:val="en-US"/>
        </w:rPr>
      </w:pPr>
      <w:r>
        <w:rPr>
          <w:shd w:val="clear" w:color="auto" w:fill="fefefe"/>
          <w:rtl w:val="0"/>
          <w:lang w:val="en-US"/>
        </w:rPr>
        <w:t>1. Comment must be of matter of public interest (excludes gossip)</w:t>
      </w:r>
    </w:p>
    <w:p>
      <w:pPr>
        <w:pStyle w:val="Body"/>
        <w:numPr>
          <w:ilvl w:val="0"/>
          <w:numId w:val="2"/>
        </w:numPr>
        <w:rPr>
          <w:shd w:val="clear" w:color="auto" w:fill="fefefe"/>
          <w:lang w:val="en-US"/>
        </w:rPr>
      </w:pPr>
      <w:r>
        <w:rPr>
          <w:shd w:val="clear" w:color="auto" w:fill="fefefe"/>
          <w:rtl w:val="0"/>
          <w:lang w:val="en-US"/>
        </w:rPr>
        <w:t>2. Content must be based upon facts (truth claim)</w:t>
      </w:r>
    </w:p>
    <w:p>
      <w:pPr>
        <w:pStyle w:val="Body"/>
        <w:numPr>
          <w:ilvl w:val="0"/>
          <w:numId w:val="2"/>
        </w:numPr>
        <w:rPr>
          <w:shd w:val="clear" w:color="auto" w:fill="fefefe"/>
          <w:lang w:val="en-US"/>
        </w:rPr>
      </w:pPr>
      <w:r>
        <w:rPr>
          <w:shd w:val="clear" w:color="auto" w:fill="fefefe"/>
          <w:rtl w:val="0"/>
          <w:lang w:val="en-US"/>
        </w:rPr>
        <w:t xml:space="preserve">3. The comment mist be recognizable as comment (opinion not fact) </w:t>
      </w:r>
    </w:p>
    <w:p>
      <w:pPr>
        <w:pStyle w:val="Body"/>
        <w:numPr>
          <w:ilvl w:val="0"/>
          <w:numId w:val="2"/>
        </w:numPr>
        <w:rPr>
          <w:shd w:val="clear" w:color="auto" w:fill="fefefe"/>
          <w:lang w:val="en-US"/>
        </w:rPr>
      </w:pPr>
      <w:r>
        <w:rPr>
          <w:shd w:val="clear" w:color="auto" w:fill="fefefe"/>
          <w:rtl w:val="0"/>
          <w:lang w:val="en-US"/>
        </w:rPr>
        <w:t xml:space="preserve">4. The comment could be honestly expressed by any reasonable person </w:t>
      </w:r>
    </w:p>
    <w:p>
      <w:pPr>
        <w:pStyle w:val="Body"/>
        <w:numPr>
          <w:ilvl w:val="0"/>
          <w:numId w:val="2"/>
        </w:numPr>
        <w:rPr>
          <w:shd w:val="clear" w:color="auto" w:fill="fefefe"/>
          <w:lang w:val="en-US"/>
        </w:rPr>
      </w:pPr>
      <w:r>
        <w:rPr>
          <w:shd w:val="clear" w:color="auto" w:fill="fefefe"/>
          <w:rtl w:val="0"/>
          <w:lang w:val="en-US"/>
        </w:rPr>
        <w:t xml:space="preserve">OUTCOME: Baglow was unable to prove that the words were said with malice.. no actual foundation for the comments </w:t>
      </w:r>
    </w:p>
    <w:p>
      <w:pPr>
        <w:pStyle w:val="Body"/>
        <w:numPr>
          <w:ilvl w:val="0"/>
          <w:numId w:val="2"/>
        </w:numPr>
        <w:rPr>
          <w:shd w:val="clear" w:color="auto" w:fill="fefefe"/>
          <w:lang w:val="en-US"/>
        </w:rPr>
      </w:pPr>
      <w:r>
        <w:rPr>
          <w:shd w:val="clear" w:color="auto" w:fill="fefefe"/>
          <w:rtl w:val="0"/>
          <w:lang w:val="en-US"/>
        </w:rPr>
        <w:t xml:space="preserve">1. There was no matter of public interest </w:t>
      </w:r>
    </w:p>
    <w:p>
      <w:pPr>
        <w:pStyle w:val="Body"/>
        <w:numPr>
          <w:ilvl w:val="0"/>
          <w:numId w:val="2"/>
        </w:numPr>
        <w:rPr>
          <w:shd w:val="clear" w:color="auto" w:fill="fefefe"/>
          <w:lang w:val="en-US"/>
        </w:rPr>
      </w:pPr>
      <w:r>
        <w:rPr>
          <w:shd w:val="clear" w:color="auto" w:fill="fefefe"/>
          <w:rtl w:val="0"/>
          <w:lang w:val="en-US"/>
        </w:rPr>
        <w:t xml:space="preserve">2. The comments were based on facts </w:t>
      </w:r>
    </w:p>
    <w:p>
      <w:pPr>
        <w:pStyle w:val="Body"/>
        <w:numPr>
          <w:ilvl w:val="0"/>
          <w:numId w:val="2"/>
        </w:numPr>
        <w:rPr>
          <w:shd w:val="clear" w:color="auto" w:fill="fefefe"/>
          <w:lang w:val="en-US"/>
        </w:rPr>
      </w:pPr>
      <w:r>
        <w:rPr>
          <w:shd w:val="clear" w:color="auto" w:fill="fefefe"/>
          <w:rtl w:val="0"/>
          <w:lang w:val="en-US"/>
        </w:rPr>
        <w:t xml:space="preserve">3. The comment was recognized as a comment </w:t>
      </w:r>
    </w:p>
    <w:p>
      <w:pPr>
        <w:pStyle w:val="Body"/>
      </w:pPr>
    </w:p>
    <w:p>
      <w:pPr>
        <w:pStyle w:val="Body"/>
      </w:pPr>
      <w:r>
        <w:rPr>
          <w:shd w:val="clear" w:color="auto" w:fill="ffe061"/>
          <w:rtl w:val="0"/>
          <w:lang w:val="en-US"/>
        </w:rPr>
        <w:t xml:space="preserve">Case 9: Morelli </w:t>
      </w:r>
    </w:p>
    <w:p>
      <w:pPr>
        <w:pStyle w:val="Body"/>
      </w:pPr>
      <w:r>
        <w:rPr>
          <w:shd w:val="clear" w:color="auto" w:fill="fefefe"/>
          <w:rtl w:val="0"/>
          <w:lang w:val="en-US"/>
        </w:rPr>
        <w:t xml:space="preserve">Section 8 of the charter: Search or seizure/ The possession of child pornography, Morelli vs, R- Child pornography </w:t>
      </w:r>
    </w:p>
    <w:p>
      <w:pPr>
        <w:pStyle w:val="Body"/>
        <w:numPr>
          <w:ilvl w:val="0"/>
          <w:numId w:val="2"/>
        </w:numPr>
        <w:rPr>
          <w:shd w:val="clear" w:color="auto" w:fill="fefefe"/>
          <w:lang w:val="en-US"/>
        </w:rPr>
      </w:pPr>
      <w:r>
        <w:rPr>
          <w:shd w:val="clear" w:color="auto" w:fill="fefefe"/>
          <w:rtl w:val="0"/>
          <w:lang w:val="en-US"/>
        </w:rPr>
        <w:t xml:space="preserve">This case deals with the common law of Possession , regarding the section of the charter that protects us from unreasonable search and seizure; not about defamation or freedom of expression </w:t>
      </w:r>
    </w:p>
    <w:p>
      <w:pPr>
        <w:pStyle w:val="Body"/>
        <w:numPr>
          <w:ilvl w:val="0"/>
          <w:numId w:val="2"/>
        </w:numPr>
        <w:rPr>
          <w:shd w:val="clear" w:color="auto" w:fill="fefefe"/>
          <w:lang w:val="en-US"/>
        </w:rPr>
      </w:pPr>
      <w:r>
        <w:rPr>
          <w:shd w:val="clear" w:color="auto" w:fill="fefefe"/>
          <w:rtl w:val="0"/>
          <w:lang w:val="en-US"/>
        </w:rPr>
        <w:t xml:space="preserve">This case looks at meaning.. how do we communicate meaning and how can meaning be accurate or misconstrued </w:t>
      </w:r>
    </w:p>
    <w:p>
      <w:pPr>
        <w:pStyle w:val="Body"/>
        <w:numPr>
          <w:ilvl w:val="0"/>
          <w:numId w:val="2"/>
        </w:numPr>
        <w:rPr>
          <w:shd w:val="clear" w:color="auto" w:fill="fefefe"/>
          <w:lang w:val="en-US"/>
        </w:rPr>
      </w:pPr>
      <w:r>
        <w:rPr>
          <w:shd w:val="clear" w:color="auto" w:fill="fefefe"/>
          <w:rtl w:val="0"/>
          <w:lang w:val="en-US"/>
        </w:rPr>
        <w:t xml:space="preserve">In order to commit the offence of possession (as opposed to the offence of accessing) one must knowingly acquire the underlying data files and store them in a place under someone's control </w:t>
      </w:r>
    </w:p>
    <w:p>
      <w:pPr>
        <w:pStyle w:val="Body"/>
        <w:numPr>
          <w:ilvl w:val="0"/>
          <w:numId w:val="2"/>
        </w:numPr>
        <w:rPr>
          <w:shd w:val="clear" w:color="auto" w:fill="fefefe"/>
          <w:lang w:val="en-US"/>
        </w:rPr>
      </w:pPr>
      <w:r>
        <w:rPr>
          <w:shd w:val="clear" w:color="auto" w:fill="fefefe"/>
          <w:rtl w:val="0"/>
          <w:lang w:val="en-US"/>
        </w:rPr>
        <w:t xml:space="preserve">There are three types of possession </w:t>
      </w:r>
    </w:p>
    <w:p>
      <w:pPr>
        <w:pStyle w:val="Body"/>
        <w:numPr>
          <w:ilvl w:val="0"/>
          <w:numId w:val="2"/>
        </w:numPr>
        <w:rPr>
          <w:shd w:val="clear" w:color="auto" w:fill="fefefe"/>
          <w:lang w:val="en-US"/>
        </w:rPr>
      </w:pPr>
      <w:r>
        <w:rPr>
          <w:shd w:val="clear" w:color="auto" w:fill="fefefe"/>
          <w:rtl w:val="0"/>
          <w:lang w:val="en-US"/>
        </w:rPr>
        <w:t xml:space="preserve">1. </w:t>
      </w:r>
      <w:r>
        <w:rPr>
          <w:i w:val="1"/>
          <w:iCs w:val="1"/>
          <w:shd w:val="clear" w:color="auto" w:fill="fefefe"/>
          <w:rtl w:val="0"/>
          <w:lang w:val="en-US"/>
        </w:rPr>
        <w:t>Joint Possession</w:t>
      </w:r>
    </w:p>
    <w:p>
      <w:pPr>
        <w:pStyle w:val="Body"/>
        <w:numPr>
          <w:ilvl w:val="0"/>
          <w:numId w:val="2"/>
        </w:numPr>
        <w:rPr>
          <w:shd w:val="clear" w:color="auto" w:fill="fefefe"/>
          <w:lang w:val="en-US"/>
        </w:rPr>
      </w:pPr>
      <w:r>
        <w:rPr>
          <w:shd w:val="clear" w:color="auto" w:fill="fefefe"/>
          <w:rtl w:val="0"/>
          <w:lang w:val="en-US"/>
        </w:rPr>
        <w:t xml:space="preserve">2. </w:t>
      </w:r>
      <w:r>
        <w:rPr>
          <w:i w:val="1"/>
          <w:iCs w:val="1"/>
          <w:shd w:val="clear" w:color="auto" w:fill="fefefe"/>
          <w:rtl w:val="0"/>
          <w:lang w:val="en-US"/>
        </w:rPr>
        <w:t>Personal Possession</w:t>
      </w:r>
      <w:r>
        <w:rPr>
          <w:shd w:val="clear" w:color="auto" w:fill="fefefe"/>
          <w:rtl w:val="0"/>
          <w:lang w:val="en-US"/>
        </w:rPr>
        <w:t xml:space="preserve"> ( When the accused have physical possession of the thing/object </w:t>
      </w:r>
    </w:p>
    <w:p>
      <w:pPr>
        <w:pStyle w:val="Body"/>
        <w:numPr>
          <w:ilvl w:val="0"/>
          <w:numId w:val="2"/>
        </w:numPr>
        <w:rPr>
          <w:shd w:val="clear" w:color="auto" w:fill="fefefe"/>
          <w:lang w:val="en-US"/>
        </w:rPr>
      </w:pPr>
      <w:r>
        <w:rPr>
          <w:shd w:val="clear" w:color="auto" w:fill="fefefe"/>
          <w:rtl w:val="0"/>
          <w:lang w:val="en-US"/>
        </w:rPr>
        <w:t xml:space="preserve">     2 elements of personal possession </w:t>
      </w:r>
    </w:p>
    <w:p>
      <w:pPr>
        <w:pStyle w:val="Body"/>
        <w:numPr>
          <w:ilvl w:val="0"/>
          <w:numId w:val="2"/>
        </w:numPr>
        <w:rPr>
          <w:shd w:val="clear" w:color="auto" w:fill="fefefe"/>
          <w:lang w:val="en-US"/>
        </w:rPr>
      </w:pPr>
      <w:r>
        <w:rPr>
          <w:shd w:val="clear" w:color="auto" w:fill="fefefe"/>
          <w:rtl w:val="0"/>
          <w:lang w:val="en-US"/>
        </w:rPr>
        <w:t xml:space="preserve">    </w:t>
      </w:r>
      <w:r>
        <w:rPr>
          <w:shd w:val="clear" w:color="auto" w:fill="63b2de"/>
          <w:rtl w:val="0"/>
          <w:lang w:val="en-US"/>
        </w:rPr>
        <w:t xml:space="preserve">1. Knowledge.. a. You have to be aware that you have physical custody..b. You have to be aware of the nature of the thing or what the thing is </w:t>
      </w:r>
    </w:p>
    <w:p>
      <w:pPr>
        <w:pStyle w:val="Body"/>
        <w:numPr>
          <w:ilvl w:val="0"/>
          <w:numId w:val="2"/>
        </w:numPr>
        <w:rPr>
          <w:shd w:val="clear" w:color="auto" w:fill="fefefe"/>
          <w:lang w:val="en-US"/>
        </w:rPr>
      </w:pPr>
      <w:r>
        <w:rPr>
          <w:shd w:val="clear" w:color="auto" w:fill="fefefe"/>
          <w:rtl w:val="0"/>
          <w:lang w:val="en-US"/>
        </w:rPr>
        <w:t xml:space="preserve">    2. Control.. a. Both elements of knowledge coexist in some act of control </w:t>
      </w:r>
    </w:p>
    <w:p>
      <w:pPr>
        <w:pStyle w:val="Body"/>
        <w:numPr>
          <w:ilvl w:val="0"/>
          <w:numId w:val="2"/>
        </w:numPr>
        <w:rPr>
          <w:shd w:val="clear" w:color="auto" w:fill="63b2de"/>
          <w:lang w:val="en-US"/>
        </w:rPr>
      </w:pPr>
      <w:r>
        <w:rPr>
          <w:shd w:val="clear" w:color="auto" w:fill="63b2de"/>
          <w:rtl w:val="0"/>
          <w:lang w:val="en-US"/>
        </w:rPr>
        <w:t xml:space="preserve">3. </w:t>
      </w:r>
      <w:r>
        <w:rPr>
          <w:i w:val="1"/>
          <w:iCs w:val="1"/>
          <w:shd w:val="clear" w:color="auto" w:fill="63b2de"/>
          <w:rtl w:val="0"/>
          <w:lang w:val="en-US"/>
        </w:rPr>
        <w:t>Constructive Possession</w:t>
      </w:r>
      <w:r>
        <w:rPr>
          <w:shd w:val="clear" w:color="auto" w:fill="63b2de"/>
          <w:rtl w:val="0"/>
          <w:lang w:val="en-US"/>
        </w:rPr>
        <w:t xml:space="preserve"> … </w:t>
      </w:r>
      <w:r>
        <w:rPr>
          <w:shd w:val="clear" w:color="auto" w:fill="63b2de"/>
          <w:rtl w:val="0"/>
          <w:lang w:val="en-US"/>
        </w:rPr>
        <w:t xml:space="preserve">When the accused does not have physical possession of the thing </w:t>
      </w:r>
    </w:p>
    <w:p>
      <w:pPr>
        <w:pStyle w:val="Body"/>
        <w:numPr>
          <w:ilvl w:val="0"/>
          <w:numId w:val="2"/>
        </w:numPr>
        <w:rPr>
          <w:shd w:val="clear" w:color="auto" w:fill="63b2de"/>
          <w:lang w:val="en-US"/>
        </w:rPr>
      </w:pPr>
      <w:r>
        <w:rPr>
          <w:shd w:val="clear" w:color="auto" w:fill="63b2de"/>
          <w:rtl w:val="0"/>
          <w:lang w:val="en-US"/>
        </w:rPr>
        <w:t xml:space="preserve">       3 Elements of Constructive Possession </w:t>
      </w:r>
    </w:p>
    <w:p>
      <w:pPr>
        <w:pStyle w:val="Body"/>
        <w:numPr>
          <w:ilvl w:val="0"/>
          <w:numId w:val="2"/>
        </w:numPr>
        <w:rPr>
          <w:shd w:val="clear" w:color="auto" w:fill="63b2de"/>
          <w:lang w:val="en-US"/>
        </w:rPr>
      </w:pPr>
      <w:r>
        <w:rPr>
          <w:shd w:val="clear" w:color="auto" w:fill="63b2de"/>
          <w:rtl w:val="0"/>
          <w:lang w:val="en-US"/>
        </w:rPr>
        <w:t xml:space="preserve">       1. The accused has knowledge of the nature or character of the thing in question </w:t>
      </w:r>
    </w:p>
    <w:p>
      <w:pPr>
        <w:pStyle w:val="Body"/>
        <w:numPr>
          <w:ilvl w:val="0"/>
          <w:numId w:val="2"/>
        </w:numPr>
        <w:rPr>
          <w:shd w:val="clear" w:color="auto" w:fill="63b2de"/>
          <w:lang w:val="en-US"/>
        </w:rPr>
      </w:pPr>
      <w:r>
        <w:rPr>
          <w:shd w:val="clear" w:color="auto" w:fill="63b2de"/>
          <w:rtl w:val="0"/>
          <w:lang w:val="en-US"/>
        </w:rPr>
        <w:t xml:space="preserve">        2. The accuse knowingly puts or keeps the thing in question in a place, wether it belongs to them or not </w:t>
      </w:r>
    </w:p>
    <w:p>
      <w:pPr>
        <w:pStyle w:val="Body"/>
        <w:numPr>
          <w:ilvl w:val="0"/>
          <w:numId w:val="2"/>
        </w:numPr>
        <w:rPr>
          <w:shd w:val="clear" w:color="auto" w:fill="63b2de"/>
          <w:lang w:val="en-US"/>
        </w:rPr>
      </w:pPr>
      <w:r>
        <w:rPr>
          <w:shd w:val="clear" w:color="auto" w:fill="63b2de"/>
          <w:rtl w:val="0"/>
          <w:lang w:val="en-US"/>
        </w:rPr>
        <w:t xml:space="preserve">        3. The accused intends to have the object put in a particular place for his or her benifit/use </w:t>
      </w:r>
    </w:p>
    <w:p>
      <w:pPr>
        <w:pStyle w:val="Body"/>
        <w:numPr>
          <w:ilvl w:val="0"/>
          <w:numId w:val="2"/>
        </w:numPr>
        <w:rPr>
          <w:shd w:val="clear" w:color="auto" w:fill="fefefe"/>
          <w:lang w:val="en-US"/>
        </w:rPr>
      </w:pPr>
      <w:r>
        <w:rPr>
          <w:shd w:val="clear" w:color="auto" w:fill="fefefe"/>
          <w:rtl w:val="0"/>
          <w:lang w:val="en-US"/>
        </w:rPr>
        <w:t xml:space="preserve">Morelli is appealing that the search warrant is not valid </w:t>
      </w:r>
    </w:p>
    <w:p>
      <w:pPr>
        <w:pStyle w:val="Body"/>
        <w:numPr>
          <w:ilvl w:val="0"/>
          <w:numId w:val="2"/>
        </w:numPr>
        <w:rPr>
          <w:shd w:val="clear" w:color="auto" w:fill="fefefe"/>
          <w:lang w:val="en-US"/>
        </w:rPr>
      </w:pPr>
      <w:r>
        <w:rPr>
          <w:shd w:val="clear" w:color="auto" w:fill="fefefe"/>
          <w:rtl w:val="0"/>
          <w:lang w:val="en-US"/>
        </w:rPr>
        <w:t xml:space="preserve">Accessing information on the internet is not the same as possessing it </w:t>
      </w:r>
    </w:p>
    <w:p>
      <w:pPr>
        <w:pStyle w:val="Body"/>
        <w:numPr>
          <w:ilvl w:val="0"/>
          <w:numId w:val="2"/>
        </w:numPr>
        <w:rPr>
          <w:shd w:val="clear" w:color="auto" w:fill="fefefe"/>
          <w:lang w:val="en-US"/>
        </w:rPr>
      </w:pPr>
      <w:r>
        <w:rPr>
          <w:shd w:val="clear" w:color="auto" w:fill="fefefe"/>
          <w:rtl w:val="0"/>
          <w:lang w:val="en-US"/>
        </w:rPr>
        <w:t xml:space="preserve">This case deals with personal and constructive possession </w:t>
      </w:r>
    </w:p>
    <w:p>
      <w:pPr>
        <w:pStyle w:val="Body"/>
        <w:numPr>
          <w:ilvl w:val="0"/>
          <w:numId w:val="2"/>
        </w:numPr>
        <w:rPr>
          <w:shd w:val="clear" w:color="auto" w:fill="fefefe"/>
          <w:lang w:val="en-US"/>
        </w:rPr>
      </w:pPr>
      <w:r>
        <w:rPr>
          <w:shd w:val="clear" w:color="auto" w:fill="fefefe"/>
          <w:rtl w:val="0"/>
          <w:lang w:val="en-US"/>
        </w:rPr>
        <w:t>Is it possible to be in possession of a virtual object?</w:t>
      </w:r>
      <w:r>
        <w:rPr>
          <w:rFonts w:ascii="Times New Roman" w:hAnsi="Times New Roman"/>
          <w:shd w:val="clear" w:color="auto" w:fill="fefefe"/>
          <w:rtl w:val="0"/>
          <w:lang w:val="en-US"/>
        </w:rPr>
        <w:t>Any criminal offence has two components that must be proven:</w:t>
      </w:r>
    </w:p>
    <w:p>
      <w:pPr>
        <w:pStyle w:val="Body"/>
        <w:numPr>
          <w:ilvl w:val="0"/>
          <w:numId w:val="4"/>
        </w:numPr>
        <w:spacing w:before="100" w:after="100" w:line="240" w:lineRule="auto"/>
        <w:jc w:val="left"/>
        <w:rPr>
          <w:rFonts w:ascii="Times New Roman" w:hAnsi="Times New Roman"/>
          <w:u w:color="000000"/>
          <w:lang w:val="en-US"/>
        </w:rPr>
      </w:pPr>
      <w:r>
        <w:rPr>
          <w:rFonts w:ascii="Times New Roman" w:hAnsi="Times New Roman"/>
          <w:u w:color="000000"/>
          <w:rtl w:val="0"/>
          <w:lang w:val="en-US"/>
        </w:rPr>
        <w:t>Actes reis- The offence the person was charged with was completed - the crown must prove that the person did indeed commit that offence - the act the individual was charged with was in fact completed</w:t>
      </w:r>
      <w:r>
        <w:rPr>
          <w:rFonts w:ascii="Times New Roman" w:hAnsi="Times New Roman" w:hint="default"/>
          <w:u w:color="000000"/>
          <w:rtl w:val="0"/>
          <w:lang w:val="en-US"/>
        </w:rPr>
        <w:t> </w:t>
      </w:r>
    </w:p>
    <w:p>
      <w:pPr>
        <w:pStyle w:val="Body"/>
        <w:numPr>
          <w:ilvl w:val="0"/>
          <w:numId w:val="4"/>
        </w:numPr>
        <w:spacing w:before="100" w:after="100" w:line="240" w:lineRule="auto"/>
        <w:jc w:val="left"/>
        <w:rPr>
          <w:rFonts w:ascii="Times New Roman" w:hAnsi="Times New Roman"/>
          <w:u w:color="000000"/>
          <w:lang w:val="en-US"/>
        </w:rPr>
      </w:pPr>
      <w:r>
        <w:rPr>
          <w:rFonts w:ascii="Times New Roman" w:hAnsi="Times New Roman"/>
          <w:u w:color="000000"/>
          <w:rtl w:val="0"/>
          <w:lang w:val="en-US"/>
        </w:rPr>
        <w:t>Mense reis - culpable intent (mental component) undertook and was aware/ought to have been aware of their action</w:t>
      </w:r>
    </w:p>
    <w:p>
      <w:pPr>
        <w:pStyle w:val="Body"/>
        <w:numPr>
          <w:ilvl w:val="0"/>
          <w:numId w:val="2"/>
        </w:numPr>
        <w:rPr>
          <w:shd w:val="clear" w:color="auto" w:fill="fefefe"/>
          <w:lang w:val="en-US"/>
        </w:rPr>
      </w:pPr>
      <w:r>
        <w:rPr>
          <w:shd w:val="clear" w:color="auto" w:fill="fefefe"/>
          <w:rtl w:val="0"/>
          <w:lang w:val="en-US"/>
        </w:rPr>
        <w:t xml:space="preserve">There are 2 potential objects of possession on a computer - the image file (underlying data files) and its decoded visual representation on screen </w:t>
      </w:r>
    </w:p>
    <w:p>
      <w:pPr>
        <w:pStyle w:val="Body"/>
        <w:numPr>
          <w:ilvl w:val="0"/>
          <w:numId w:val="2"/>
        </w:numPr>
        <w:rPr>
          <w:shd w:val="clear" w:color="auto" w:fill="fefefe"/>
          <w:lang w:val="en-US"/>
        </w:rPr>
      </w:pPr>
      <w:r>
        <w:rPr>
          <w:shd w:val="clear" w:color="auto" w:fill="fefefe"/>
          <w:rtl w:val="0"/>
          <w:lang w:val="en-US"/>
        </w:rPr>
        <w:t xml:space="preserve">Possession also include the ability to transfer someone thing to someone </w:t>
      </w:r>
    </w:p>
    <w:p>
      <w:pPr>
        <w:pStyle w:val="Body"/>
      </w:pPr>
    </w:p>
    <w:p>
      <w:pPr>
        <w:pStyle w:val="Body"/>
      </w:pPr>
      <w:r>
        <w:rPr>
          <w:shd w:val="clear" w:color="auto" w:fill="fefefe"/>
          <w:rtl w:val="0"/>
          <w:lang w:val="en-US"/>
        </w:rPr>
        <w:t xml:space="preserve">Case 10: Cole vs. The Crown </w:t>
      </w:r>
    </w:p>
    <w:p>
      <w:pPr>
        <w:pStyle w:val="Body"/>
      </w:pPr>
      <w:r>
        <w:rPr>
          <w:shd w:val="clear" w:color="auto" w:fill="fefefe"/>
          <w:rtl w:val="0"/>
          <w:lang w:val="en-US"/>
        </w:rPr>
        <w:t xml:space="preserve">Concept #1: Relation between biographical core and information </w:t>
      </w:r>
    </w:p>
    <w:p>
      <w:pPr>
        <w:pStyle w:val="Body"/>
      </w:pPr>
      <w:r>
        <w:rPr>
          <w:shd w:val="clear" w:color="auto" w:fill="fefefe"/>
          <w:rtl w:val="0"/>
          <w:lang w:val="en-US"/>
        </w:rPr>
        <w:t xml:space="preserve">Concept #2: Ownership: Have always been a mean by which humans organize and set boundaries amount themselves, right to allow someone in </w:t>
      </w:r>
    </w:p>
    <w:p>
      <w:pPr>
        <w:pStyle w:val="Body"/>
      </w:pPr>
      <w:r>
        <w:rPr>
          <w:shd w:val="clear" w:color="auto" w:fill="fefefe"/>
          <w:rtl w:val="0"/>
          <w:lang w:val="en-US"/>
        </w:rPr>
        <w:t xml:space="preserve">Concept #3: Reasonable: Raises questions on subjectivity, question of ownership and and privacy </w:t>
      </w:r>
    </w:p>
    <w:p>
      <w:pPr>
        <w:pStyle w:val="Body"/>
      </w:pPr>
      <w:r>
        <w:rPr>
          <w:shd w:val="clear" w:color="auto" w:fill="fefefe"/>
          <w:rtl w:val="0"/>
          <w:lang w:val="en-US"/>
        </w:rPr>
        <w:t xml:space="preserve">Difference between Morelli and Cole: Morelli had a privately owned computer and Cole had an employee owned computer </w:t>
      </w:r>
    </w:p>
    <w:p>
      <w:pPr>
        <w:pStyle w:val="Body"/>
      </w:pPr>
      <w:r>
        <w:rPr>
          <w:shd w:val="clear" w:color="auto" w:fill="fefefe"/>
          <w:rtl w:val="0"/>
          <w:lang w:val="en-US"/>
        </w:rPr>
        <w:t xml:space="preserve">What kind of privacy is concerned with this case? Informational or digital </w:t>
      </w:r>
    </w:p>
    <w:p>
      <w:pPr>
        <w:pStyle w:val="Body"/>
        <w:numPr>
          <w:ilvl w:val="0"/>
          <w:numId w:val="2"/>
        </w:numPr>
        <w:rPr>
          <w:shd w:val="clear" w:color="auto" w:fill="fefefe"/>
          <w:lang w:val="en-US"/>
        </w:rPr>
      </w:pPr>
      <w:r>
        <w:rPr>
          <w:shd w:val="clear" w:color="auto" w:fill="fefefe"/>
          <w:rtl w:val="0"/>
          <w:lang w:val="en-US"/>
        </w:rPr>
        <w:t xml:space="preserve">from vs content .. it is about the content not the physical computer </w:t>
      </w:r>
    </w:p>
    <w:p>
      <w:pPr>
        <w:pStyle w:val="Body"/>
      </w:pPr>
      <w:r>
        <w:rPr>
          <w:shd w:val="clear" w:color="auto" w:fill="fefefe"/>
          <w:rtl w:val="0"/>
          <w:lang w:val="en-US"/>
        </w:rPr>
        <w:t xml:space="preserve">Concern: Digital privacy and employee owned computers (ownership) Property is subject to ownership </w:t>
      </w:r>
    </w:p>
    <w:p>
      <w:pPr>
        <w:pStyle w:val="Body"/>
      </w:pPr>
      <w:r>
        <w:rPr>
          <w:shd w:val="clear" w:color="auto" w:fill="fefefe"/>
          <w:rtl w:val="0"/>
          <w:lang w:val="en-US"/>
        </w:rPr>
        <w:t xml:space="preserve">REASONABLE EXPECTATION OF PRIVACY </w:t>
      </w:r>
    </w:p>
    <w:p>
      <w:pPr>
        <w:pStyle w:val="Body"/>
        <w:numPr>
          <w:ilvl w:val="0"/>
          <w:numId w:val="2"/>
        </w:numPr>
        <w:rPr>
          <w:shd w:val="clear" w:color="auto" w:fill="fefefe"/>
          <w:lang w:val="en-US"/>
        </w:rPr>
      </w:pPr>
      <w:r>
        <w:rPr>
          <w:shd w:val="clear" w:color="auto" w:fill="fefefe"/>
          <w:rtl w:val="0"/>
          <w:lang w:val="en-US"/>
        </w:rPr>
        <w:t xml:space="preserve">Cole had some privacy rights to the school computer.. this raises the question two what is reasonable expectation of privacy is then </w:t>
      </w:r>
    </w:p>
    <w:p>
      <w:pPr>
        <w:pStyle w:val="Body"/>
        <w:numPr>
          <w:ilvl w:val="0"/>
          <w:numId w:val="2"/>
        </w:numPr>
        <w:rPr>
          <w:shd w:val="clear" w:color="auto" w:fill="fefefe"/>
          <w:lang w:val="en-US"/>
        </w:rPr>
      </w:pPr>
      <w:r>
        <w:rPr>
          <w:shd w:val="clear" w:color="auto" w:fill="fefefe"/>
          <w:rtl w:val="0"/>
          <w:lang w:val="en-US"/>
        </w:rPr>
        <w:t xml:space="preserve">Expectation of privacy is SUBJECTIVE .. however the outcome is objective </w:t>
      </w:r>
    </w:p>
    <w:p>
      <w:pPr>
        <w:pStyle w:val="Body"/>
      </w:pPr>
    </w:p>
    <w:p>
      <w:pPr>
        <w:pStyle w:val="Body"/>
      </w:pPr>
      <w:r>
        <w:rPr>
          <w:shd w:val="clear" w:color="auto" w:fill="fefefe"/>
          <w:rtl w:val="0"/>
          <w:lang w:val="en-US"/>
        </w:rPr>
        <w:t>The case questioned:</w:t>
      </w:r>
    </w:p>
    <w:p>
      <w:pPr>
        <w:pStyle w:val="Body"/>
        <w:numPr>
          <w:ilvl w:val="0"/>
          <w:numId w:val="2"/>
        </w:numPr>
        <w:rPr>
          <w:shd w:val="clear" w:color="auto" w:fill="fefefe"/>
          <w:lang w:val="en-US"/>
        </w:rPr>
      </w:pPr>
      <w:r>
        <w:rPr>
          <w:shd w:val="clear" w:color="auto" w:fill="fefefe"/>
          <w:rtl w:val="0"/>
          <w:lang w:val="en-US"/>
        </w:rPr>
        <w:t xml:space="preserve">whether accused (cole) had reasonable expectation of privacy in employer-issued work computer </w:t>
      </w:r>
    </w:p>
    <w:p>
      <w:pPr>
        <w:pStyle w:val="Body"/>
        <w:numPr>
          <w:ilvl w:val="0"/>
          <w:numId w:val="2"/>
        </w:numPr>
        <w:rPr>
          <w:shd w:val="clear" w:color="auto" w:fill="fefefe"/>
          <w:lang w:val="en-US"/>
        </w:rPr>
      </w:pPr>
      <w:r>
        <w:rPr>
          <w:shd w:val="clear" w:color="auto" w:fill="fefefe"/>
          <w:rtl w:val="0"/>
          <w:lang w:val="en-US"/>
        </w:rPr>
        <w:t xml:space="preserve">whether warrantless search and seizure of laptop computer ands containing Internet files breached accused (coles) rights under section 8 of the charter </w:t>
      </w:r>
    </w:p>
    <w:p>
      <w:pPr>
        <w:pStyle w:val="Body"/>
        <w:numPr>
          <w:ilvl w:val="0"/>
          <w:numId w:val="2"/>
        </w:numPr>
        <w:rPr>
          <w:shd w:val="clear" w:color="auto" w:fill="fefefe"/>
          <w:lang w:val="en-US"/>
        </w:rPr>
      </w:pPr>
      <w:r>
        <w:rPr>
          <w:shd w:val="clear" w:color="auto" w:fill="fefefe"/>
          <w:rtl w:val="0"/>
          <w:lang w:val="en-US"/>
        </w:rPr>
        <w:t xml:space="preserve">Th trail judge excluded all of the computer material pursuant to subsection 8 and 24 of the CCRF </w:t>
      </w:r>
    </w:p>
    <w:p>
      <w:pPr>
        <w:pStyle w:val="Body"/>
        <w:numPr>
          <w:ilvl w:val="0"/>
          <w:numId w:val="2"/>
        </w:numPr>
        <w:rPr>
          <w:shd w:val="clear" w:color="auto" w:fill="fefefe"/>
          <w:lang w:val="en-US"/>
        </w:rPr>
      </w:pPr>
      <w:r>
        <w:rPr>
          <w:shd w:val="clear" w:color="auto" w:fill="fefefe"/>
          <w:rtl w:val="0"/>
          <w:lang w:val="en-US"/>
        </w:rPr>
        <w:t xml:space="preserve">The summary conviction appeal court reversed the decision, finding that ether was no ss 8 breach </w:t>
      </w:r>
    </w:p>
    <w:p>
      <w:pPr>
        <w:pStyle w:val="Body"/>
        <w:numPr>
          <w:ilvl w:val="0"/>
          <w:numId w:val="2"/>
        </w:numPr>
        <w:rPr>
          <w:shd w:val="clear" w:color="auto" w:fill="fefefe"/>
          <w:lang w:val="en-US"/>
        </w:rPr>
      </w:pPr>
      <w:r>
        <w:rPr>
          <w:shd w:val="clear" w:color="auto" w:fill="fefefe"/>
          <w:rtl w:val="0"/>
          <w:lang w:val="en-US"/>
        </w:rPr>
        <w:t>The police in this case infringed the accused</w:t>
      </w:r>
      <w:r>
        <w:rPr>
          <w:shd w:val="clear" w:color="auto" w:fill="fefefe"/>
          <w:rtl w:val="0"/>
          <w:lang w:val="en-US"/>
        </w:rPr>
        <w:t>’</w:t>
      </w:r>
      <w:r>
        <w:rPr>
          <w:shd w:val="clear" w:color="auto" w:fill="fefefe"/>
          <w:rtl w:val="0"/>
          <w:lang w:val="en-US"/>
        </w:rPr>
        <w:t>s right under section 8 of the charter. The accused</w:t>
      </w:r>
      <w:r>
        <w:rPr>
          <w:shd w:val="clear" w:color="auto" w:fill="fefefe"/>
          <w:rtl w:val="0"/>
          <w:lang w:val="en-US"/>
        </w:rPr>
        <w:t>’</w:t>
      </w:r>
      <w:r>
        <w:rPr>
          <w:shd w:val="clear" w:color="auto" w:fill="fefefe"/>
          <w:rtl w:val="0"/>
          <w:lang w:val="en-US"/>
        </w:rPr>
        <w:t xml:space="preserve">s personal use of this work-issued laptop generated information that is meaningful, intimate and organically connected to his biographical core. </w:t>
      </w:r>
    </w:p>
    <w:sectPr>
      <w:headerReference w:type="default" r:id="rId4"/>
      <w:footerReference w:type="default" r:id="rId5"/>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 w:name="Times">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10</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instrText xml:space="preserve"> DATE \@ "dddd, MMMM d, y" </w:instrText>
    </w:r>
    <w:r>
      <w:rPr/>
      <w:fldChar w:fldCharType="separate" w:fldLock="0"/>
    </w:r>
    <w:r>
      <w:rPr>
        <w:rtl w:val="0"/>
        <w:lang w:val="en-US"/>
      </w:rPr>
      <w:t>Wednesday, March 30, 2016</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2">
    <w:multiLevelType w:val="hybridMultilevel"/>
    <w:numStyleLink w:val="Imported Style 29"/>
  </w:abstractNum>
  <w:abstractNum w:abstractNumId="3">
    <w:multiLevelType w:val="hybridMultilevel"/>
    <w:styleLink w:val="Imported Style 2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Helvetica"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Light" w:cs="Arial Unicode MS" w:hAnsi="Helvetica Light"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Dash">
    <w:name w:val="Dash"/>
    <w:pPr>
      <w:numPr>
        <w:numId w:val="1"/>
      </w:numPr>
    </w:pPr>
  </w:style>
  <w:style w:type="numbering" w:styleId="Imported Style 29">
    <w:name w:val="Imported Style 29"/>
    <w:pPr>
      <w:numPr>
        <w:numId w:val="3"/>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