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540" w:rsidRPr="00C16882" w:rsidRDefault="00AC23AB" w:rsidP="00AC23AB">
      <w:pPr>
        <w:jc w:val="right"/>
      </w:pPr>
      <w:r w:rsidRPr="00C16882">
        <w:t>20 septembre 2010</w:t>
      </w:r>
    </w:p>
    <w:p w:rsidR="00AC23AB" w:rsidRPr="00C16882" w:rsidRDefault="00AC23AB" w:rsidP="00AC23AB">
      <w:pPr>
        <w:jc w:val="right"/>
        <w:rPr>
          <w:b/>
          <w:sz w:val="28"/>
          <w:szCs w:val="28"/>
          <w:u w:val="single"/>
        </w:rPr>
      </w:pPr>
    </w:p>
    <w:p w:rsidR="00AC23AB" w:rsidRDefault="00AC23AB" w:rsidP="00AC23AB">
      <w:pPr>
        <w:jc w:val="both"/>
        <w:rPr>
          <w:b/>
          <w:sz w:val="28"/>
          <w:szCs w:val="28"/>
          <w:u w:val="single"/>
        </w:rPr>
      </w:pPr>
      <w:r w:rsidRPr="00AC23AB">
        <w:rPr>
          <w:b/>
          <w:sz w:val="28"/>
          <w:szCs w:val="28"/>
          <w:u w:val="single"/>
        </w:rPr>
        <w:t>3- Le déterminisme biologique aujourd’hui (suite)</w:t>
      </w:r>
    </w:p>
    <w:p w:rsidR="00AC23AB" w:rsidRPr="00AC23AB" w:rsidRDefault="00AC23AB" w:rsidP="00AC23AB">
      <w:pPr>
        <w:jc w:val="both"/>
        <w:rPr>
          <w:b/>
          <w:sz w:val="28"/>
          <w:szCs w:val="28"/>
          <w:u w:val="single"/>
        </w:rPr>
      </w:pPr>
    </w:p>
    <w:p w:rsidR="00AC23AB" w:rsidRDefault="00AC23AB" w:rsidP="00AC23AB">
      <w:pPr>
        <w:pStyle w:val="ListParagraph"/>
        <w:numPr>
          <w:ilvl w:val="0"/>
          <w:numId w:val="1"/>
        </w:numPr>
        <w:jc w:val="both"/>
        <w:rPr>
          <w:b/>
        </w:rPr>
      </w:pPr>
      <w:r w:rsidRPr="00AC23AB">
        <w:rPr>
          <w:b/>
        </w:rPr>
        <w:t>3.2 – Le sexe du cerveau</w:t>
      </w:r>
      <w:r w:rsidR="000A332B">
        <w:rPr>
          <w:b/>
        </w:rPr>
        <w:t> :</w:t>
      </w:r>
    </w:p>
    <w:p w:rsidR="000A332B" w:rsidRDefault="000A332B" w:rsidP="000A332B">
      <w:pPr>
        <w:pStyle w:val="ListParagraph"/>
        <w:jc w:val="both"/>
        <w:rPr>
          <w:b/>
        </w:rPr>
      </w:pPr>
    </w:p>
    <w:p w:rsidR="000A332B" w:rsidRPr="000A332B" w:rsidRDefault="00AC23AB" w:rsidP="000A332B">
      <w:pPr>
        <w:pStyle w:val="ListParagraph"/>
        <w:jc w:val="both"/>
      </w:pPr>
      <w:r w:rsidRPr="000A332B">
        <w:t>L’hémisphère droit du cerveau se développe plus rapidement chez les garçons, à causes de la testostérone. Les filles ont une croissance plus rapide des deux hémisphères à cause de l’œstrogène. Les filles sont à l’école avec un hémisphère gauche plus développé, ce qui expliquerait leurs habiletés langagières et leur plus grande facilité à lire et à écrire. Le développement de l’hémisphère droit des garçons sont donc plus à l’aise avec les tâches concrètes.</w:t>
      </w:r>
    </w:p>
    <w:p w:rsidR="000A332B" w:rsidRDefault="000A332B" w:rsidP="000A332B">
      <w:pPr>
        <w:jc w:val="both"/>
        <w:rPr>
          <w:b/>
        </w:rPr>
      </w:pPr>
    </w:p>
    <w:p w:rsidR="000A332B" w:rsidRDefault="000A332B" w:rsidP="000A332B">
      <w:pPr>
        <w:jc w:val="both"/>
        <w:rPr>
          <w:b/>
        </w:rPr>
      </w:pPr>
      <w:r>
        <w:rPr>
          <w:b/>
        </w:rPr>
        <w:t>A) État de situation – le domaine de l’intelligence générale;</w:t>
      </w:r>
    </w:p>
    <w:p w:rsidR="00AC23AB" w:rsidRDefault="000A332B" w:rsidP="000A332B">
      <w:pPr>
        <w:pStyle w:val="ListParagraph"/>
        <w:numPr>
          <w:ilvl w:val="0"/>
          <w:numId w:val="1"/>
        </w:numPr>
        <w:jc w:val="both"/>
      </w:pPr>
      <w:r w:rsidRPr="000A332B">
        <w:t>20</w:t>
      </w:r>
      <w:r w:rsidRPr="000A332B">
        <w:rPr>
          <w:vertAlign w:val="superscript"/>
        </w:rPr>
        <w:t>e</w:t>
      </w:r>
      <w:r w:rsidRPr="000A332B">
        <w:t xml:space="preserve"> siècl</w:t>
      </w:r>
      <w:r>
        <w:t>e : tests de Quotient intellectuel</w:t>
      </w:r>
    </w:p>
    <w:p w:rsidR="000A332B" w:rsidRDefault="000A332B" w:rsidP="000A332B">
      <w:pPr>
        <w:pStyle w:val="ListParagraph"/>
        <w:numPr>
          <w:ilvl w:val="0"/>
          <w:numId w:val="1"/>
        </w:numPr>
        <w:jc w:val="both"/>
      </w:pPr>
      <w:r>
        <w:t xml:space="preserve">1975 – Étude de </w:t>
      </w:r>
      <w:proofErr w:type="spellStart"/>
      <w:r>
        <w:t>Maccroby</w:t>
      </w:r>
      <w:proofErr w:type="spellEnd"/>
      <w:r>
        <w:t xml:space="preserve"> et </w:t>
      </w:r>
      <w:proofErr w:type="spellStart"/>
      <w:r>
        <w:t>Jacklin</w:t>
      </w:r>
      <w:proofErr w:type="spellEnd"/>
    </w:p>
    <w:p w:rsidR="000A332B" w:rsidRDefault="000A332B" w:rsidP="000A332B">
      <w:pPr>
        <w:pStyle w:val="ListParagraph"/>
        <w:numPr>
          <w:ilvl w:val="0"/>
          <w:numId w:val="1"/>
        </w:numPr>
        <w:jc w:val="both"/>
      </w:pPr>
      <w:r>
        <w:t>SIMILARITÉS partout = pas de différences</w:t>
      </w:r>
    </w:p>
    <w:p w:rsidR="000A332B" w:rsidRDefault="000A332B" w:rsidP="000A332B">
      <w:pPr>
        <w:pStyle w:val="ListParagraph"/>
        <w:numPr>
          <w:ilvl w:val="0"/>
          <w:numId w:val="1"/>
        </w:numPr>
        <w:jc w:val="both"/>
      </w:pPr>
      <w:r>
        <w:t>SAUF APTITUDES SUIVANTES :</w:t>
      </w:r>
    </w:p>
    <w:p w:rsidR="000A332B" w:rsidRDefault="000A332B" w:rsidP="000A332B">
      <w:pPr>
        <w:pStyle w:val="ListParagraph"/>
        <w:numPr>
          <w:ilvl w:val="0"/>
          <w:numId w:val="5"/>
        </w:numPr>
        <w:jc w:val="both"/>
      </w:pPr>
      <w:r>
        <w:t>Langage</w:t>
      </w:r>
    </w:p>
    <w:p w:rsidR="000A332B" w:rsidRDefault="000A332B" w:rsidP="000A332B">
      <w:pPr>
        <w:pStyle w:val="ListParagraph"/>
        <w:numPr>
          <w:ilvl w:val="0"/>
          <w:numId w:val="5"/>
        </w:numPr>
        <w:jc w:val="both"/>
      </w:pPr>
      <w:r>
        <w:t>Orientation dans l’espace</w:t>
      </w:r>
    </w:p>
    <w:p w:rsidR="000A332B" w:rsidRDefault="000A332B" w:rsidP="000A332B">
      <w:pPr>
        <w:pStyle w:val="ListParagraph"/>
        <w:numPr>
          <w:ilvl w:val="0"/>
          <w:numId w:val="5"/>
        </w:numPr>
        <w:jc w:val="both"/>
      </w:pPr>
      <w:r>
        <w:t>Mathématiques</w:t>
      </w:r>
    </w:p>
    <w:p w:rsidR="000A332B" w:rsidRDefault="000A332B" w:rsidP="000A332B">
      <w:pPr>
        <w:jc w:val="both"/>
        <w:rPr>
          <w:b/>
        </w:rPr>
      </w:pPr>
      <w:r w:rsidRPr="000A332B">
        <w:rPr>
          <w:b/>
        </w:rPr>
        <w:t>B) La théorie des deux hémisphères (sociobiologie) :</w:t>
      </w:r>
    </w:p>
    <w:p w:rsidR="000A332B" w:rsidRDefault="000A332B" w:rsidP="000A332B">
      <w:pPr>
        <w:jc w:val="both"/>
      </w:pPr>
      <w:r>
        <w:t>HYPOTHÈSE :</w:t>
      </w:r>
    </w:p>
    <w:p w:rsidR="00BA6166" w:rsidRDefault="00BA6166" w:rsidP="00BA6166">
      <w:pPr>
        <w:pStyle w:val="ListParagraph"/>
        <w:numPr>
          <w:ilvl w:val="0"/>
          <w:numId w:val="6"/>
        </w:numPr>
        <w:jc w:val="both"/>
      </w:pPr>
      <w:r>
        <w:t>À gauche = langage</w:t>
      </w:r>
    </w:p>
    <w:p w:rsidR="00BA6166" w:rsidRDefault="00BA6166" w:rsidP="00BA6166">
      <w:pPr>
        <w:pStyle w:val="ListParagraph"/>
        <w:numPr>
          <w:ilvl w:val="0"/>
          <w:numId w:val="6"/>
        </w:numPr>
        <w:jc w:val="both"/>
      </w:pPr>
      <w:r>
        <w:t>À droite = mathématiques et orientation dans l’espace</w:t>
      </w:r>
    </w:p>
    <w:p w:rsidR="00BA6166" w:rsidRDefault="00F37768" w:rsidP="00BA6166">
      <w:pPr>
        <w:pStyle w:val="ListParagraph"/>
        <w:numPr>
          <w:ilvl w:val="0"/>
          <w:numId w:val="6"/>
        </w:numPr>
        <w:jc w:val="both"/>
      </w:pPr>
      <w:r>
        <w:t xml:space="preserve">Un </w:t>
      </w:r>
      <w:r w:rsidR="00BA6166">
        <w:t>bain de testostérone et ses effets sur le fœtus</w:t>
      </w:r>
    </w:p>
    <w:p w:rsidR="00BA6166" w:rsidRDefault="00BA6166" w:rsidP="00BA6166">
      <w:pPr>
        <w:pStyle w:val="ListParagraph"/>
        <w:jc w:val="both"/>
      </w:pPr>
      <w:r>
        <w:t>-mâle</w:t>
      </w:r>
    </w:p>
    <w:p w:rsidR="00BA6166" w:rsidRDefault="00BA6166" w:rsidP="00BA6166">
      <w:pPr>
        <w:pStyle w:val="ListParagraph"/>
        <w:jc w:val="both"/>
      </w:pPr>
      <w:r>
        <w:t>-femelle</w:t>
      </w:r>
    </w:p>
    <w:p w:rsidR="009C59AE" w:rsidRDefault="009C59AE" w:rsidP="007D0453">
      <w:pPr>
        <w:jc w:val="both"/>
        <w:rPr>
          <w:b/>
        </w:rPr>
      </w:pPr>
    </w:p>
    <w:p w:rsidR="009C59AE" w:rsidRDefault="009C59AE" w:rsidP="007D0453">
      <w:pPr>
        <w:jc w:val="both"/>
        <w:rPr>
          <w:b/>
        </w:rPr>
      </w:pPr>
    </w:p>
    <w:p w:rsidR="009C59AE" w:rsidRDefault="009C59AE" w:rsidP="007D0453">
      <w:pPr>
        <w:jc w:val="both"/>
        <w:rPr>
          <w:b/>
        </w:rPr>
      </w:pPr>
    </w:p>
    <w:p w:rsidR="007D0453" w:rsidRDefault="007D0453" w:rsidP="007D0453">
      <w:pPr>
        <w:jc w:val="both"/>
        <w:rPr>
          <w:b/>
        </w:rPr>
      </w:pPr>
      <w:r w:rsidRPr="007D0453">
        <w:rPr>
          <w:b/>
        </w:rPr>
        <w:lastRenderedPageBreak/>
        <w:t>C)</w:t>
      </w:r>
      <w:r>
        <w:rPr>
          <w:b/>
        </w:rPr>
        <w:t xml:space="preserve"> L’aptitude au langage :</w:t>
      </w:r>
    </w:p>
    <w:p w:rsidR="009C59AE" w:rsidRPr="009C59AE" w:rsidRDefault="007D0453" w:rsidP="009C59AE">
      <w:pPr>
        <w:pStyle w:val="ListParagraph"/>
        <w:numPr>
          <w:ilvl w:val="0"/>
          <w:numId w:val="7"/>
        </w:numPr>
        <w:jc w:val="both"/>
        <w:rPr>
          <w:b/>
        </w:rPr>
      </w:pPr>
      <w:r>
        <w:t>L’expérience d’imagerie cérébrale par IRM de 1995 (Vidal, 2</w:t>
      </w:r>
      <w:r w:rsidRPr="007D0453">
        <w:rPr>
          <w:vertAlign w:val="superscript"/>
        </w:rPr>
        <w:t>e</w:t>
      </w:r>
      <w:r>
        <w:t xml:space="preserve"> page dans le recueil de texte)</w:t>
      </w:r>
    </w:p>
    <w:p w:rsidR="009C59AE" w:rsidRPr="009C59AE" w:rsidRDefault="009C59AE" w:rsidP="009C59AE">
      <w:pPr>
        <w:pStyle w:val="ListParagraph"/>
        <w:numPr>
          <w:ilvl w:val="0"/>
          <w:numId w:val="7"/>
        </w:numPr>
        <w:jc w:val="both"/>
        <w:rPr>
          <w:b/>
        </w:rPr>
      </w:pPr>
      <w:r>
        <w:t>La critique? Autres études? Le corps calleux?</w:t>
      </w:r>
    </w:p>
    <w:p w:rsidR="009C59AE" w:rsidRPr="009C59AE" w:rsidRDefault="009C59AE" w:rsidP="009C59AE">
      <w:pPr>
        <w:pStyle w:val="ListParagraph"/>
        <w:numPr>
          <w:ilvl w:val="0"/>
          <w:numId w:val="7"/>
        </w:numPr>
        <w:jc w:val="both"/>
        <w:rPr>
          <w:b/>
        </w:rPr>
      </w:pPr>
      <w:r>
        <w:t>Les seuls résultats solides sont :</w:t>
      </w:r>
    </w:p>
    <w:p w:rsidR="009C59AE" w:rsidRDefault="009C59AE" w:rsidP="009C59AE">
      <w:pPr>
        <w:pStyle w:val="ListParagraph"/>
        <w:jc w:val="both"/>
      </w:pPr>
      <w:r>
        <w:t>-Test verbales les femmes réussissent mieux</w:t>
      </w:r>
    </w:p>
    <w:p w:rsidR="009C59AE" w:rsidRDefault="009C59AE" w:rsidP="009C59AE">
      <w:pPr>
        <w:pStyle w:val="ListParagraph"/>
        <w:jc w:val="both"/>
      </w:pPr>
      <w:r>
        <w:t>-Analogie des mots les hommes réussissent mieux</w:t>
      </w:r>
    </w:p>
    <w:p w:rsidR="009C59AE" w:rsidRDefault="009C59AE" w:rsidP="009C59AE">
      <w:pPr>
        <w:jc w:val="both"/>
        <w:rPr>
          <w:b/>
        </w:rPr>
      </w:pPr>
      <w:r>
        <w:rPr>
          <w:b/>
        </w:rPr>
        <w:t>D) L’orientation dans l’espace :</w:t>
      </w:r>
    </w:p>
    <w:p w:rsidR="009C59AE" w:rsidRDefault="009C59AE" w:rsidP="009C59AE">
      <w:pPr>
        <w:pStyle w:val="ListParagraph"/>
        <w:numPr>
          <w:ilvl w:val="0"/>
          <w:numId w:val="8"/>
        </w:numPr>
        <w:jc w:val="both"/>
      </w:pPr>
      <w:r>
        <w:t>Les tests de rotation mentale en 3D</w:t>
      </w:r>
      <w:r w:rsidR="00A71149">
        <w:t xml:space="preserve"> </w:t>
      </w:r>
    </w:p>
    <w:p w:rsidR="00A71149" w:rsidRDefault="00A71149" w:rsidP="00A71149">
      <w:pPr>
        <w:pStyle w:val="ListParagraph"/>
        <w:numPr>
          <w:ilvl w:val="0"/>
          <w:numId w:val="8"/>
        </w:numPr>
        <w:jc w:val="both"/>
      </w:pPr>
      <w:r>
        <w:t>Le test du labyrinthe (2000, Allemagne)</w:t>
      </w:r>
    </w:p>
    <w:p w:rsidR="00A71149" w:rsidRDefault="00A71149" w:rsidP="00A71149">
      <w:pPr>
        <w:pStyle w:val="ListParagraph"/>
        <w:jc w:val="both"/>
      </w:pPr>
      <w:r>
        <w:t xml:space="preserve">-Représentation globale de l’espace = </w:t>
      </w:r>
      <w:proofErr w:type="spellStart"/>
      <w:r>
        <w:rPr>
          <w:i/>
        </w:rPr>
        <w:t>hyppocampe</w:t>
      </w:r>
      <w:proofErr w:type="spellEnd"/>
      <w:r>
        <w:rPr>
          <w:i/>
        </w:rPr>
        <w:t xml:space="preserve"> </w:t>
      </w:r>
      <w:r>
        <w:t>gauche</w:t>
      </w:r>
    </w:p>
    <w:p w:rsidR="00A71149" w:rsidRDefault="00A71149" w:rsidP="00A71149">
      <w:pPr>
        <w:pStyle w:val="ListParagraph"/>
        <w:jc w:val="both"/>
      </w:pPr>
      <w:r>
        <w:t xml:space="preserve">-Indices présents sur le parcours = </w:t>
      </w:r>
      <w:r>
        <w:rPr>
          <w:i/>
        </w:rPr>
        <w:t>striatum</w:t>
      </w:r>
    </w:p>
    <w:p w:rsidR="00A63D73" w:rsidRDefault="00A63D73" w:rsidP="00A63D73">
      <w:pPr>
        <w:pStyle w:val="ListParagraph"/>
        <w:numPr>
          <w:ilvl w:val="0"/>
          <w:numId w:val="11"/>
        </w:numPr>
        <w:jc w:val="both"/>
      </w:pPr>
      <w:r>
        <w:t>Le test du labyrinthe (2003, McGill) Résultats?</w:t>
      </w:r>
      <w:r w:rsidR="0083769E">
        <w:t xml:space="preserve"> Les individus avaient changé leurs stratégies pour celui de l’indices présents sur le parcours (Striatum) L’apprentissage modifie le cerveau. TOUT UN CERVEAU DIFFÉRENTS!</w:t>
      </w:r>
    </w:p>
    <w:p w:rsidR="00D23F24" w:rsidRDefault="00D23F24" w:rsidP="00D23F24">
      <w:pPr>
        <w:jc w:val="both"/>
        <w:rPr>
          <w:b/>
        </w:rPr>
      </w:pPr>
      <w:r>
        <w:rPr>
          <w:b/>
        </w:rPr>
        <w:t>Argument de la plasticité cérébrale :</w:t>
      </w:r>
    </w:p>
    <w:p w:rsidR="00D23F24" w:rsidRDefault="00D23F24" w:rsidP="00D23F24">
      <w:pPr>
        <w:pStyle w:val="ListParagraph"/>
        <w:numPr>
          <w:ilvl w:val="0"/>
          <w:numId w:val="11"/>
        </w:numPr>
        <w:jc w:val="both"/>
        <w:rPr>
          <w:b/>
        </w:rPr>
      </w:pPr>
      <w:r>
        <w:rPr>
          <w:b/>
        </w:rPr>
        <w:t>Qu’est-ce que la plasticité cérébrale?</w:t>
      </w:r>
      <w:r w:rsidR="00B613AF">
        <w:rPr>
          <w:b/>
        </w:rPr>
        <w:t xml:space="preserve"> </w:t>
      </w:r>
      <w:r w:rsidR="00B613AF" w:rsidRPr="00B613AF">
        <w:t>(seulement 10% des neurones sont actives durant la naissance tandis que 90%  se construit progressivement en fonction des influences de la famille, de la culture, de la société, etc.)</w:t>
      </w:r>
    </w:p>
    <w:p w:rsidR="00D23F24" w:rsidRDefault="00D23F24" w:rsidP="00D23F24">
      <w:pPr>
        <w:pStyle w:val="ListParagraph"/>
        <w:numPr>
          <w:ilvl w:val="0"/>
          <w:numId w:val="11"/>
        </w:numPr>
        <w:jc w:val="both"/>
        <w:rPr>
          <w:b/>
        </w:rPr>
      </w:pPr>
      <w:r>
        <w:rPr>
          <w:b/>
        </w:rPr>
        <w:t>Comment la plasticité cérébrale explique-t-elle les résultats des garçons et des filles?</w:t>
      </w:r>
    </w:p>
    <w:p w:rsidR="005D0AD2" w:rsidRDefault="005D0AD2" w:rsidP="005D0AD2">
      <w:pPr>
        <w:jc w:val="both"/>
        <w:rPr>
          <w:b/>
        </w:rPr>
      </w:pPr>
      <w:r>
        <w:rPr>
          <w:b/>
        </w:rPr>
        <w:t>E) L’aptitude aux mathématiques :</w:t>
      </w:r>
    </w:p>
    <w:p w:rsidR="005D0AD2" w:rsidRDefault="005D0AD2" w:rsidP="005D0AD2">
      <w:pPr>
        <w:pStyle w:val="ListParagraph"/>
        <w:numPr>
          <w:ilvl w:val="0"/>
          <w:numId w:val="12"/>
        </w:numPr>
        <w:jc w:val="both"/>
      </w:pPr>
      <w:r>
        <w:t>Des écarts aux tests SAT</w:t>
      </w:r>
    </w:p>
    <w:p w:rsidR="005D0AD2" w:rsidRDefault="005D0AD2" w:rsidP="005D0AD2">
      <w:pPr>
        <w:pStyle w:val="ListParagraph"/>
        <w:numPr>
          <w:ilvl w:val="0"/>
          <w:numId w:val="12"/>
        </w:numPr>
        <w:jc w:val="both"/>
      </w:pPr>
      <w:r>
        <w:t>CEPENDANT</w:t>
      </w:r>
    </w:p>
    <w:p w:rsidR="005D0AD2" w:rsidRDefault="005D0AD2" w:rsidP="005D0AD2">
      <w:pPr>
        <w:pStyle w:val="ListParagraph"/>
        <w:jc w:val="both"/>
      </w:pPr>
      <w:r>
        <w:t>-tests autres que SAT</w:t>
      </w:r>
    </w:p>
    <w:p w:rsidR="005D0AD2" w:rsidRDefault="005D0AD2" w:rsidP="005D0AD2">
      <w:pPr>
        <w:pStyle w:val="ListParagraph"/>
        <w:jc w:val="both"/>
      </w:pPr>
      <w:r>
        <w:t>-tests SAT en Europe</w:t>
      </w:r>
    </w:p>
    <w:p w:rsidR="00B74961" w:rsidRPr="005D0AD2" w:rsidRDefault="00B74961" w:rsidP="00B74961">
      <w:pPr>
        <w:pStyle w:val="ListParagraph"/>
        <w:numPr>
          <w:ilvl w:val="0"/>
          <w:numId w:val="14"/>
        </w:numPr>
        <w:jc w:val="both"/>
      </w:pPr>
      <w:r>
        <w:t>Comment expliquer les écarts? = l’expérience géométrie vs dessin (écart arrive lors de l’adolescence, garçons se dirige vers les maths</w:t>
      </w:r>
      <w:r w:rsidR="0035561C">
        <w:t xml:space="preserve"> et filles vers autres choses</w:t>
      </w:r>
      <w:r w:rsidR="00C16882">
        <w:t xml:space="preserve"> a cause des stéréotypes</w:t>
      </w:r>
      <w:r>
        <w:t>)</w:t>
      </w:r>
    </w:p>
    <w:p w:rsidR="00BA6166" w:rsidRPr="000A332B" w:rsidRDefault="00BA6166" w:rsidP="00BA6166">
      <w:pPr>
        <w:pStyle w:val="ListParagraph"/>
        <w:jc w:val="both"/>
      </w:pPr>
    </w:p>
    <w:p w:rsidR="000A332B" w:rsidRDefault="000A332B" w:rsidP="00AC23AB">
      <w:pPr>
        <w:pStyle w:val="ListParagraph"/>
        <w:jc w:val="both"/>
        <w:rPr>
          <w:b/>
        </w:rPr>
      </w:pPr>
    </w:p>
    <w:p w:rsidR="000A332B" w:rsidRDefault="000A332B" w:rsidP="00AC23AB">
      <w:pPr>
        <w:pStyle w:val="ListParagraph"/>
        <w:jc w:val="both"/>
        <w:rPr>
          <w:b/>
        </w:rPr>
      </w:pPr>
    </w:p>
    <w:p w:rsidR="00995500" w:rsidRDefault="00995500" w:rsidP="00AC23AB">
      <w:pPr>
        <w:pStyle w:val="ListParagraph"/>
        <w:jc w:val="both"/>
        <w:rPr>
          <w:b/>
        </w:rPr>
      </w:pPr>
    </w:p>
    <w:p w:rsidR="00995500" w:rsidRDefault="00995500" w:rsidP="00AC23AB">
      <w:pPr>
        <w:pStyle w:val="ListParagraph"/>
        <w:jc w:val="both"/>
        <w:rPr>
          <w:b/>
        </w:rPr>
      </w:pPr>
    </w:p>
    <w:p w:rsidR="004D16D5" w:rsidRPr="004D16D5" w:rsidRDefault="004D16D5" w:rsidP="004D16D5">
      <w:pPr>
        <w:pStyle w:val="ecxmsonormal"/>
        <w:rPr>
          <w:lang w:val="fr-CA"/>
        </w:rPr>
      </w:pPr>
      <w:r>
        <w:rPr>
          <w:u w:val="single"/>
          <w:lang w:val="fr-CA"/>
        </w:rPr>
        <w:lastRenderedPageBreak/>
        <w:t>Sexe et genre : perspectives transculturelles</w:t>
      </w:r>
    </w:p>
    <w:p w:rsidR="004D16D5" w:rsidRPr="004D16D5" w:rsidRDefault="004D16D5" w:rsidP="004D16D5">
      <w:pPr>
        <w:pStyle w:val="ecxmsolistparagraph"/>
        <w:ind w:hanging="360"/>
        <w:rPr>
          <w:lang w:val="fr-CA"/>
        </w:rPr>
      </w:pPr>
      <w:r>
        <w:rPr>
          <w:lang w:val="fr-CA"/>
        </w:rPr>
        <w:t>1)</w:t>
      </w:r>
      <w:r>
        <w:rPr>
          <w:sz w:val="14"/>
          <w:szCs w:val="14"/>
          <w:lang w:val="fr-CA"/>
        </w:rPr>
        <w:t xml:space="preserve">      </w:t>
      </w:r>
      <w:r>
        <w:rPr>
          <w:lang w:val="fr-CA"/>
        </w:rPr>
        <w:t>Concepts de base : le sexe et le genre</w:t>
      </w:r>
    </w:p>
    <w:p w:rsidR="004D16D5" w:rsidRPr="004D16D5" w:rsidRDefault="004D16D5" w:rsidP="004D16D5">
      <w:pPr>
        <w:pStyle w:val="ecxmsolistparagraph"/>
        <w:ind w:left="1069" w:hanging="360"/>
        <w:rPr>
          <w:lang w:val="fr-CA"/>
        </w:rPr>
      </w:pPr>
      <w:r>
        <w:rPr>
          <w:lang w:val="fr-CA"/>
        </w:rPr>
        <w:t>A)</w:t>
      </w:r>
      <w:r>
        <w:rPr>
          <w:sz w:val="14"/>
          <w:szCs w:val="14"/>
          <w:lang w:val="fr-CA"/>
        </w:rPr>
        <w:t xml:space="preserve">     </w:t>
      </w:r>
      <w:r>
        <w:rPr>
          <w:lang w:val="fr-CA"/>
        </w:rPr>
        <w:t>Qu’est-ce que le sexe? (glossaire)</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Les organes génitaux</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Les chromosomes</w:t>
      </w:r>
    </w:p>
    <w:p w:rsidR="004D16D5" w:rsidRPr="004D16D5" w:rsidRDefault="004D16D5" w:rsidP="004D16D5">
      <w:pPr>
        <w:pStyle w:val="ecxmsolistparagraph"/>
        <w:ind w:left="1778" w:hanging="360"/>
        <w:rPr>
          <w:lang w:val="fr-CA"/>
        </w:rPr>
      </w:pPr>
      <w:r>
        <w:rPr>
          <w:rFonts w:ascii="Symbol" w:hAnsi="Symbol"/>
          <w:lang w:val="fr-CA"/>
        </w:rPr>
        <w:t></w:t>
      </w:r>
      <w:r>
        <w:rPr>
          <w:sz w:val="14"/>
          <w:szCs w:val="14"/>
          <w:lang w:val="fr-CA"/>
        </w:rPr>
        <w:t xml:space="preserve">         </w:t>
      </w:r>
      <w:r>
        <w:rPr>
          <w:lang w:val="fr-CA"/>
        </w:rPr>
        <w:t>XX : individu de sexe féminin</w:t>
      </w:r>
    </w:p>
    <w:p w:rsidR="004D16D5" w:rsidRPr="004D16D5" w:rsidRDefault="004D16D5" w:rsidP="004D16D5">
      <w:pPr>
        <w:pStyle w:val="ecxmsolistparagraph"/>
        <w:ind w:left="1778" w:hanging="360"/>
        <w:rPr>
          <w:lang w:val="fr-CA"/>
        </w:rPr>
      </w:pPr>
      <w:r>
        <w:rPr>
          <w:rFonts w:ascii="Symbol" w:hAnsi="Symbol"/>
          <w:lang w:val="fr-CA"/>
        </w:rPr>
        <w:t></w:t>
      </w:r>
      <w:r>
        <w:rPr>
          <w:sz w:val="14"/>
          <w:szCs w:val="14"/>
          <w:lang w:val="fr-CA"/>
        </w:rPr>
        <w:t xml:space="preserve">         </w:t>
      </w:r>
      <w:r>
        <w:rPr>
          <w:lang w:val="fr-CA"/>
        </w:rPr>
        <w:t>XY : individu du sexe masculin</w:t>
      </w:r>
    </w:p>
    <w:p w:rsidR="004D16D5" w:rsidRPr="004D16D5" w:rsidRDefault="004D16D5" w:rsidP="004D16D5">
      <w:pPr>
        <w:pStyle w:val="ecxmsolistparagraph"/>
        <w:ind w:left="2487" w:hanging="360"/>
        <w:rPr>
          <w:lang w:val="fr-CA"/>
        </w:rPr>
      </w:pPr>
      <w:proofErr w:type="gramStart"/>
      <w:r>
        <w:rPr>
          <w:rFonts w:ascii="Courier New" w:hAnsi="Courier New" w:cs="Courier New"/>
          <w:lang w:val="fr-CA"/>
        </w:rPr>
        <w:t>o</w:t>
      </w:r>
      <w:proofErr w:type="gramEnd"/>
      <w:r>
        <w:rPr>
          <w:sz w:val="14"/>
          <w:szCs w:val="14"/>
          <w:lang w:val="fr-CA"/>
        </w:rPr>
        <w:t xml:space="preserve">   </w:t>
      </w:r>
      <w:r>
        <w:rPr>
          <w:lang w:val="fr-CA"/>
        </w:rPr>
        <w:t>Tout les embryons sont bi-potentiel (peut être un ou l’autre)</w:t>
      </w:r>
    </w:p>
    <w:p w:rsidR="004D16D5" w:rsidRPr="004D16D5" w:rsidRDefault="004D16D5" w:rsidP="004D16D5">
      <w:pPr>
        <w:pStyle w:val="ecxmsolistparagraph"/>
        <w:ind w:left="2487" w:hanging="360"/>
        <w:rPr>
          <w:lang w:val="fr-CA"/>
        </w:rPr>
      </w:pPr>
      <w:proofErr w:type="gramStart"/>
      <w:r>
        <w:rPr>
          <w:rFonts w:ascii="Courier New" w:hAnsi="Courier New" w:cs="Courier New"/>
          <w:lang w:val="fr-CA"/>
        </w:rPr>
        <w:t>o</w:t>
      </w:r>
      <w:proofErr w:type="gramEnd"/>
      <w:r>
        <w:rPr>
          <w:sz w:val="14"/>
          <w:szCs w:val="14"/>
          <w:lang w:val="fr-CA"/>
        </w:rPr>
        <w:t xml:space="preserve">   </w:t>
      </w:r>
      <w:r>
        <w:rPr>
          <w:lang w:val="fr-CA"/>
        </w:rPr>
        <w:t>À partir de la 6</w:t>
      </w:r>
      <w:r>
        <w:rPr>
          <w:vertAlign w:val="superscript"/>
          <w:lang w:val="fr-CA"/>
        </w:rPr>
        <w:t>e</w:t>
      </w:r>
      <w:r>
        <w:rPr>
          <w:lang w:val="fr-CA"/>
        </w:rPr>
        <w:t xml:space="preserve"> semaine, le sexe devient évident </w:t>
      </w:r>
    </w:p>
    <w:p w:rsidR="004D16D5" w:rsidRPr="004D16D5" w:rsidRDefault="004D16D5" w:rsidP="004D16D5">
      <w:pPr>
        <w:pStyle w:val="ecxmsonormal"/>
        <w:rPr>
          <w:lang w:val="fr-CA"/>
        </w:rPr>
      </w:pPr>
      <w:r>
        <w:rPr>
          <w:lang w:val="fr-CA"/>
        </w:rPr>
        <w:t>*Tableau dans le recueil de textes p.23</w:t>
      </w:r>
    </w:p>
    <w:p w:rsidR="004D16D5" w:rsidRPr="004D16D5" w:rsidRDefault="004D16D5" w:rsidP="004D16D5">
      <w:pPr>
        <w:pStyle w:val="ecxmsolistparagraph"/>
        <w:ind w:left="1069" w:hanging="360"/>
        <w:rPr>
          <w:lang w:val="fr-CA"/>
        </w:rPr>
      </w:pPr>
      <w:r>
        <w:rPr>
          <w:lang w:val="fr-CA"/>
        </w:rPr>
        <w:t>B)</w:t>
      </w:r>
      <w:r>
        <w:rPr>
          <w:sz w:val="14"/>
          <w:szCs w:val="14"/>
          <w:lang w:val="fr-CA"/>
        </w:rPr>
        <w:t xml:space="preserve">      </w:t>
      </w:r>
      <w:r>
        <w:rPr>
          <w:lang w:val="fr-CA"/>
        </w:rPr>
        <w:t>Qu’est ce que le genre</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Femmes et féminité</w:t>
      </w:r>
    </w:p>
    <w:p w:rsidR="004D16D5" w:rsidRPr="004D16D5" w:rsidRDefault="004D16D5" w:rsidP="004D16D5">
      <w:pPr>
        <w:pStyle w:val="ecxmsolistparagraph"/>
        <w:ind w:left="1789" w:hanging="360"/>
        <w:rPr>
          <w:lang w:val="fr-CA"/>
        </w:rPr>
      </w:pPr>
      <w:proofErr w:type="gramStart"/>
      <w:r>
        <w:rPr>
          <w:rFonts w:ascii="Courier New" w:hAnsi="Courier New" w:cs="Courier New"/>
          <w:lang w:val="fr-CA"/>
        </w:rPr>
        <w:t>o</w:t>
      </w:r>
      <w:proofErr w:type="gramEnd"/>
      <w:r>
        <w:rPr>
          <w:sz w:val="14"/>
          <w:szCs w:val="14"/>
          <w:lang w:val="fr-CA"/>
        </w:rPr>
        <w:t xml:space="preserve">   </w:t>
      </w:r>
      <w:r>
        <w:rPr>
          <w:lang w:val="fr-CA"/>
        </w:rPr>
        <w:t>Sensible aux besoins des autres, maternelle, compréhensive, tendre, douce, vulnérable, pacifique, émotive, préoccupée par son apparence, etc.</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Homme et masculinité</w:t>
      </w:r>
    </w:p>
    <w:p w:rsidR="004D16D5" w:rsidRPr="004D16D5" w:rsidRDefault="004D16D5" w:rsidP="004D16D5">
      <w:pPr>
        <w:pStyle w:val="ecxmsolistparagraph"/>
        <w:ind w:left="1789" w:hanging="360"/>
        <w:rPr>
          <w:lang w:val="fr-CA"/>
        </w:rPr>
      </w:pPr>
      <w:proofErr w:type="gramStart"/>
      <w:r>
        <w:rPr>
          <w:rFonts w:ascii="Courier New" w:hAnsi="Courier New" w:cs="Courier New"/>
          <w:lang w:val="fr-CA"/>
        </w:rPr>
        <w:t>o</w:t>
      </w:r>
      <w:proofErr w:type="gramEnd"/>
      <w:r>
        <w:rPr>
          <w:sz w:val="14"/>
          <w:szCs w:val="14"/>
          <w:lang w:val="fr-CA"/>
        </w:rPr>
        <w:t xml:space="preserve">   </w:t>
      </w:r>
      <w:r>
        <w:rPr>
          <w:lang w:val="fr-CA"/>
        </w:rPr>
        <w:t>Actif, agressif, compétitif, logique, indépendant, rationnel, contrôle de ses émotions, aventureux, protecteur, fort, leader, etc.</w:t>
      </w:r>
    </w:p>
    <w:p w:rsidR="004D16D5" w:rsidRPr="004D16D5" w:rsidRDefault="004D16D5" w:rsidP="004D16D5">
      <w:pPr>
        <w:pStyle w:val="ecxmsolistparagraph"/>
        <w:ind w:hanging="360"/>
        <w:rPr>
          <w:lang w:val="fr-CA"/>
        </w:rPr>
      </w:pPr>
      <w:r>
        <w:rPr>
          <w:lang w:val="fr-CA"/>
        </w:rPr>
        <w:t>2)</w:t>
      </w:r>
      <w:r>
        <w:rPr>
          <w:sz w:val="14"/>
          <w:szCs w:val="14"/>
          <w:lang w:val="fr-CA"/>
        </w:rPr>
        <w:t xml:space="preserve">      </w:t>
      </w:r>
      <w:r>
        <w:rPr>
          <w:lang w:val="fr-CA"/>
        </w:rPr>
        <w:t>Quelle relation entre sexe et genre?</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2 grandes positions dans le débat</w:t>
      </w:r>
    </w:p>
    <w:p w:rsidR="004D16D5" w:rsidRPr="004D16D5" w:rsidRDefault="004D16D5" w:rsidP="004D16D5">
      <w:pPr>
        <w:pStyle w:val="ecxmsolistparagraph"/>
        <w:ind w:left="1778" w:hanging="360"/>
        <w:rPr>
          <w:lang w:val="fr-CA"/>
        </w:rPr>
      </w:pPr>
      <w:r>
        <w:rPr>
          <w:rFonts w:ascii="Symbol" w:hAnsi="Symbol"/>
          <w:lang w:val="fr-CA"/>
        </w:rPr>
        <w:t></w:t>
      </w:r>
      <w:r>
        <w:rPr>
          <w:sz w:val="14"/>
          <w:szCs w:val="14"/>
          <w:lang w:val="fr-CA"/>
        </w:rPr>
        <w:t xml:space="preserve">         </w:t>
      </w:r>
      <w:r>
        <w:rPr>
          <w:lang w:val="fr-CA"/>
        </w:rPr>
        <w:t>Sexe biologique détermine le genre (déterminisme biologique)</w:t>
      </w:r>
    </w:p>
    <w:p w:rsidR="004D16D5" w:rsidRPr="004D16D5" w:rsidRDefault="004D16D5" w:rsidP="004D16D5">
      <w:pPr>
        <w:pStyle w:val="ecxmsolistparagraph"/>
        <w:ind w:left="1778" w:hanging="360"/>
        <w:rPr>
          <w:lang w:val="fr-CA"/>
        </w:rPr>
      </w:pPr>
      <w:r>
        <w:rPr>
          <w:rFonts w:ascii="Symbol" w:hAnsi="Symbol"/>
          <w:lang w:val="fr-CA"/>
        </w:rPr>
        <w:t></w:t>
      </w:r>
      <w:r>
        <w:rPr>
          <w:sz w:val="14"/>
          <w:szCs w:val="14"/>
          <w:lang w:val="fr-CA"/>
        </w:rPr>
        <w:t xml:space="preserve">         </w:t>
      </w:r>
      <w:r>
        <w:rPr>
          <w:lang w:val="fr-CA"/>
        </w:rPr>
        <w:t>La culture définit le genre (constructivisme)</w:t>
      </w:r>
    </w:p>
    <w:p w:rsidR="004D16D5" w:rsidRPr="004D16D5" w:rsidRDefault="004D16D5" w:rsidP="004D16D5">
      <w:pPr>
        <w:pStyle w:val="ecxmsolistparagraph"/>
        <w:ind w:left="1778" w:hanging="360"/>
        <w:rPr>
          <w:lang w:val="fr-CA"/>
        </w:rPr>
      </w:pPr>
      <w:r>
        <w:rPr>
          <w:rFonts w:ascii="Symbol" w:hAnsi="Symbol"/>
          <w:lang w:val="fr-CA"/>
        </w:rPr>
        <w:t></w:t>
      </w:r>
      <w:r>
        <w:rPr>
          <w:sz w:val="14"/>
          <w:szCs w:val="14"/>
          <w:lang w:val="fr-CA"/>
        </w:rPr>
        <w:t xml:space="preserve">         </w:t>
      </w:r>
      <w:r>
        <w:rPr>
          <w:lang w:val="fr-CA"/>
        </w:rPr>
        <w:t>Noyau dur des croyances en des prédispositions innées : l’agressivité masculine et l’instinct maternel</w:t>
      </w:r>
    </w:p>
    <w:p w:rsidR="004D16D5" w:rsidRPr="004D16D5" w:rsidRDefault="004D16D5" w:rsidP="004D16D5">
      <w:pPr>
        <w:pStyle w:val="ecxmsolistparagraph"/>
        <w:ind w:left="1778"/>
        <w:rPr>
          <w:lang w:val="fr-CA"/>
        </w:rPr>
      </w:pPr>
      <w:r>
        <w:rPr>
          <w:lang w:val="fr-CA"/>
        </w:rPr>
        <w:t> </w:t>
      </w:r>
    </w:p>
    <w:p w:rsidR="004D16D5" w:rsidRPr="004D16D5" w:rsidRDefault="004D16D5" w:rsidP="004D16D5">
      <w:pPr>
        <w:pStyle w:val="ecxmsolistparagraph"/>
        <w:ind w:left="1069" w:hanging="360"/>
        <w:rPr>
          <w:lang w:val="fr-CA"/>
        </w:rPr>
      </w:pPr>
      <w:r>
        <w:rPr>
          <w:lang w:val="fr-CA"/>
        </w:rPr>
        <w:lastRenderedPageBreak/>
        <w:t>A)</w:t>
      </w:r>
      <w:r>
        <w:rPr>
          <w:sz w:val="14"/>
          <w:szCs w:val="14"/>
          <w:lang w:val="fr-CA"/>
        </w:rPr>
        <w:t xml:space="preserve">     </w:t>
      </w:r>
      <w:r>
        <w:rPr>
          <w:lang w:val="fr-CA"/>
        </w:rPr>
        <w:t>L’agressivité masculine</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Effet de la testostérone?</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 xml:space="preserve">Oui, mais : Il y a un rapport entre le statut (stress,…) et la testostérone </w:t>
      </w:r>
    </w:p>
    <w:p w:rsidR="004D16D5" w:rsidRPr="004D16D5" w:rsidRDefault="004D16D5" w:rsidP="004D16D5">
      <w:pPr>
        <w:pStyle w:val="ecxmsolistparagraph"/>
        <w:ind w:left="1069" w:hanging="360"/>
        <w:rPr>
          <w:lang w:val="fr-CA"/>
        </w:rPr>
      </w:pPr>
      <w:r>
        <w:rPr>
          <w:lang w:val="fr-CA"/>
        </w:rPr>
        <w:t>B)</w:t>
      </w:r>
      <w:r>
        <w:rPr>
          <w:sz w:val="14"/>
          <w:szCs w:val="14"/>
          <w:lang w:val="fr-CA"/>
        </w:rPr>
        <w:t xml:space="preserve">      </w:t>
      </w:r>
      <w:r>
        <w:rPr>
          <w:lang w:val="fr-CA"/>
        </w:rPr>
        <w:t>L’instinct maternel chez les femmes</w:t>
      </w:r>
    </w:p>
    <w:p w:rsidR="004D16D5" w:rsidRPr="004D16D5" w:rsidRDefault="004D16D5" w:rsidP="004D16D5">
      <w:pPr>
        <w:pStyle w:val="ecxmsolistparagraph"/>
        <w:ind w:left="1069" w:hanging="360"/>
        <w:rPr>
          <w:lang w:val="fr-CA"/>
        </w:rPr>
      </w:pPr>
      <w:r>
        <w:rPr>
          <w:rFonts w:ascii="Courier New" w:hAnsi="Courier New" w:cs="Courier New"/>
          <w:lang w:val="fr-CA"/>
        </w:rPr>
        <w:t>×</w:t>
      </w:r>
      <w:r>
        <w:rPr>
          <w:sz w:val="14"/>
          <w:szCs w:val="14"/>
          <w:lang w:val="fr-CA"/>
        </w:rPr>
        <w:t xml:space="preserve">   </w:t>
      </w:r>
      <w:r>
        <w:rPr>
          <w:lang w:val="fr-CA"/>
        </w:rPr>
        <w:t>Effet des hormones? (ocytocine et prolactine)</w:t>
      </w:r>
    </w:p>
    <w:p w:rsidR="004D16D5" w:rsidRPr="004D16D5" w:rsidRDefault="004D16D5" w:rsidP="004D16D5">
      <w:pPr>
        <w:pStyle w:val="ecxmsolistparagraph"/>
        <w:ind w:left="1778" w:hanging="360"/>
        <w:rPr>
          <w:lang w:val="fr-CA"/>
        </w:rPr>
      </w:pPr>
      <w:r>
        <w:rPr>
          <w:rFonts w:ascii="Courier New" w:hAnsi="Courier New" w:cs="Courier New"/>
          <w:lang w:val="fr-CA"/>
        </w:rPr>
        <w:t>×</w:t>
      </w:r>
      <w:r>
        <w:rPr>
          <w:sz w:val="14"/>
          <w:szCs w:val="14"/>
          <w:lang w:val="fr-CA"/>
        </w:rPr>
        <w:t xml:space="preserve">   </w:t>
      </w:r>
      <w:r>
        <w:rPr>
          <w:lang w:val="fr-CA"/>
        </w:rPr>
        <w:t>Oui, mais : biologie n’explique pas l’abandon d’un enfant</w:t>
      </w:r>
    </w:p>
    <w:p w:rsidR="004D16D5" w:rsidRPr="004D16D5" w:rsidRDefault="004D16D5" w:rsidP="004D16D5">
      <w:pPr>
        <w:pStyle w:val="ecxmsolistparagraph"/>
        <w:ind w:left="1778"/>
        <w:rPr>
          <w:lang w:val="fr-CA"/>
        </w:rPr>
      </w:pPr>
      <w:r>
        <w:rPr>
          <w:lang w:val="fr-CA"/>
        </w:rPr>
        <w:t> </w:t>
      </w:r>
    </w:p>
    <w:p w:rsidR="004D16D5" w:rsidRPr="004D16D5" w:rsidRDefault="004D16D5" w:rsidP="004D16D5">
      <w:pPr>
        <w:pStyle w:val="ecxmsolistparagraph"/>
        <w:ind w:hanging="360"/>
        <w:rPr>
          <w:lang w:val="fr-CA"/>
        </w:rPr>
      </w:pPr>
      <w:r>
        <w:rPr>
          <w:lang w:val="fr-CA"/>
        </w:rPr>
        <w:t>3)</w:t>
      </w:r>
      <w:r>
        <w:rPr>
          <w:sz w:val="14"/>
          <w:szCs w:val="14"/>
          <w:lang w:val="fr-CA"/>
        </w:rPr>
        <w:t xml:space="preserve">      </w:t>
      </w:r>
      <w:r>
        <w:rPr>
          <w:lang w:val="fr-CA"/>
        </w:rPr>
        <w:t>La contribution de l’Anthropologie</w:t>
      </w:r>
    </w:p>
    <w:p w:rsidR="004D16D5" w:rsidRPr="004D16D5" w:rsidRDefault="004D16D5" w:rsidP="004D16D5">
      <w:pPr>
        <w:pStyle w:val="ecxmsolistparagraph"/>
        <w:ind w:hanging="360"/>
        <w:rPr>
          <w:lang w:val="fr-CA"/>
        </w:rPr>
      </w:pPr>
      <w:r>
        <w:rPr>
          <w:lang w:val="fr-CA"/>
        </w:rPr>
        <w:t>-</w:t>
      </w:r>
      <w:r>
        <w:rPr>
          <w:sz w:val="14"/>
          <w:szCs w:val="14"/>
          <w:lang w:val="fr-CA"/>
        </w:rPr>
        <w:t xml:space="preserve">          </w:t>
      </w:r>
      <w:r>
        <w:rPr>
          <w:lang w:val="fr-CA"/>
        </w:rPr>
        <w:t>Les travaux de Margaret Mead</w:t>
      </w:r>
    </w:p>
    <w:p w:rsidR="004D16D5" w:rsidRPr="004D16D5" w:rsidRDefault="004D16D5" w:rsidP="004D16D5">
      <w:pPr>
        <w:pStyle w:val="ecxmsolistparagraph"/>
        <w:ind w:left="1069" w:hanging="360"/>
        <w:rPr>
          <w:lang w:val="fr-CA"/>
        </w:rPr>
      </w:pPr>
      <w:r>
        <w:rPr>
          <w:lang w:val="fr-CA"/>
        </w:rPr>
        <w:t>A)</w:t>
      </w:r>
      <w:r>
        <w:rPr>
          <w:sz w:val="14"/>
          <w:szCs w:val="14"/>
          <w:lang w:val="fr-CA"/>
        </w:rPr>
        <w:t xml:space="preserve">     </w:t>
      </w:r>
      <w:r>
        <w:rPr>
          <w:lang w:val="fr-CA"/>
        </w:rPr>
        <w:t>Les Arapesh : homme doux et coopératif (pas de violence)</w:t>
      </w:r>
    </w:p>
    <w:p w:rsidR="004D16D5" w:rsidRPr="004D16D5" w:rsidRDefault="004D16D5" w:rsidP="004D16D5">
      <w:pPr>
        <w:pStyle w:val="ecxmsolistparagraph"/>
        <w:ind w:left="1069"/>
        <w:rPr>
          <w:lang w:val="fr-CA"/>
        </w:rPr>
      </w:pPr>
      <w:r>
        <w:rPr>
          <w:lang w:val="fr-CA"/>
        </w:rPr>
        <w:t xml:space="preserve">Aussi des sociétés ou la violence masculine est activement découragée chez les enfants et les adultes </w:t>
      </w:r>
    </w:p>
    <w:p w:rsidR="004D16D5" w:rsidRPr="004D16D5" w:rsidRDefault="004D16D5" w:rsidP="004D16D5">
      <w:pPr>
        <w:pStyle w:val="ecxmsolistparagraph"/>
        <w:ind w:left="1069" w:hanging="360"/>
        <w:rPr>
          <w:lang w:val="fr-CA"/>
        </w:rPr>
      </w:pPr>
      <w:r>
        <w:rPr>
          <w:lang w:val="fr-CA"/>
        </w:rPr>
        <w:t>B)</w:t>
      </w:r>
      <w:r>
        <w:rPr>
          <w:sz w:val="14"/>
          <w:szCs w:val="14"/>
          <w:lang w:val="fr-CA"/>
        </w:rPr>
        <w:t xml:space="preserve">      </w:t>
      </w:r>
      <w:r>
        <w:rPr>
          <w:lang w:val="fr-CA"/>
        </w:rPr>
        <w:t>Les mundugumor : standardiser les comportements des hommes et femmes (très féminin ou très masculin), méfiance et hostilité, enfants violents, femmes autant que les hommes</w:t>
      </w:r>
    </w:p>
    <w:p w:rsidR="004D16D5" w:rsidRPr="004D16D5" w:rsidRDefault="004D16D5" w:rsidP="004D16D5">
      <w:pPr>
        <w:pStyle w:val="ecxmsolistparagraph"/>
        <w:ind w:left="1069" w:hanging="360"/>
        <w:rPr>
          <w:lang w:val="fr-CA"/>
        </w:rPr>
      </w:pPr>
      <w:r>
        <w:rPr>
          <w:lang w:val="fr-CA"/>
        </w:rPr>
        <w:t>C)</w:t>
      </w:r>
      <w:r>
        <w:rPr>
          <w:sz w:val="14"/>
          <w:szCs w:val="14"/>
          <w:lang w:val="fr-CA"/>
        </w:rPr>
        <w:t xml:space="preserve">      </w:t>
      </w:r>
      <w:r>
        <w:rPr>
          <w:lang w:val="fr-CA"/>
        </w:rPr>
        <w:t xml:space="preserve">Les </w:t>
      </w:r>
      <w:proofErr w:type="spellStart"/>
      <w:r>
        <w:rPr>
          <w:lang w:val="fr-CA"/>
        </w:rPr>
        <w:t>Chambuli</w:t>
      </w:r>
      <w:proofErr w:type="spellEnd"/>
      <w:r>
        <w:rPr>
          <w:lang w:val="fr-CA"/>
        </w:rPr>
        <w:t> : h et f différents, Hommes très charmant, doux, gentil. Femmes sont énergiques, responsable de la pêche, efficace, diplomate, initiative des activités sexuelles, petites filles sont plus actives que les petits garçons</w:t>
      </w: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4D16D5" w:rsidRDefault="004D16D5" w:rsidP="00AC23AB">
      <w:pPr>
        <w:pStyle w:val="ListParagraph"/>
        <w:jc w:val="both"/>
        <w:rPr>
          <w:b/>
        </w:rPr>
      </w:pPr>
    </w:p>
    <w:p w:rsidR="00995500" w:rsidRDefault="004D16D5" w:rsidP="00AC23AB">
      <w:pPr>
        <w:pStyle w:val="ListParagraph"/>
        <w:jc w:val="both"/>
        <w:rPr>
          <w:b/>
        </w:rPr>
      </w:pPr>
      <w:r>
        <w:rPr>
          <w:b/>
        </w:rPr>
        <w:lastRenderedPageBreak/>
        <w:t>Implications des travaux de Mead pour notre questionnement :</w:t>
      </w:r>
    </w:p>
    <w:p w:rsidR="004D16D5" w:rsidRDefault="004D16D5" w:rsidP="00AC23AB">
      <w:pPr>
        <w:pStyle w:val="ListParagraph"/>
        <w:jc w:val="both"/>
        <w:rPr>
          <w:b/>
        </w:rPr>
      </w:pPr>
    </w:p>
    <w:p w:rsidR="004D16D5" w:rsidRDefault="004D16D5" w:rsidP="004D16D5">
      <w:pPr>
        <w:pStyle w:val="ListParagraph"/>
        <w:jc w:val="both"/>
        <w:rPr>
          <w:b/>
        </w:rPr>
      </w:pPr>
      <w:r>
        <w:rPr>
          <w:b/>
        </w:rPr>
        <w:t xml:space="preserve">Arapesh, Mundugumor, </w:t>
      </w:r>
      <w:proofErr w:type="spellStart"/>
      <w:r>
        <w:rPr>
          <w:b/>
        </w:rPr>
        <w:t>Chambuli</w:t>
      </w:r>
      <w:proofErr w:type="spellEnd"/>
      <w:r>
        <w:rPr>
          <w:b/>
        </w:rPr>
        <w:t xml:space="preserve">= </w:t>
      </w:r>
    </w:p>
    <w:p w:rsidR="004D16D5" w:rsidRDefault="004D16D5" w:rsidP="004D16D5">
      <w:pPr>
        <w:pStyle w:val="ListParagraph"/>
        <w:numPr>
          <w:ilvl w:val="0"/>
          <w:numId w:val="14"/>
        </w:numPr>
        <w:jc w:val="both"/>
      </w:pPr>
      <w:r w:rsidRPr="004D16D5">
        <w:t xml:space="preserve">Femme, homme : ces </w:t>
      </w:r>
      <w:proofErr w:type="spellStart"/>
      <w:r>
        <w:t>categories</w:t>
      </w:r>
      <w:proofErr w:type="spellEnd"/>
      <w:r w:rsidRPr="004D16D5">
        <w:t xml:space="preserve"> e</w:t>
      </w:r>
      <w:r>
        <w:t>xistent dans toutes les cultures</w:t>
      </w:r>
    </w:p>
    <w:p w:rsidR="004D16D5" w:rsidRDefault="004D16D5" w:rsidP="004D16D5">
      <w:pPr>
        <w:pStyle w:val="ListParagraph"/>
        <w:numPr>
          <w:ilvl w:val="0"/>
          <w:numId w:val="14"/>
        </w:numPr>
        <w:jc w:val="both"/>
      </w:pPr>
      <w:r>
        <w:t>MAIS : les caractéristiques associées aux «Femmes» et celles associés aux «hommes» varient entre les cultures.</w:t>
      </w:r>
    </w:p>
    <w:p w:rsidR="004D16D5" w:rsidRDefault="004D16D5" w:rsidP="004D16D5">
      <w:pPr>
        <w:pStyle w:val="ListParagraph"/>
        <w:numPr>
          <w:ilvl w:val="0"/>
          <w:numId w:val="14"/>
        </w:numPr>
        <w:jc w:val="both"/>
      </w:pPr>
      <w:r>
        <w:t>Socialisation : produire les «femmes» et les «hommes» que chaque culture désire</w:t>
      </w:r>
    </w:p>
    <w:p w:rsidR="006C3FEA" w:rsidRPr="006C3FEA" w:rsidRDefault="0058126F" w:rsidP="004D16D5">
      <w:pPr>
        <w:pStyle w:val="ListParagraph"/>
        <w:numPr>
          <w:ilvl w:val="0"/>
          <w:numId w:val="14"/>
        </w:numPr>
        <w:jc w:val="both"/>
      </w:pPr>
      <w:r w:rsidRPr="0058126F">
        <w:rPr>
          <w:b/>
          <w:noProof/>
          <w:lang w:val="en-CA" w:eastAsia="en-C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265.5pt;margin-top:4.45pt;width:36pt;height:7.15pt;z-index:251658240" fillcolor="black [3213]"/>
        </w:pict>
      </w:r>
      <w:r w:rsidR="006C3FEA">
        <w:rPr>
          <w:b/>
        </w:rPr>
        <w:t>Femme, Homme/féminin, masculin      le genre = Constructions sociales et culturelles.</w:t>
      </w:r>
    </w:p>
    <w:p w:rsidR="006C3FEA" w:rsidRDefault="006C3FEA" w:rsidP="006C3FEA">
      <w:pPr>
        <w:jc w:val="both"/>
      </w:pPr>
    </w:p>
    <w:p w:rsidR="006C3FEA" w:rsidRDefault="006C3FEA" w:rsidP="006C3FEA">
      <w:pPr>
        <w:jc w:val="both"/>
      </w:pPr>
      <w:r>
        <w:t>Partie  2 – FEMMES, HOMMES, FÉMININ, MASCULIN : UN APPRENTISSAGE SOCIAL</w:t>
      </w:r>
    </w:p>
    <w:p w:rsidR="006C3FEA" w:rsidRDefault="006C3FEA" w:rsidP="006C3FEA">
      <w:pPr>
        <w:pStyle w:val="ListParagraph"/>
        <w:numPr>
          <w:ilvl w:val="0"/>
          <w:numId w:val="15"/>
        </w:numPr>
        <w:jc w:val="both"/>
      </w:pPr>
      <w:r>
        <w:t>Cour</w:t>
      </w:r>
      <w:r w:rsidR="00AD7E37">
        <w:t>s 6 – Sexe, genre, identité – e</w:t>
      </w:r>
      <w:r>
        <w:t>xemples</w:t>
      </w:r>
    </w:p>
    <w:p w:rsidR="006C3FEA" w:rsidRDefault="002A3D56" w:rsidP="006C3FEA">
      <w:pPr>
        <w:pStyle w:val="ListParagraph"/>
        <w:numPr>
          <w:ilvl w:val="0"/>
          <w:numId w:val="16"/>
        </w:numPr>
        <w:jc w:val="both"/>
      </w:pPr>
      <w:r>
        <w:t>La réaction</w:t>
      </w:r>
    </w:p>
    <w:p w:rsidR="002A3D56" w:rsidRDefault="002A3D56" w:rsidP="002A3D56">
      <w:pPr>
        <w:jc w:val="both"/>
      </w:pPr>
    </w:p>
    <w:p w:rsidR="002A3D56" w:rsidRDefault="002A3D56" w:rsidP="002A3D56">
      <w:pPr>
        <w:jc w:val="both"/>
      </w:pPr>
    </w:p>
    <w:p w:rsidR="002A3D56" w:rsidRDefault="002A3D56" w:rsidP="002A3D56">
      <w:pPr>
        <w:jc w:val="both"/>
      </w:pPr>
      <w:r>
        <w:t>1-La relation entre sexe et genre (suite)</w:t>
      </w:r>
    </w:p>
    <w:tbl>
      <w:tblPr>
        <w:tblStyle w:val="TableGrid"/>
        <w:tblW w:w="0" w:type="auto"/>
        <w:tblLook w:val="04A0"/>
      </w:tblPr>
      <w:tblGrid>
        <w:gridCol w:w="4788"/>
        <w:gridCol w:w="4788"/>
      </w:tblGrid>
      <w:tr w:rsidR="002A3D56" w:rsidTr="002A3D56">
        <w:tc>
          <w:tcPr>
            <w:tcW w:w="4788" w:type="dxa"/>
          </w:tcPr>
          <w:p w:rsidR="002A3D56" w:rsidRDefault="002A3D56" w:rsidP="005A0778">
            <w:pPr>
              <w:jc w:val="center"/>
            </w:pPr>
            <w:r>
              <w:t>SEXE (BIO)</w:t>
            </w:r>
          </w:p>
          <w:p w:rsidR="00F5007C" w:rsidRDefault="00F5007C" w:rsidP="005A0778">
            <w:pPr>
              <w:jc w:val="center"/>
            </w:pPr>
          </w:p>
        </w:tc>
        <w:tc>
          <w:tcPr>
            <w:tcW w:w="4788" w:type="dxa"/>
          </w:tcPr>
          <w:p w:rsidR="002A3D56" w:rsidRDefault="002A3D56" w:rsidP="005A0778">
            <w:pPr>
              <w:jc w:val="center"/>
            </w:pPr>
            <w:r>
              <w:t>GENRE (Construction sociales)</w:t>
            </w:r>
          </w:p>
        </w:tc>
      </w:tr>
      <w:tr w:rsidR="002A3D56" w:rsidTr="002A3D56">
        <w:tc>
          <w:tcPr>
            <w:tcW w:w="4788" w:type="dxa"/>
          </w:tcPr>
          <w:p w:rsidR="00F5007C" w:rsidRDefault="002A3D56" w:rsidP="002A3D56">
            <w:pPr>
              <w:jc w:val="both"/>
            </w:pPr>
            <w:r>
              <w:t>Femelle</w:t>
            </w:r>
          </w:p>
        </w:tc>
        <w:tc>
          <w:tcPr>
            <w:tcW w:w="4788" w:type="dxa"/>
          </w:tcPr>
          <w:p w:rsidR="002A3D56" w:rsidRDefault="0058126F" w:rsidP="002A3D56">
            <w:pPr>
              <w:jc w:val="both"/>
            </w:pPr>
            <w:r>
              <w:rPr>
                <w:noProof/>
                <w:lang w:val="en-CA" w:eastAsia="en-CA"/>
              </w:rPr>
              <w:pict>
                <v:shape id="_x0000_s1027" type="#_x0000_t13" style="position:absolute;left:0;text-align:left;margin-left:79.35pt;margin-top:3.7pt;width:16.5pt;height:7.15pt;z-index:251659264;mso-position-horizontal-relative:text;mso-position-vertical-relative:text" fillcolor="black [3213]"/>
              </w:pict>
            </w:r>
            <w:r w:rsidR="002A3D56">
              <w:t>= «Femmes»       Caract. «Féminines»</w:t>
            </w:r>
          </w:p>
        </w:tc>
      </w:tr>
      <w:tr w:rsidR="002A3D56" w:rsidTr="002A3D56">
        <w:tc>
          <w:tcPr>
            <w:tcW w:w="4788" w:type="dxa"/>
          </w:tcPr>
          <w:p w:rsidR="00F5007C" w:rsidRDefault="002A3D56" w:rsidP="002A3D56">
            <w:pPr>
              <w:jc w:val="both"/>
            </w:pPr>
            <w:r>
              <w:t>Mâle</w:t>
            </w:r>
          </w:p>
        </w:tc>
        <w:tc>
          <w:tcPr>
            <w:tcW w:w="4788" w:type="dxa"/>
          </w:tcPr>
          <w:p w:rsidR="002A3D56" w:rsidRDefault="0058126F" w:rsidP="002A3D56">
            <w:pPr>
              <w:jc w:val="both"/>
            </w:pPr>
            <w:r>
              <w:rPr>
                <w:noProof/>
                <w:lang w:val="en-CA" w:eastAsia="en-CA"/>
              </w:rPr>
              <w:pict>
                <v:shape id="_x0000_s1028" type="#_x0000_t13" style="position:absolute;left:0;text-align:left;margin-left:79.35pt;margin-top:1.75pt;width:16.5pt;height:7.15pt;z-index:251660288;mso-position-horizontal-relative:text;mso-position-vertical-relative:text" fillcolor="black [3213]"/>
              </w:pict>
            </w:r>
            <w:r w:rsidR="002A3D56">
              <w:t>= «Hommes»      Caract. «Masculines»</w:t>
            </w:r>
          </w:p>
        </w:tc>
      </w:tr>
    </w:tbl>
    <w:p w:rsidR="000D1C8C" w:rsidRDefault="000D1C8C" w:rsidP="002A3D56">
      <w:pPr>
        <w:jc w:val="both"/>
      </w:pPr>
    </w:p>
    <w:p w:rsidR="002A3D56" w:rsidRDefault="000D1C8C" w:rsidP="002A3D56">
      <w:pPr>
        <w:jc w:val="both"/>
      </w:pPr>
      <w:r>
        <w:t>Éponymie = donner un nom a quelqu'un qui est décidé</w:t>
      </w:r>
      <w:r w:rsidR="00645C2D">
        <w:t xml:space="preserve"> de la famille (réincarnation</w:t>
      </w:r>
      <w:r>
        <w:t xml:space="preserve">).  </w:t>
      </w:r>
      <w:r w:rsidR="00645C2D">
        <w:t>(</w:t>
      </w:r>
      <w:r w:rsidR="005A0778">
        <w:t>Dans</w:t>
      </w:r>
      <w:r w:rsidR="00645C2D">
        <w:t xml:space="preserve"> la lecture obligatoire)</w:t>
      </w:r>
    </w:p>
    <w:p w:rsidR="005A0778" w:rsidRDefault="005A0778" w:rsidP="002A3D56">
      <w:pPr>
        <w:jc w:val="both"/>
      </w:pPr>
    </w:p>
    <w:p w:rsidR="005A0778" w:rsidRDefault="005A0778" w:rsidP="002A3D56">
      <w:pPr>
        <w:jc w:val="both"/>
        <w:rPr>
          <w:u w:val="single"/>
        </w:rPr>
      </w:pPr>
      <w:r w:rsidRPr="005A0778">
        <w:rPr>
          <w:u w:val="single"/>
        </w:rPr>
        <w:t>2- Sexe biologique vs sexe social = le cas Inuit</w:t>
      </w:r>
    </w:p>
    <w:p w:rsidR="005A0778" w:rsidRPr="005A0778" w:rsidRDefault="005A0778" w:rsidP="005A0778">
      <w:pPr>
        <w:pStyle w:val="ListParagraph"/>
        <w:numPr>
          <w:ilvl w:val="0"/>
          <w:numId w:val="15"/>
        </w:numPr>
        <w:jc w:val="both"/>
        <w:rPr>
          <w:u w:val="single"/>
        </w:rPr>
      </w:pPr>
      <w:r>
        <w:t>Lecture obligatoire : les Inuit</w:t>
      </w:r>
    </w:p>
    <w:p w:rsidR="005A0778" w:rsidRPr="005A0778" w:rsidRDefault="005A0778" w:rsidP="005A0778">
      <w:pPr>
        <w:pStyle w:val="ListParagraph"/>
        <w:numPr>
          <w:ilvl w:val="0"/>
          <w:numId w:val="15"/>
        </w:numPr>
        <w:jc w:val="both"/>
        <w:rPr>
          <w:u w:val="single"/>
        </w:rPr>
      </w:pPr>
      <w:r>
        <w:t xml:space="preserve">Une socialisation enfantine inversée : </w:t>
      </w:r>
    </w:p>
    <w:p w:rsidR="005A0778" w:rsidRDefault="005A0778" w:rsidP="005A0778">
      <w:pPr>
        <w:pStyle w:val="ListParagraph"/>
        <w:spacing w:before="240"/>
        <w:jc w:val="both"/>
      </w:pPr>
      <w:r>
        <w:t xml:space="preserve">-Le nom, les termes d’adresse, les marqueurs = Une </w:t>
      </w:r>
      <w:r w:rsidRPr="005A0778">
        <w:rPr>
          <w:i/>
        </w:rPr>
        <w:t>non-correspondance</w:t>
      </w:r>
      <w:r>
        <w:t xml:space="preserve"> entre sexe biologique et sexe social (genre)</w:t>
      </w:r>
    </w:p>
    <w:p w:rsidR="005A0778" w:rsidRDefault="005A0778" w:rsidP="005A0778">
      <w:pPr>
        <w:pStyle w:val="ListParagraph"/>
        <w:numPr>
          <w:ilvl w:val="0"/>
          <w:numId w:val="18"/>
        </w:numPr>
        <w:spacing w:before="240"/>
        <w:jc w:val="both"/>
      </w:pPr>
      <w:r>
        <w:t>Le genre (sexe social) ne découle pas nécessairement du sexe biologique</w:t>
      </w:r>
    </w:p>
    <w:p w:rsidR="005A0778" w:rsidRDefault="005A0778" w:rsidP="005A0778">
      <w:pPr>
        <w:pStyle w:val="ListParagraph"/>
        <w:numPr>
          <w:ilvl w:val="0"/>
          <w:numId w:val="18"/>
        </w:numPr>
        <w:spacing w:before="240"/>
        <w:jc w:val="both"/>
      </w:pPr>
      <w:r>
        <w:t>«On ne naît pas femme, on le devient» (Simone de Beauvoir)</w:t>
      </w:r>
    </w:p>
    <w:p w:rsidR="005A0778" w:rsidRDefault="005A0778" w:rsidP="005A0778">
      <w:pPr>
        <w:pStyle w:val="ListParagraph"/>
        <w:numPr>
          <w:ilvl w:val="0"/>
          <w:numId w:val="18"/>
        </w:numPr>
        <w:spacing w:before="240"/>
        <w:jc w:val="both"/>
      </w:pPr>
      <w:r>
        <w:lastRenderedPageBreak/>
        <w:t>Notre identité de genre : un  produit de la socialisation</w:t>
      </w:r>
    </w:p>
    <w:p w:rsidR="005A0778" w:rsidRDefault="005A0778" w:rsidP="005A0778">
      <w:pPr>
        <w:spacing w:before="240"/>
        <w:ind w:left="360"/>
        <w:jc w:val="both"/>
      </w:pPr>
    </w:p>
    <w:p w:rsidR="005A0778" w:rsidRDefault="005A0778" w:rsidP="005A0778">
      <w:pPr>
        <w:spacing w:before="240"/>
        <w:ind w:left="360"/>
        <w:jc w:val="both"/>
      </w:pPr>
      <w:r>
        <w:t xml:space="preserve">3- Autres formes de </w:t>
      </w:r>
      <w:proofErr w:type="spellStart"/>
      <w:r>
        <w:t>transgenrisme</w:t>
      </w:r>
      <w:proofErr w:type="spellEnd"/>
      <w:r>
        <w:t> : culture autochtones Nord-Américaines (p.24 pour la cartes dans cahier FEM1501)</w:t>
      </w:r>
    </w:p>
    <w:p w:rsidR="005A0778" w:rsidRDefault="005A0778" w:rsidP="005A0778">
      <w:pPr>
        <w:pStyle w:val="ListParagraph"/>
        <w:numPr>
          <w:ilvl w:val="0"/>
          <w:numId w:val="19"/>
        </w:numPr>
        <w:spacing w:before="240"/>
        <w:jc w:val="both"/>
      </w:pPr>
      <w:r>
        <w:t>LE BERDACHISME (</w:t>
      </w:r>
      <w:proofErr w:type="spellStart"/>
      <w:r>
        <w:t>re</w:t>
      </w:r>
      <w:proofErr w:type="spellEnd"/>
      <w:r>
        <w:t> : BERDACHES)</w:t>
      </w:r>
    </w:p>
    <w:p w:rsidR="005A0778" w:rsidRDefault="005A0778" w:rsidP="005A0778">
      <w:pPr>
        <w:pStyle w:val="ListParagraph"/>
        <w:numPr>
          <w:ilvl w:val="0"/>
          <w:numId w:val="19"/>
        </w:numPr>
        <w:spacing w:before="240"/>
        <w:jc w:val="both"/>
      </w:pPr>
      <w:r>
        <w:t xml:space="preserve">Navajos : le </w:t>
      </w:r>
      <w:proofErr w:type="spellStart"/>
      <w:r w:rsidRPr="005A0778">
        <w:rPr>
          <w:i/>
        </w:rPr>
        <w:t>Nadleh</w:t>
      </w:r>
      <w:proofErr w:type="spellEnd"/>
      <w:r>
        <w:rPr>
          <w:i/>
        </w:rPr>
        <w:t xml:space="preserve"> </w:t>
      </w:r>
      <w:r>
        <w:t xml:space="preserve">(libre d’épouser des hommes ou des femmes, mais ne peuvent pas marier des </w:t>
      </w:r>
      <w:proofErr w:type="spellStart"/>
      <w:r w:rsidRPr="005A0778">
        <w:rPr>
          <w:i/>
        </w:rPr>
        <w:t>Nadleh</w:t>
      </w:r>
      <w:proofErr w:type="spellEnd"/>
      <w:r>
        <w:t>)</w:t>
      </w:r>
    </w:p>
    <w:p w:rsidR="00CE69AF" w:rsidRDefault="005A0778" w:rsidP="00CE69AF">
      <w:pPr>
        <w:pStyle w:val="ListParagraph"/>
        <w:numPr>
          <w:ilvl w:val="0"/>
          <w:numId w:val="19"/>
        </w:numPr>
        <w:spacing w:before="240"/>
        <w:jc w:val="both"/>
      </w:pPr>
      <w:r>
        <w:t xml:space="preserve">Mohaves : </w:t>
      </w:r>
      <w:proofErr w:type="spellStart"/>
      <w:r w:rsidRPr="005A0778">
        <w:rPr>
          <w:i/>
        </w:rPr>
        <w:t>Alyha</w:t>
      </w:r>
      <w:proofErr w:type="spellEnd"/>
      <w:r>
        <w:t xml:space="preserve"> et </w:t>
      </w:r>
      <w:proofErr w:type="spellStart"/>
      <w:r w:rsidRPr="005A0778">
        <w:rPr>
          <w:i/>
        </w:rPr>
        <w:t>Hwame</w:t>
      </w:r>
      <w:proofErr w:type="spellEnd"/>
      <w:r w:rsidR="00CE69AF">
        <w:rPr>
          <w:i/>
        </w:rPr>
        <w:t xml:space="preserve"> </w:t>
      </w:r>
      <w:r w:rsidR="00CE69AF">
        <w:t xml:space="preserve">(traiter comme femmes est d’avoir un statut élevé, propriétaire de leur propriété, donc très valorisé) (4 catégorie, femmes, hommes, biologiquement fille mais qui montre des préférences pour les jouets et vêtements masculin a l’enfance est devienne des </w:t>
      </w:r>
      <w:proofErr w:type="spellStart"/>
      <w:r w:rsidR="00CE69AF" w:rsidRPr="00CE69AF">
        <w:rPr>
          <w:i/>
        </w:rPr>
        <w:t>Hwame</w:t>
      </w:r>
      <w:proofErr w:type="spellEnd"/>
      <w:r w:rsidR="00CE69AF">
        <w:t xml:space="preserve">, donc elles vont </w:t>
      </w:r>
      <w:proofErr w:type="spellStart"/>
      <w:r w:rsidR="00CE69AF">
        <w:t>vivrent</w:t>
      </w:r>
      <w:proofErr w:type="spellEnd"/>
      <w:r w:rsidR="00CE69AF">
        <w:t xml:space="preserve"> comme des hommes. Donc peuvent épouser des femmes, et vont assumer la job  du père.</w:t>
      </w:r>
      <w:r w:rsidR="00CE69AF" w:rsidRPr="00CE69AF">
        <w:t xml:space="preserve"> </w:t>
      </w:r>
    </w:p>
    <w:p w:rsidR="005A0778" w:rsidRDefault="00CE69AF" w:rsidP="00CE69AF">
      <w:pPr>
        <w:pStyle w:val="ListParagraph"/>
        <w:spacing w:before="240"/>
        <w:ind w:left="1155"/>
        <w:jc w:val="both"/>
      </w:pPr>
      <w:r>
        <w:t xml:space="preserve">Biologiquement gars mais qui montre des préférences pour les jouets et vêtements féminin à l’enfance et devient des </w:t>
      </w:r>
      <w:proofErr w:type="spellStart"/>
      <w:proofErr w:type="gramStart"/>
      <w:r>
        <w:rPr>
          <w:i/>
        </w:rPr>
        <w:t>Alyha</w:t>
      </w:r>
      <w:proofErr w:type="spellEnd"/>
      <w:r>
        <w:t xml:space="preserve"> ,</w:t>
      </w:r>
      <w:proofErr w:type="gramEnd"/>
      <w:r>
        <w:t xml:space="preserve"> donc ils vont vivent comme des femmes. Donc peuvent épouser des hommes, et vont assumer la job  de la mère. Et une fois par mois va se couper la cuisse une fois par mois pour simuler les périodes, et va simuler la grossesse (avec des plantes qu’ils vont insérer dans eux)</w:t>
      </w:r>
    </w:p>
    <w:p w:rsidR="005A0778" w:rsidRDefault="005A0778" w:rsidP="005A0778">
      <w:pPr>
        <w:pStyle w:val="ListParagraph"/>
        <w:numPr>
          <w:ilvl w:val="0"/>
          <w:numId w:val="19"/>
        </w:numPr>
        <w:spacing w:before="240"/>
        <w:jc w:val="both"/>
      </w:pPr>
      <w:r>
        <w:t xml:space="preserve">Zunis : </w:t>
      </w:r>
      <w:proofErr w:type="spellStart"/>
      <w:r w:rsidRPr="005A0778">
        <w:rPr>
          <w:i/>
        </w:rPr>
        <w:t>lhamana</w:t>
      </w:r>
      <w:proofErr w:type="spellEnd"/>
      <w:r>
        <w:t xml:space="preserve"> (</w:t>
      </w:r>
      <w:proofErr w:type="spellStart"/>
      <w:r>
        <w:t>Two</w:t>
      </w:r>
      <w:proofErr w:type="spellEnd"/>
      <w:r>
        <w:t xml:space="preserve"> spirits)</w:t>
      </w:r>
      <w:r w:rsidR="00AC33A2">
        <w:t xml:space="preserve"> Hommes, femmes ou les deux. </w:t>
      </w:r>
      <w:r w:rsidR="00CE69AF">
        <w:t xml:space="preserve"> </w:t>
      </w:r>
    </w:p>
    <w:p w:rsidR="00E253B3" w:rsidRDefault="00E253B3" w:rsidP="00E253B3">
      <w:pPr>
        <w:spacing w:before="240"/>
        <w:jc w:val="both"/>
      </w:pPr>
    </w:p>
    <w:p w:rsidR="00E253B3" w:rsidRDefault="00E253B3" w:rsidP="00E253B3">
      <w:pPr>
        <w:spacing w:before="240"/>
        <w:jc w:val="right"/>
      </w:pPr>
      <w:r>
        <w:t>30 septembre</w:t>
      </w:r>
    </w:p>
    <w:p w:rsidR="005A0778" w:rsidRDefault="00E253B3" w:rsidP="005A0778">
      <w:pPr>
        <w:pStyle w:val="ListParagraph"/>
        <w:spacing w:before="240"/>
        <w:jc w:val="both"/>
        <w:rPr>
          <w:u w:val="single"/>
        </w:rPr>
      </w:pPr>
      <w:r w:rsidRPr="00E253B3">
        <w:rPr>
          <w:u w:val="single"/>
        </w:rPr>
        <w:t>Partie 2 – Femmes, Hommes, Féminité, masculinité : un apprentissage social</w:t>
      </w:r>
    </w:p>
    <w:p w:rsidR="00E253B3" w:rsidRDefault="00E253B3" w:rsidP="005A0778">
      <w:pPr>
        <w:pStyle w:val="ListParagraph"/>
        <w:spacing w:before="240"/>
        <w:jc w:val="both"/>
        <w:rPr>
          <w:u w:val="single"/>
        </w:rPr>
      </w:pPr>
    </w:p>
    <w:p w:rsidR="00E253B3" w:rsidRDefault="00E253B3" w:rsidP="005A0778">
      <w:pPr>
        <w:pStyle w:val="ListParagraph"/>
        <w:spacing w:before="240"/>
        <w:jc w:val="both"/>
      </w:pPr>
      <w:r>
        <w:t>Introduction :</w:t>
      </w:r>
    </w:p>
    <w:p w:rsidR="00E253B3" w:rsidRDefault="00E253B3" w:rsidP="00E253B3">
      <w:pPr>
        <w:pStyle w:val="ListParagraph"/>
        <w:numPr>
          <w:ilvl w:val="0"/>
          <w:numId w:val="20"/>
        </w:numPr>
        <w:spacing w:before="240"/>
        <w:jc w:val="both"/>
      </w:pPr>
      <w:r>
        <w:t>Des pratiques parentales différenciées en fonction du genre</w:t>
      </w:r>
    </w:p>
    <w:p w:rsidR="00E253B3" w:rsidRDefault="00E253B3" w:rsidP="00E253B3">
      <w:pPr>
        <w:pStyle w:val="ListParagraph"/>
        <w:numPr>
          <w:ilvl w:val="0"/>
          <w:numId w:val="20"/>
        </w:numPr>
        <w:spacing w:before="240"/>
        <w:jc w:val="both"/>
      </w:pPr>
      <w:r>
        <w:t>L’apprentissage du genre et de l’identité de genre par les enfants</w:t>
      </w:r>
    </w:p>
    <w:p w:rsidR="00E253B3" w:rsidRDefault="00E253B3" w:rsidP="00E253B3">
      <w:pPr>
        <w:pStyle w:val="ListParagraph"/>
        <w:numPr>
          <w:ilvl w:val="0"/>
          <w:numId w:val="20"/>
        </w:numPr>
        <w:spacing w:before="240"/>
        <w:jc w:val="both"/>
      </w:pPr>
      <w:r>
        <w:t>Les jouets et la littérature enfantine</w:t>
      </w:r>
    </w:p>
    <w:p w:rsidR="00F038CA" w:rsidRDefault="00F038CA" w:rsidP="00F038CA">
      <w:pPr>
        <w:pStyle w:val="ListParagraph"/>
        <w:spacing w:before="240"/>
        <w:ind w:left="2160"/>
        <w:jc w:val="both"/>
      </w:pPr>
    </w:p>
    <w:p w:rsidR="00F038CA" w:rsidRDefault="00F038CA" w:rsidP="00F038CA">
      <w:pPr>
        <w:pStyle w:val="ListParagraph"/>
        <w:spacing w:before="240"/>
        <w:ind w:left="2160"/>
        <w:jc w:val="both"/>
      </w:pPr>
    </w:p>
    <w:p w:rsidR="00F038CA" w:rsidRDefault="00F038CA" w:rsidP="00F038CA">
      <w:pPr>
        <w:pStyle w:val="ListParagraph"/>
        <w:spacing w:before="240"/>
        <w:ind w:left="2160"/>
        <w:jc w:val="both"/>
      </w:pPr>
    </w:p>
    <w:p w:rsidR="00F038CA" w:rsidRDefault="00F038CA" w:rsidP="00F038CA">
      <w:pPr>
        <w:pStyle w:val="ListParagraph"/>
        <w:spacing w:before="240"/>
        <w:ind w:left="2160"/>
        <w:jc w:val="both"/>
      </w:pPr>
    </w:p>
    <w:p w:rsidR="00F038CA" w:rsidRDefault="00F038CA" w:rsidP="00F038CA">
      <w:pPr>
        <w:pStyle w:val="ListParagraph"/>
        <w:numPr>
          <w:ilvl w:val="0"/>
          <w:numId w:val="21"/>
        </w:numPr>
        <w:spacing w:before="240"/>
        <w:jc w:val="both"/>
      </w:pPr>
      <w:r>
        <w:lastRenderedPageBreak/>
        <w:t>Des pratiques parentales différenciées en fonction du genre :</w:t>
      </w:r>
    </w:p>
    <w:p w:rsidR="00F038CA" w:rsidRDefault="00F038CA" w:rsidP="00F038CA">
      <w:pPr>
        <w:pStyle w:val="ListParagraph"/>
        <w:spacing w:before="240"/>
        <w:jc w:val="both"/>
      </w:pPr>
    </w:p>
    <w:p w:rsidR="00F038CA" w:rsidRDefault="00F038CA" w:rsidP="00F038CA">
      <w:pPr>
        <w:pStyle w:val="ListParagraph"/>
        <w:numPr>
          <w:ilvl w:val="0"/>
          <w:numId w:val="22"/>
        </w:numPr>
        <w:spacing w:before="240"/>
        <w:jc w:val="both"/>
      </w:pPr>
      <w:r>
        <w:t>Prénoms (nom qui peut aller pour les deux sexes), vêtements (rose encore pour fille avec petites fleurs et bleu encore pour garçon avec petites avions, trains, autos) et décorations (chambre en rose avec des princesse et des affaires de filles et garçon décoration d’avions, d’outils)</w:t>
      </w:r>
    </w:p>
    <w:p w:rsidR="00F038CA" w:rsidRDefault="00F038CA" w:rsidP="00F038CA">
      <w:pPr>
        <w:pStyle w:val="ListParagraph"/>
        <w:numPr>
          <w:ilvl w:val="0"/>
          <w:numId w:val="22"/>
        </w:numPr>
        <w:spacing w:before="240"/>
        <w:jc w:val="both"/>
      </w:pPr>
      <w:r>
        <w:t>Perception parentales de l’enfant</w:t>
      </w:r>
    </w:p>
    <w:p w:rsidR="00042E47" w:rsidRDefault="00042E47" w:rsidP="00042E47">
      <w:pPr>
        <w:pStyle w:val="ListParagraph"/>
        <w:numPr>
          <w:ilvl w:val="0"/>
          <w:numId w:val="5"/>
        </w:numPr>
        <w:spacing w:before="240"/>
        <w:jc w:val="both"/>
      </w:pPr>
      <w:r>
        <w:t>Expériences avec le «Bébé X»</w:t>
      </w:r>
    </w:p>
    <w:p w:rsidR="00042E47" w:rsidRDefault="00042E47" w:rsidP="00042E47">
      <w:pPr>
        <w:pStyle w:val="ListParagraph"/>
        <w:spacing w:before="240"/>
        <w:ind w:left="1440"/>
        <w:jc w:val="both"/>
      </w:pPr>
    </w:p>
    <w:p w:rsidR="00042E47" w:rsidRDefault="00042E47" w:rsidP="00F038CA">
      <w:pPr>
        <w:pStyle w:val="ListParagraph"/>
        <w:numPr>
          <w:ilvl w:val="0"/>
          <w:numId w:val="22"/>
        </w:numPr>
        <w:spacing w:before="240"/>
        <w:jc w:val="both"/>
      </w:pPr>
      <w:r>
        <w:t>Interactions des parents avec l’enfant=</w:t>
      </w:r>
    </w:p>
    <w:p w:rsidR="00042E47" w:rsidRDefault="00042E47" w:rsidP="00042E47">
      <w:pPr>
        <w:pStyle w:val="ListParagraph"/>
        <w:numPr>
          <w:ilvl w:val="0"/>
          <w:numId w:val="5"/>
        </w:numPr>
        <w:spacing w:before="240"/>
        <w:jc w:val="both"/>
      </w:pPr>
      <w:r>
        <w:t>Implication des parents (Garçons vs Filles)</w:t>
      </w:r>
    </w:p>
    <w:p w:rsidR="00042E47" w:rsidRDefault="00042E47" w:rsidP="00B67151">
      <w:pPr>
        <w:pStyle w:val="ListParagraph"/>
        <w:numPr>
          <w:ilvl w:val="0"/>
          <w:numId w:val="5"/>
        </w:numPr>
        <w:spacing w:before="240"/>
        <w:jc w:val="both"/>
      </w:pPr>
      <w:r>
        <w:t>Jouets proposés (G vs F)</w:t>
      </w:r>
    </w:p>
    <w:p w:rsidR="00B67151" w:rsidRDefault="00B67151" w:rsidP="00B67151">
      <w:pPr>
        <w:pStyle w:val="ListParagraph"/>
        <w:numPr>
          <w:ilvl w:val="0"/>
          <w:numId w:val="5"/>
        </w:numPr>
        <w:spacing w:before="240"/>
        <w:jc w:val="both"/>
      </w:pPr>
      <w:r>
        <w:t>Interactions durant le jeu (G vs F)</w:t>
      </w:r>
    </w:p>
    <w:p w:rsidR="00B67151" w:rsidRDefault="00B67151" w:rsidP="00B67151">
      <w:pPr>
        <w:pStyle w:val="ListParagraph"/>
        <w:numPr>
          <w:ilvl w:val="0"/>
          <w:numId w:val="5"/>
        </w:numPr>
        <w:spacing w:before="240"/>
        <w:jc w:val="both"/>
      </w:pPr>
      <w:r>
        <w:t>Réaction à l’expression des émotions (G vs F)</w:t>
      </w:r>
    </w:p>
    <w:p w:rsidR="00B67151" w:rsidRDefault="00B67151" w:rsidP="00A64D40">
      <w:pPr>
        <w:spacing w:before="240"/>
        <w:jc w:val="both"/>
      </w:pPr>
    </w:p>
    <w:p w:rsidR="00A64D40" w:rsidRDefault="00A64D40" w:rsidP="00A64D40">
      <w:pPr>
        <w:pStyle w:val="ListParagraph"/>
        <w:numPr>
          <w:ilvl w:val="0"/>
          <w:numId w:val="25"/>
        </w:numPr>
        <w:spacing w:before="240"/>
        <w:jc w:val="both"/>
      </w:pPr>
      <w:r>
        <w:t>Une participation active des enfants = cherchent à se conformer</w:t>
      </w:r>
    </w:p>
    <w:p w:rsidR="00A64D40" w:rsidRDefault="00A64D40" w:rsidP="00A64D40">
      <w:pPr>
        <w:pStyle w:val="ListParagraph"/>
        <w:numPr>
          <w:ilvl w:val="0"/>
          <w:numId w:val="25"/>
        </w:numPr>
        <w:spacing w:before="240"/>
        <w:jc w:val="both"/>
      </w:pPr>
      <w:r>
        <w:t>Théorie du schème de genre (</w:t>
      </w:r>
      <w:proofErr w:type="spellStart"/>
      <w:r>
        <w:t>Bem</w:t>
      </w:r>
      <w:proofErr w:type="spellEnd"/>
      <w:r>
        <w:t xml:space="preserve"> 1981)</w:t>
      </w:r>
    </w:p>
    <w:p w:rsidR="00091C94" w:rsidRDefault="00091C94" w:rsidP="00A64D40">
      <w:pPr>
        <w:pStyle w:val="ListParagraph"/>
        <w:numPr>
          <w:ilvl w:val="0"/>
          <w:numId w:val="25"/>
        </w:numPr>
        <w:spacing w:before="240"/>
        <w:jc w:val="both"/>
      </w:pPr>
      <w:r>
        <w:t xml:space="preserve">L’expérience de l’équipe de Diane-Poulin Dubois (2002) «Men </w:t>
      </w:r>
      <w:proofErr w:type="spellStart"/>
      <w:r>
        <w:t>don’t</w:t>
      </w:r>
      <w:proofErr w:type="spellEnd"/>
      <w:r>
        <w:t xml:space="preserve"> put on make-up»</w:t>
      </w:r>
    </w:p>
    <w:p w:rsidR="00115091" w:rsidRDefault="00115091" w:rsidP="00A64D40">
      <w:pPr>
        <w:pStyle w:val="ListParagraph"/>
        <w:numPr>
          <w:ilvl w:val="0"/>
          <w:numId w:val="25"/>
        </w:numPr>
        <w:spacing w:before="240"/>
        <w:jc w:val="both"/>
      </w:pPr>
      <w:r>
        <w:t>Théorie de l’apprentissage social</w:t>
      </w:r>
    </w:p>
    <w:p w:rsidR="00571305" w:rsidRDefault="00571305" w:rsidP="00571305">
      <w:pPr>
        <w:pStyle w:val="ListParagraph"/>
        <w:spacing w:before="240"/>
        <w:jc w:val="both"/>
      </w:pPr>
      <w:r>
        <w:t>-Conduites de transgression de genre (G vs F)</w:t>
      </w:r>
    </w:p>
    <w:p w:rsidR="00FB5D89" w:rsidRDefault="00FB5D89" w:rsidP="00571305">
      <w:pPr>
        <w:pStyle w:val="ListParagraph"/>
        <w:spacing w:before="240"/>
        <w:jc w:val="both"/>
      </w:pPr>
    </w:p>
    <w:p w:rsidR="00FB5D89" w:rsidRDefault="00FB5D89" w:rsidP="00571305">
      <w:pPr>
        <w:pStyle w:val="ListParagraph"/>
        <w:spacing w:before="240"/>
        <w:jc w:val="both"/>
      </w:pPr>
      <w:r>
        <w:t>LA LUTTÉRATURE ENFANTINE :</w:t>
      </w:r>
    </w:p>
    <w:p w:rsidR="00FB5D89" w:rsidRDefault="00FB5D89" w:rsidP="00FB5D89">
      <w:pPr>
        <w:pStyle w:val="ListParagraph"/>
        <w:numPr>
          <w:ilvl w:val="0"/>
          <w:numId w:val="26"/>
        </w:numPr>
        <w:spacing w:before="240"/>
        <w:jc w:val="both"/>
      </w:pPr>
      <w:r>
        <w:t>Prédominance du masculin</w:t>
      </w:r>
    </w:p>
    <w:p w:rsidR="00FB5D89" w:rsidRDefault="00FB5D89" w:rsidP="00FB5D89">
      <w:pPr>
        <w:pStyle w:val="ListParagraph"/>
        <w:numPr>
          <w:ilvl w:val="0"/>
          <w:numId w:val="26"/>
        </w:numPr>
        <w:spacing w:before="240"/>
        <w:jc w:val="both"/>
      </w:pPr>
      <w:r>
        <w:t>Stéréotypes : inférieur-extérieur; privé-public; passives-actifs</w:t>
      </w:r>
    </w:p>
    <w:p w:rsidR="00042E47" w:rsidRDefault="00042E47" w:rsidP="00042E47">
      <w:pPr>
        <w:spacing w:before="240"/>
        <w:ind w:left="360"/>
        <w:jc w:val="both"/>
      </w:pPr>
    </w:p>
    <w:p w:rsidR="0039456B" w:rsidRDefault="0039456B" w:rsidP="00042E47">
      <w:pPr>
        <w:spacing w:before="240"/>
        <w:ind w:left="360"/>
        <w:jc w:val="both"/>
      </w:pPr>
    </w:p>
    <w:p w:rsidR="0039456B" w:rsidRDefault="0039456B" w:rsidP="0039456B">
      <w:pPr>
        <w:spacing w:before="240"/>
        <w:ind w:left="360"/>
        <w:jc w:val="right"/>
      </w:pPr>
      <w:r>
        <w:t>4 octobre</w:t>
      </w:r>
    </w:p>
    <w:p w:rsidR="0039456B" w:rsidRPr="00050600" w:rsidRDefault="0039456B" w:rsidP="0039456B">
      <w:pPr>
        <w:spacing w:before="240"/>
        <w:ind w:left="360"/>
        <w:rPr>
          <w:u w:val="single"/>
        </w:rPr>
      </w:pPr>
      <w:r w:rsidRPr="00050600">
        <w:rPr>
          <w:u w:val="single"/>
        </w:rPr>
        <w:t>Cours 8 : socialisation et hyper sexualisation des filles :</w:t>
      </w:r>
    </w:p>
    <w:p w:rsidR="0039456B" w:rsidRDefault="0039456B" w:rsidP="0039456B">
      <w:pPr>
        <w:pStyle w:val="ListParagraph"/>
        <w:numPr>
          <w:ilvl w:val="0"/>
          <w:numId w:val="5"/>
        </w:numPr>
        <w:spacing w:before="240"/>
      </w:pPr>
      <w:r>
        <w:t>La socialisation au genre : Comprend aussi une part de socialisation sexuelle</w:t>
      </w:r>
    </w:p>
    <w:p w:rsidR="0039456B" w:rsidRDefault="0039456B" w:rsidP="0039456B">
      <w:pPr>
        <w:pStyle w:val="ListParagraph"/>
        <w:numPr>
          <w:ilvl w:val="0"/>
          <w:numId w:val="5"/>
        </w:numPr>
        <w:spacing w:before="240"/>
      </w:pPr>
      <w:r>
        <w:t>Socialisation et hyper sexualisation des filles : pourquoi?</w:t>
      </w:r>
    </w:p>
    <w:p w:rsidR="0039456B" w:rsidRDefault="0039456B" w:rsidP="0039456B">
      <w:pPr>
        <w:pStyle w:val="ListParagraph"/>
        <w:numPr>
          <w:ilvl w:val="0"/>
          <w:numId w:val="5"/>
        </w:numPr>
        <w:spacing w:before="240"/>
      </w:pPr>
      <w:r>
        <w:t>Sexualisation : def glossaire</w:t>
      </w:r>
    </w:p>
    <w:p w:rsidR="0039456B" w:rsidRDefault="0039456B" w:rsidP="0039456B">
      <w:pPr>
        <w:pStyle w:val="ListParagraph"/>
        <w:numPr>
          <w:ilvl w:val="0"/>
          <w:numId w:val="5"/>
        </w:numPr>
        <w:spacing w:before="240"/>
      </w:pPr>
      <w:r>
        <w:t>Association américaines de psychologue</w:t>
      </w:r>
    </w:p>
    <w:p w:rsidR="0039456B" w:rsidRDefault="0039456B" w:rsidP="0039456B">
      <w:pPr>
        <w:pStyle w:val="ListParagraph"/>
        <w:numPr>
          <w:ilvl w:val="0"/>
          <w:numId w:val="27"/>
        </w:numPr>
        <w:spacing w:before="240"/>
      </w:pPr>
      <w:r>
        <w:lastRenderedPageBreak/>
        <w:t>Il y a  sexualisation quand «la valeur d’</w:t>
      </w:r>
      <w:r w:rsidRPr="0039456B">
        <w:t>une personne n’</w:t>
      </w:r>
      <w:r>
        <w:t>a pour origine que son appa</w:t>
      </w:r>
      <w:r w:rsidRPr="0039456B">
        <w:t xml:space="preserve">rence physique ou son comportement sexuel, </w:t>
      </w:r>
      <w:r>
        <w:t>à l’exclusion de ses autres caractéristiques»</w:t>
      </w:r>
    </w:p>
    <w:p w:rsidR="0039456B" w:rsidRDefault="0039456B" w:rsidP="0039456B">
      <w:pPr>
        <w:pStyle w:val="ListParagraph"/>
        <w:numPr>
          <w:ilvl w:val="0"/>
          <w:numId w:val="27"/>
        </w:numPr>
        <w:spacing w:before="240"/>
      </w:pPr>
      <w:r>
        <w:t>«la sexualisation se distingue d’une sexualité saine, qui suppose un respect mutuel entre partenaire consentants.</w:t>
      </w:r>
    </w:p>
    <w:p w:rsidR="0039456B" w:rsidRDefault="00050600" w:rsidP="00050600">
      <w:pPr>
        <w:spacing w:before="240"/>
      </w:pPr>
      <w:r>
        <w:t>Questions :</w:t>
      </w:r>
    </w:p>
    <w:p w:rsidR="00050600" w:rsidRDefault="00050600" w:rsidP="00050600">
      <w:pPr>
        <w:pStyle w:val="ListParagraph"/>
        <w:numPr>
          <w:ilvl w:val="0"/>
          <w:numId w:val="31"/>
        </w:numPr>
        <w:spacing w:before="240"/>
      </w:pPr>
      <w:r>
        <w:t>L’hyper sexualisation : c’est quoi?</w:t>
      </w:r>
    </w:p>
    <w:p w:rsidR="00B13C1F" w:rsidRDefault="00B13C1F" w:rsidP="00B13C1F">
      <w:pPr>
        <w:pStyle w:val="ListParagraph"/>
        <w:numPr>
          <w:ilvl w:val="0"/>
          <w:numId w:val="5"/>
        </w:numPr>
        <w:spacing w:before="240"/>
      </w:pPr>
      <w:r>
        <w:t xml:space="preserve">Augmentation des images sexualisées, raccourci entre l’âge adulte et enfants, environnement des présentations = beaucoup plus sexuelle, publicités, viser sur les enfants très jeunes. </w:t>
      </w:r>
    </w:p>
    <w:p w:rsidR="00050600" w:rsidRDefault="00050600" w:rsidP="00050600">
      <w:pPr>
        <w:pStyle w:val="ListParagraph"/>
        <w:numPr>
          <w:ilvl w:val="0"/>
          <w:numId w:val="31"/>
        </w:numPr>
        <w:spacing w:before="240"/>
      </w:pPr>
      <w:r>
        <w:t>Quels messages? Et comment ils sont reçus?</w:t>
      </w:r>
    </w:p>
    <w:p w:rsidR="00B13C1F" w:rsidRDefault="003646EE" w:rsidP="00B13C1F">
      <w:pPr>
        <w:pStyle w:val="ListParagraph"/>
        <w:numPr>
          <w:ilvl w:val="0"/>
          <w:numId w:val="5"/>
        </w:numPr>
        <w:spacing w:before="240"/>
      </w:pPr>
      <w:r>
        <w:t>«Seule et unique forme de pouvoir», le style célébrité (avoir un style sexy et cool), les garçons doit être «Player», Shopping (pousser aux consommations – vêtements et cosmétiques), les filles reçoivent les images comme une sorte de pression à se conformer</w:t>
      </w:r>
    </w:p>
    <w:p w:rsidR="007E38BC" w:rsidRDefault="00050600" w:rsidP="007E38BC">
      <w:pPr>
        <w:pStyle w:val="ListParagraph"/>
        <w:numPr>
          <w:ilvl w:val="0"/>
          <w:numId w:val="31"/>
        </w:numPr>
        <w:spacing w:before="240"/>
      </w:pPr>
      <w:r>
        <w:t>Quelles causes? Quels facteurs?</w:t>
      </w:r>
    </w:p>
    <w:p w:rsidR="00050600" w:rsidRDefault="00050600" w:rsidP="00050600">
      <w:pPr>
        <w:pStyle w:val="ListParagraph"/>
        <w:numPr>
          <w:ilvl w:val="0"/>
          <w:numId w:val="31"/>
        </w:numPr>
        <w:spacing w:before="240"/>
      </w:pPr>
      <w:r>
        <w:t>Quelles conséquences?</w:t>
      </w:r>
    </w:p>
    <w:p w:rsidR="00DD29E2" w:rsidRDefault="00DD29E2" w:rsidP="00DD29E2">
      <w:pPr>
        <w:spacing w:before="240"/>
        <w:ind w:left="1134"/>
      </w:pPr>
    </w:p>
    <w:p w:rsidR="00E253B3" w:rsidRPr="00F038CA" w:rsidRDefault="00E253B3" w:rsidP="00E253B3">
      <w:pPr>
        <w:spacing w:before="240"/>
        <w:jc w:val="both"/>
        <w:rPr>
          <w:u w:val="single"/>
        </w:rPr>
      </w:pPr>
    </w:p>
    <w:p w:rsidR="00E253B3" w:rsidRPr="00E253B3" w:rsidRDefault="00E253B3" w:rsidP="005A0778">
      <w:pPr>
        <w:pStyle w:val="ListParagraph"/>
        <w:spacing w:before="240"/>
        <w:jc w:val="both"/>
      </w:pPr>
    </w:p>
    <w:p w:rsidR="005A0778" w:rsidRPr="004D16D5" w:rsidRDefault="005A0778" w:rsidP="002A3D56">
      <w:pPr>
        <w:jc w:val="both"/>
      </w:pPr>
    </w:p>
    <w:sectPr w:rsidR="005A0778" w:rsidRPr="004D16D5" w:rsidSect="00A645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608E"/>
    <w:multiLevelType w:val="hybridMultilevel"/>
    <w:tmpl w:val="6D54C95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61D3D18"/>
    <w:multiLevelType w:val="hybridMultilevel"/>
    <w:tmpl w:val="047C6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62503A"/>
    <w:multiLevelType w:val="hybridMultilevel"/>
    <w:tmpl w:val="2EDC0E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C7E6635"/>
    <w:multiLevelType w:val="hybridMultilevel"/>
    <w:tmpl w:val="FD10D370"/>
    <w:lvl w:ilvl="0" w:tplc="0EE4909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4A11C48"/>
    <w:multiLevelType w:val="hybridMultilevel"/>
    <w:tmpl w:val="A96AC09C"/>
    <w:lvl w:ilvl="0" w:tplc="532AE4D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FE7C43"/>
    <w:multiLevelType w:val="hybridMultilevel"/>
    <w:tmpl w:val="CC7C3C92"/>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
    <w:nsid w:val="163C3C37"/>
    <w:multiLevelType w:val="hybridMultilevel"/>
    <w:tmpl w:val="685E4B46"/>
    <w:lvl w:ilvl="0" w:tplc="DBE22CB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34487F"/>
    <w:multiLevelType w:val="hybridMultilevel"/>
    <w:tmpl w:val="2952B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5A5A85"/>
    <w:multiLevelType w:val="hybridMultilevel"/>
    <w:tmpl w:val="9D3EF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83730B"/>
    <w:multiLevelType w:val="hybridMultilevel"/>
    <w:tmpl w:val="FE62AF00"/>
    <w:lvl w:ilvl="0" w:tplc="EBA6F9B4">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775BDE"/>
    <w:multiLevelType w:val="hybridMultilevel"/>
    <w:tmpl w:val="846A422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219213B8"/>
    <w:multiLevelType w:val="hybridMultilevel"/>
    <w:tmpl w:val="7424F5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48C36AB"/>
    <w:multiLevelType w:val="hybridMultilevel"/>
    <w:tmpl w:val="39ACF7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64A1B33"/>
    <w:multiLevelType w:val="hybridMultilevel"/>
    <w:tmpl w:val="726648E4"/>
    <w:lvl w:ilvl="0" w:tplc="C736EF1C">
      <w:start w:val="1"/>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6C6222F"/>
    <w:multiLevelType w:val="hybridMultilevel"/>
    <w:tmpl w:val="60C02E8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6300584"/>
    <w:multiLevelType w:val="hybridMultilevel"/>
    <w:tmpl w:val="A560E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995764"/>
    <w:multiLevelType w:val="hybridMultilevel"/>
    <w:tmpl w:val="09D457DC"/>
    <w:lvl w:ilvl="0" w:tplc="B88A220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nsid w:val="3AD82FCB"/>
    <w:multiLevelType w:val="hybridMultilevel"/>
    <w:tmpl w:val="6A0A9188"/>
    <w:lvl w:ilvl="0" w:tplc="EBA6F9B4">
      <w:start w:val="1"/>
      <w:numFmt w:val="bullet"/>
      <w:lvlText w:val=""/>
      <w:lvlJc w:val="left"/>
      <w:pPr>
        <w:ind w:left="1860" w:hanging="360"/>
      </w:pPr>
      <w:rPr>
        <w:rFonts w:ascii="Wingdings" w:hAnsi="Wingdings" w:hint="default"/>
      </w:rPr>
    </w:lvl>
    <w:lvl w:ilvl="1" w:tplc="10090003" w:tentative="1">
      <w:start w:val="1"/>
      <w:numFmt w:val="bullet"/>
      <w:lvlText w:val="o"/>
      <w:lvlJc w:val="left"/>
      <w:pPr>
        <w:ind w:left="2580" w:hanging="360"/>
      </w:pPr>
      <w:rPr>
        <w:rFonts w:ascii="Courier New" w:hAnsi="Courier New" w:cs="Courier New" w:hint="default"/>
      </w:rPr>
    </w:lvl>
    <w:lvl w:ilvl="2" w:tplc="10090005" w:tentative="1">
      <w:start w:val="1"/>
      <w:numFmt w:val="bullet"/>
      <w:lvlText w:val=""/>
      <w:lvlJc w:val="left"/>
      <w:pPr>
        <w:ind w:left="3300" w:hanging="360"/>
      </w:pPr>
      <w:rPr>
        <w:rFonts w:ascii="Wingdings" w:hAnsi="Wingdings" w:hint="default"/>
      </w:rPr>
    </w:lvl>
    <w:lvl w:ilvl="3" w:tplc="10090001" w:tentative="1">
      <w:start w:val="1"/>
      <w:numFmt w:val="bullet"/>
      <w:lvlText w:val=""/>
      <w:lvlJc w:val="left"/>
      <w:pPr>
        <w:ind w:left="4020" w:hanging="360"/>
      </w:pPr>
      <w:rPr>
        <w:rFonts w:ascii="Symbol" w:hAnsi="Symbol" w:hint="default"/>
      </w:rPr>
    </w:lvl>
    <w:lvl w:ilvl="4" w:tplc="10090003" w:tentative="1">
      <w:start w:val="1"/>
      <w:numFmt w:val="bullet"/>
      <w:lvlText w:val="o"/>
      <w:lvlJc w:val="left"/>
      <w:pPr>
        <w:ind w:left="4740" w:hanging="360"/>
      </w:pPr>
      <w:rPr>
        <w:rFonts w:ascii="Courier New" w:hAnsi="Courier New" w:cs="Courier New" w:hint="default"/>
      </w:rPr>
    </w:lvl>
    <w:lvl w:ilvl="5" w:tplc="10090005" w:tentative="1">
      <w:start w:val="1"/>
      <w:numFmt w:val="bullet"/>
      <w:lvlText w:val=""/>
      <w:lvlJc w:val="left"/>
      <w:pPr>
        <w:ind w:left="5460" w:hanging="360"/>
      </w:pPr>
      <w:rPr>
        <w:rFonts w:ascii="Wingdings" w:hAnsi="Wingdings" w:hint="default"/>
      </w:rPr>
    </w:lvl>
    <w:lvl w:ilvl="6" w:tplc="10090001" w:tentative="1">
      <w:start w:val="1"/>
      <w:numFmt w:val="bullet"/>
      <w:lvlText w:val=""/>
      <w:lvlJc w:val="left"/>
      <w:pPr>
        <w:ind w:left="6180" w:hanging="360"/>
      </w:pPr>
      <w:rPr>
        <w:rFonts w:ascii="Symbol" w:hAnsi="Symbol" w:hint="default"/>
      </w:rPr>
    </w:lvl>
    <w:lvl w:ilvl="7" w:tplc="10090003" w:tentative="1">
      <w:start w:val="1"/>
      <w:numFmt w:val="bullet"/>
      <w:lvlText w:val="o"/>
      <w:lvlJc w:val="left"/>
      <w:pPr>
        <w:ind w:left="6900" w:hanging="360"/>
      </w:pPr>
      <w:rPr>
        <w:rFonts w:ascii="Courier New" w:hAnsi="Courier New" w:cs="Courier New" w:hint="default"/>
      </w:rPr>
    </w:lvl>
    <w:lvl w:ilvl="8" w:tplc="10090005" w:tentative="1">
      <w:start w:val="1"/>
      <w:numFmt w:val="bullet"/>
      <w:lvlText w:val=""/>
      <w:lvlJc w:val="left"/>
      <w:pPr>
        <w:ind w:left="7620" w:hanging="360"/>
      </w:pPr>
      <w:rPr>
        <w:rFonts w:ascii="Wingdings" w:hAnsi="Wingdings" w:hint="default"/>
      </w:rPr>
    </w:lvl>
  </w:abstractNum>
  <w:abstractNum w:abstractNumId="18">
    <w:nsid w:val="3BA160D4"/>
    <w:multiLevelType w:val="hybridMultilevel"/>
    <w:tmpl w:val="CBFC10C4"/>
    <w:lvl w:ilvl="0" w:tplc="C736EF1C">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3497F48"/>
    <w:multiLevelType w:val="hybridMultilevel"/>
    <w:tmpl w:val="D33AE246"/>
    <w:lvl w:ilvl="0" w:tplc="10090001">
      <w:start w:val="1"/>
      <w:numFmt w:val="bullet"/>
      <w:lvlText w:val=""/>
      <w:lvlJc w:val="left"/>
      <w:pPr>
        <w:ind w:left="1155" w:hanging="360"/>
      </w:pPr>
      <w:rPr>
        <w:rFonts w:ascii="Symbol" w:hAnsi="Symbol" w:hint="default"/>
      </w:rPr>
    </w:lvl>
    <w:lvl w:ilvl="1" w:tplc="10090003" w:tentative="1">
      <w:start w:val="1"/>
      <w:numFmt w:val="bullet"/>
      <w:lvlText w:val="o"/>
      <w:lvlJc w:val="left"/>
      <w:pPr>
        <w:ind w:left="1875" w:hanging="360"/>
      </w:pPr>
      <w:rPr>
        <w:rFonts w:ascii="Courier New" w:hAnsi="Courier New" w:cs="Courier New" w:hint="default"/>
      </w:rPr>
    </w:lvl>
    <w:lvl w:ilvl="2" w:tplc="10090005" w:tentative="1">
      <w:start w:val="1"/>
      <w:numFmt w:val="bullet"/>
      <w:lvlText w:val=""/>
      <w:lvlJc w:val="left"/>
      <w:pPr>
        <w:ind w:left="2595" w:hanging="360"/>
      </w:pPr>
      <w:rPr>
        <w:rFonts w:ascii="Wingdings" w:hAnsi="Wingdings" w:hint="default"/>
      </w:rPr>
    </w:lvl>
    <w:lvl w:ilvl="3" w:tplc="10090001" w:tentative="1">
      <w:start w:val="1"/>
      <w:numFmt w:val="bullet"/>
      <w:lvlText w:val=""/>
      <w:lvlJc w:val="left"/>
      <w:pPr>
        <w:ind w:left="3315" w:hanging="360"/>
      </w:pPr>
      <w:rPr>
        <w:rFonts w:ascii="Symbol" w:hAnsi="Symbol" w:hint="default"/>
      </w:rPr>
    </w:lvl>
    <w:lvl w:ilvl="4" w:tplc="10090003" w:tentative="1">
      <w:start w:val="1"/>
      <w:numFmt w:val="bullet"/>
      <w:lvlText w:val="o"/>
      <w:lvlJc w:val="left"/>
      <w:pPr>
        <w:ind w:left="4035" w:hanging="360"/>
      </w:pPr>
      <w:rPr>
        <w:rFonts w:ascii="Courier New" w:hAnsi="Courier New" w:cs="Courier New" w:hint="default"/>
      </w:rPr>
    </w:lvl>
    <w:lvl w:ilvl="5" w:tplc="10090005" w:tentative="1">
      <w:start w:val="1"/>
      <w:numFmt w:val="bullet"/>
      <w:lvlText w:val=""/>
      <w:lvlJc w:val="left"/>
      <w:pPr>
        <w:ind w:left="4755" w:hanging="360"/>
      </w:pPr>
      <w:rPr>
        <w:rFonts w:ascii="Wingdings" w:hAnsi="Wingdings" w:hint="default"/>
      </w:rPr>
    </w:lvl>
    <w:lvl w:ilvl="6" w:tplc="10090001" w:tentative="1">
      <w:start w:val="1"/>
      <w:numFmt w:val="bullet"/>
      <w:lvlText w:val=""/>
      <w:lvlJc w:val="left"/>
      <w:pPr>
        <w:ind w:left="5475" w:hanging="360"/>
      </w:pPr>
      <w:rPr>
        <w:rFonts w:ascii="Symbol" w:hAnsi="Symbol" w:hint="default"/>
      </w:rPr>
    </w:lvl>
    <w:lvl w:ilvl="7" w:tplc="10090003" w:tentative="1">
      <w:start w:val="1"/>
      <w:numFmt w:val="bullet"/>
      <w:lvlText w:val="o"/>
      <w:lvlJc w:val="left"/>
      <w:pPr>
        <w:ind w:left="6195" w:hanging="360"/>
      </w:pPr>
      <w:rPr>
        <w:rFonts w:ascii="Courier New" w:hAnsi="Courier New" w:cs="Courier New" w:hint="default"/>
      </w:rPr>
    </w:lvl>
    <w:lvl w:ilvl="8" w:tplc="10090005" w:tentative="1">
      <w:start w:val="1"/>
      <w:numFmt w:val="bullet"/>
      <w:lvlText w:val=""/>
      <w:lvlJc w:val="left"/>
      <w:pPr>
        <w:ind w:left="6915" w:hanging="360"/>
      </w:pPr>
      <w:rPr>
        <w:rFonts w:ascii="Wingdings" w:hAnsi="Wingdings" w:hint="default"/>
      </w:rPr>
    </w:lvl>
  </w:abstractNum>
  <w:abstractNum w:abstractNumId="20">
    <w:nsid w:val="4653324C"/>
    <w:multiLevelType w:val="hybridMultilevel"/>
    <w:tmpl w:val="827EA6F6"/>
    <w:lvl w:ilvl="0" w:tplc="C736EF1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364958"/>
    <w:multiLevelType w:val="hybridMultilevel"/>
    <w:tmpl w:val="1F66F128"/>
    <w:lvl w:ilvl="0" w:tplc="3DF8D438">
      <w:start w:val="1"/>
      <w:numFmt w:val="decimal"/>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1421226"/>
    <w:multiLevelType w:val="hybridMultilevel"/>
    <w:tmpl w:val="BBF06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33023B7"/>
    <w:multiLevelType w:val="hybridMultilevel"/>
    <w:tmpl w:val="C36ED7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55E86E11"/>
    <w:multiLevelType w:val="hybridMultilevel"/>
    <w:tmpl w:val="7B281FE2"/>
    <w:lvl w:ilvl="0" w:tplc="C736EF1C">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5B1447C2"/>
    <w:multiLevelType w:val="hybridMultilevel"/>
    <w:tmpl w:val="45B21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C975B14"/>
    <w:multiLevelType w:val="hybridMultilevel"/>
    <w:tmpl w:val="560CA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6C427FD"/>
    <w:multiLevelType w:val="hybridMultilevel"/>
    <w:tmpl w:val="BFD60860"/>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6CEB36BA"/>
    <w:multiLevelType w:val="hybridMultilevel"/>
    <w:tmpl w:val="E3CC92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781FB5"/>
    <w:multiLevelType w:val="hybridMultilevel"/>
    <w:tmpl w:val="1D78D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3891D7F"/>
    <w:multiLevelType w:val="hybridMultilevel"/>
    <w:tmpl w:val="77BCD44A"/>
    <w:lvl w:ilvl="0" w:tplc="B88A2202">
      <w:start w:val="1"/>
      <w:numFmt w:val="decimal"/>
      <w:lvlText w:val="%1."/>
      <w:lvlJc w:val="left"/>
      <w:pPr>
        <w:ind w:left="149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6"/>
  </w:num>
  <w:num w:numId="5">
    <w:abstractNumId w:val="24"/>
  </w:num>
  <w:num w:numId="6">
    <w:abstractNumId w:val="9"/>
  </w:num>
  <w:num w:numId="7">
    <w:abstractNumId w:val="22"/>
  </w:num>
  <w:num w:numId="8">
    <w:abstractNumId w:val="25"/>
  </w:num>
  <w:num w:numId="9">
    <w:abstractNumId w:val="13"/>
  </w:num>
  <w:num w:numId="10">
    <w:abstractNumId w:val="28"/>
  </w:num>
  <w:num w:numId="11">
    <w:abstractNumId w:val="8"/>
  </w:num>
  <w:num w:numId="12">
    <w:abstractNumId w:val="29"/>
  </w:num>
  <w:num w:numId="13">
    <w:abstractNumId w:val="23"/>
  </w:num>
  <w:num w:numId="14">
    <w:abstractNumId w:val="12"/>
  </w:num>
  <w:num w:numId="15">
    <w:abstractNumId w:val="26"/>
  </w:num>
  <w:num w:numId="16">
    <w:abstractNumId w:val="10"/>
  </w:num>
  <w:num w:numId="17">
    <w:abstractNumId w:val="2"/>
  </w:num>
  <w:num w:numId="18">
    <w:abstractNumId w:val="15"/>
  </w:num>
  <w:num w:numId="19">
    <w:abstractNumId w:val="19"/>
  </w:num>
  <w:num w:numId="20">
    <w:abstractNumId w:val="5"/>
  </w:num>
  <w:num w:numId="21">
    <w:abstractNumId w:val="21"/>
  </w:num>
  <w:num w:numId="22">
    <w:abstractNumId w:val="0"/>
  </w:num>
  <w:num w:numId="23">
    <w:abstractNumId w:val="27"/>
  </w:num>
  <w:num w:numId="24">
    <w:abstractNumId w:val="14"/>
  </w:num>
  <w:num w:numId="25">
    <w:abstractNumId w:val="7"/>
  </w:num>
  <w:num w:numId="26">
    <w:abstractNumId w:val="11"/>
  </w:num>
  <w:num w:numId="27">
    <w:abstractNumId w:val="17"/>
  </w:num>
  <w:num w:numId="28">
    <w:abstractNumId w:val="20"/>
  </w:num>
  <w:num w:numId="29">
    <w:abstractNumId w:val="18"/>
  </w:num>
  <w:num w:numId="30">
    <w:abstractNumId w:val="16"/>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C23AB"/>
    <w:rsid w:val="00042E47"/>
    <w:rsid w:val="00050600"/>
    <w:rsid w:val="00091C94"/>
    <w:rsid w:val="000A332B"/>
    <w:rsid w:val="000D1C8C"/>
    <w:rsid w:val="00115091"/>
    <w:rsid w:val="002A3D56"/>
    <w:rsid w:val="0035561C"/>
    <w:rsid w:val="003646EE"/>
    <w:rsid w:val="0039456B"/>
    <w:rsid w:val="004D16D5"/>
    <w:rsid w:val="00571305"/>
    <w:rsid w:val="0058126F"/>
    <w:rsid w:val="005A0016"/>
    <w:rsid w:val="005A0778"/>
    <w:rsid w:val="005D0AD2"/>
    <w:rsid w:val="00645C2D"/>
    <w:rsid w:val="006C3FEA"/>
    <w:rsid w:val="00725C84"/>
    <w:rsid w:val="007D0453"/>
    <w:rsid w:val="007E38BC"/>
    <w:rsid w:val="0083769E"/>
    <w:rsid w:val="0085374C"/>
    <w:rsid w:val="00963795"/>
    <w:rsid w:val="00995500"/>
    <w:rsid w:val="009C59AE"/>
    <w:rsid w:val="00A63D73"/>
    <w:rsid w:val="00A64540"/>
    <w:rsid w:val="00A64D40"/>
    <w:rsid w:val="00A71149"/>
    <w:rsid w:val="00A80D0F"/>
    <w:rsid w:val="00AC23AB"/>
    <w:rsid w:val="00AC33A2"/>
    <w:rsid w:val="00AD7E37"/>
    <w:rsid w:val="00B13C1F"/>
    <w:rsid w:val="00B613AF"/>
    <w:rsid w:val="00B67151"/>
    <w:rsid w:val="00B74961"/>
    <w:rsid w:val="00BA6166"/>
    <w:rsid w:val="00C16882"/>
    <w:rsid w:val="00C55F21"/>
    <w:rsid w:val="00CE69AF"/>
    <w:rsid w:val="00D23F24"/>
    <w:rsid w:val="00DD29E2"/>
    <w:rsid w:val="00E253B3"/>
    <w:rsid w:val="00E405F0"/>
    <w:rsid w:val="00EC0439"/>
    <w:rsid w:val="00ED735F"/>
    <w:rsid w:val="00F038CA"/>
    <w:rsid w:val="00F37768"/>
    <w:rsid w:val="00F5007C"/>
    <w:rsid w:val="00FB5D89"/>
    <w:rsid w:val="00FD274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pacing w:val="32"/>
        <w:kern w:val="144"/>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4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3AB"/>
    <w:pPr>
      <w:ind w:left="720"/>
      <w:contextualSpacing/>
    </w:pPr>
  </w:style>
  <w:style w:type="paragraph" w:customStyle="1" w:styleId="ecxmsonormal">
    <w:name w:val="ecxmsonormal"/>
    <w:basedOn w:val="Normal"/>
    <w:rsid w:val="004D16D5"/>
    <w:pPr>
      <w:spacing w:before="100" w:beforeAutospacing="1" w:after="100" w:afterAutospacing="1" w:line="240" w:lineRule="auto"/>
    </w:pPr>
    <w:rPr>
      <w:rFonts w:ascii="Times New Roman" w:eastAsia="Times New Roman" w:hAnsi="Times New Roman" w:cs="Times New Roman"/>
      <w:spacing w:val="0"/>
      <w:kern w:val="0"/>
      <w:sz w:val="24"/>
      <w:szCs w:val="24"/>
      <w:lang w:val="en-CA" w:eastAsia="en-CA"/>
    </w:rPr>
  </w:style>
  <w:style w:type="paragraph" w:customStyle="1" w:styleId="ecxmsolistparagraph">
    <w:name w:val="ecxmsolistparagraph"/>
    <w:basedOn w:val="Normal"/>
    <w:rsid w:val="004D16D5"/>
    <w:pPr>
      <w:spacing w:before="100" w:beforeAutospacing="1" w:after="100" w:afterAutospacing="1" w:line="240" w:lineRule="auto"/>
    </w:pPr>
    <w:rPr>
      <w:rFonts w:ascii="Times New Roman" w:eastAsia="Times New Roman" w:hAnsi="Times New Roman" w:cs="Times New Roman"/>
      <w:spacing w:val="0"/>
      <w:kern w:val="0"/>
      <w:sz w:val="24"/>
      <w:szCs w:val="24"/>
      <w:lang w:val="en-CA" w:eastAsia="en-CA"/>
    </w:rPr>
  </w:style>
  <w:style w:type="table" w:styleId="TableGrid">
    <w:name w:val="Table Grid"/>
    <w:basedOn w:val="TableNormal"/>
    <w:uiPriority w:val="59"/>
    <w:rsid w:val="002A3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7166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99A73-E8DE-4354-A75B-6596E25A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8</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33</cp:revision>
  <dcterms:created xsi:type="dcterms:W3CDTF">2010-09-20T15:42:00Z</dcterms:created>
  <dcterms:modified xsi:type="dcterms:W3CDTF">2010-10-18T13:13:00Z</dcterms:modified>
</cp:coreProperties>
</file>