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627B4E" w14:textId="016C89DB" w:rsidR="00FD124D" w:rsidRDefault="008C6063" w:rsidP="00453E9E">
      <w:pPr>
        <w:jc w:val="center"/>
        <w:rPr>
          <w:rFonts w:ascii="Arial" w:hAnsi="Arial" w:cs="Arial"/>
          <w:b/>
          <w:i/>
          <w:sz w:val="48"/>
          <w:u w:val="single"/>
        </w:rPr>
      </w:pPr>
      <w:r w:rsidRPr="00453E9E">
        <w:rPr>
          <w:rFonts w:ascii="Arial" w:hAnsi="Arial" w:cs="Arial"/>
          <w:b/>
          <w:i/>
          <w:sz w:val="48"/>
          <w:u w:val="single"/>
        </w:rPr>
        <w:t>Accounting Information System</w:t>
      </w:r>
    </w:p>
    <w:p w14:paraId="3BF14BAF" w14:textId="77777777" w:rsidR="00453E9E" w:rsidRDefault="00453E9E" w:rsidP="00453E9E">
      <w:pPr>
        <w:jc w:val="center"/>
        <w:rPr>
          <w:rFonts w:ascii="Arial" w:hAnsi="Arial" w:cs="Arial"/>
          <w:b/>
          <w:i/>
          <w:sz w:val="48"/>
          <w:u w:val="single"/>
        </w:rPr>
      </w:pPr>
    </w:p>
    <w:p w14:paraId="7A71250D" w14:textId="77777777" w:rsidR="00453E9E" w:rsidRPr="00453E9E" w:rsidRDefault="00453E9E" w:rsidP="00453E9E">
      <w:pPr>
        <w:rPr>
          <w:rFonts w:ascii="Arial" w:hAnsi="Arial" w:cs="Arial"/>
        </w:rPr>
      </w:pPr>
      <w:r w:rsidRPr="00453E9E">
        <w:rPr>
          <w:rFonts w:ascii="Arial" w:hAnsi="Arial" w:cs="Arial"/>
          <w:b/>
          <w:bCs/>
        </w:rPr>
        <w:t>Accounting information system:</w:t>
      </w:r>
    </w:p>
    <w:p w14:paraId="61A76C2A" w14:textId="77777777" w:rsidR="00000000" w:rsidRDefault="00B0246E" w:rsidP="00453E9E">
      <w:pPr>
        <w:numPr>
          <w:ilvl w:val="1"/>
          <w:numId w:val="1"/>
        </w:numPr>
        <w:rPr>
          <w:rFonts w:ascii="Arial" w:hAnsi="Arial" w:cs="Arial"/>
        </w:rPr>
      </w:pPr>
      <w:r w:rsidRPr="00453E9E">
        <w:rPr>
          <w:rFonts w:ascii="Arial" w:hAnsi="Arial" w:cs="Arial"/>
        </w:rPr>
        <w:t>The system of collecting and processing transaction data and communicating financial information</w:t>
      </w:r>
    </w:p>
    <w:p w14:paraId="6DE58692" w14:textId="77777777" w:rsidR="00453E9E" w:rsidRDefault="00453E9E" w:rsidP="00453E9E">
      <w:pPr>
        <w:rPr>
          <w:rFonts w:ascii="Arial" w:hAnsi="Arial" w:cs="Arial"/>
        </w:rPr>
      </w:pPr>
    </w:p>
    <w:p w14:paraId="196879D1" w14:textId="5D485DB1" w:rsidR="00453E9E" w:rsidRPr="00453E9E" w:rsidRDefault="00453E9E" w:rsidP="00453E9E">
      <w:pPr>
        <w:rPr>
          <w:rFonts w:ascii="Arial" w:hAnsi="Arial" w:cs="Arial"/>
          <w:b/>
        </w:rPr>
      </w:pPr>
      <w:r w:rsidRPr="00453E9E">
        <w:rPr>
          <w:rFonts w:ascii="Arial" w:hAnsi="Arial" w:cs="Arial"/>
          <w:b/>
        </w:rPr>
        <w:t>Accounting Transactions</w:t>
      </w:r>
      <w:r>
        <w:rPr>
          <w:rFonts w:ascii="Arial" w:hAnsi="Arial" w:cs="Arial"/>
          <w:b/>
        </w:rPr>
        <w:t>:</w:t>
      </w:r>
    </w:p>
    <w:p w14:paraId="6AFFF433" w14:textId="77777777" w:rsidR="00453E9E" w:rsidRPr="00453E9E" w:rsidRDefault="00453E9E" w:rsidP="00453E9E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453E9E">
        <w:rPr>
          <w:rFonts w:ascii="Arial" w:hAnsi="Arial" w:cs="Arial"/>
          <w:bCs/>
        </w:rPr>
        <w:t>Transactions are economic events that must be recorded in the financial statements</w:t>
      </w:r>
    </w:p>
    <w:p w14:paraId="78483000" w14:textId="77777777" w:rsidR="00453E9E" w:rsidRPr="00453E9E" w:rsidRDefault="00453E9E" w:rsidP="00453E9E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453E9E">
        <w:rPr>
          <w:rFonts w:ascii="Arial" w:hAnsi="Arial" w:cs="Arial"/>
          <w:bCs/>
        </w:rPr>
        <w:t>Not all events are recorded and reported as accounting transactions:</w:t>
      </w:r>
    </w:p>
    <w:p w14:paraId="04666A5D" w14:textId="77777777" w:rsidR="00000000" w:rsidRDefault="00B0246E" w:rsidP="00453E9E">
      <w:pPr>
        <w:numPr>
          <w:ilvl w:val="1"/>
          <w:numId w:val="2"/>
        </w:numPr>
        <w:rPr>
          <w:rFonts w:ascii="Arial" w:hAnsi="Arial" w:cs="Arial"/>
        </w:rPr>
      </w:pPr>
      <w:r w:rsidRPr="00453E9E">
        <w:rPr>
          <w:rFonts w:ascii="Arial" w:hAnsi="Arial" w:cs="Arial"/>
        </w:rPr>
        <w:t>Only those that change assets, liabilities or shareholders’ equity</w:t>
      </w:r>
    </w:p>
    <w:p w14:paraId="0D431127" w14:textId="77777777" w:rsidR="00453E9E" w:rsidRDefault="00453E9E" w:rsidP="00453E9E">
      <w:pPr>
        <w:rPr>
          <w:rFonts w:ascii="Arial" w:hAnsi="Arial" w:cs="Arial"/>
        </w:rPr>
      </w:pPr>
    </w:p>
    <w:p w14:paraId="60F5B68B" w14:textId="49B11C7C" w:rsidR="00453E9E" w:rsidRDefault="00453E9E" w:rsidP="00453E9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Debits (DR) and Credits (CR):</w:t>
      </w:r>
    </w:p>
    <w:p w14:paraId="0081AAEF" w14:textId="09873B24" w:rsidR="00850620" w:rsidRPr="00850620" w:rsidRDefault="00850620" w:rsidP="00453E9E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Debit means left side, Credit means right side</w:t>
      </w:r>
    </w:p>
    <w:p w14:paraId="278817EF" w14:textId="09A382EA" w:rsidR="00453E9E" w:rsidRPr="00453E9E" w:rsidRDefault="00453E9E" w:rsidP="00453E9E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453E9E">
        <w:rPr>
          <w:rFonts w:ascii="Arial" w:hAnsi="Arial" w:cs="Arial"/>
          <w:bCs/>
          <w:lang w:val="en-CA"/>
        </w:rPr>
        <w:t>If debit amounts exceed credit amounts, account has a debit balance</w:t>
      </w:r>
    </w:p>
    <w:p w14:paraId="2B0AE958" w14:textId="4E92B5D9" w:rsidR="00453E9E" w:rsidRPr="00453E9E" w:rsidRDefault="00453E9E" w:rsidP="00453E9E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453E9E">
        <w:rPr>
          <w:rFonts w:ascii="Arial" w:hAnsi="Arial" w:cs="Arial"/>
          <w:bCs/>
          <w:lang w:val="en-CA"/>
        </w:rPr>
        <w:t>If credit amounts exceed debit amounts, account has a credit balance</w:t>
      </w:r>
    </w:p>
    <w:p w14:paraId="3E321DA3" w14:textId="77777777" w:rsidR="00453E9E" w:rsidRDefault="00453E9E" w:rsidP="00453E9E">
      <w:pPr>
        <w:rPr>
          <w:rFonts w:ascii="Arial" w:hAnsi="Arial" w:cs="Arial"/>
        </w:rPr>
      </w:pPr>
    </w:p>
    <w:p w14:paraId="23A7CC29" w14:textId="77777777" w:rsidR="00453E9E" w:rsidRDefault="00453E9E" w:rsidP="00453E9E">
      <w:pPr>
        <w:rPr>
          <w:rFonts w:ascii="Arial" w:hAnsi="Arial" w:cs="Arial"/>
        </w:rPr>
      </w:pPr>
    </w:p>
    <w:p w14:paraId="7750017B" w14:textId="77777777" w:rsidR="00453E9E" w:rsidRDefault="00453E9E" w:rsidP="00453E9E">
      <w:pPr>
        <w:rPr>
          <w:rFonts w:ascii="Arial" w:hAnsi="Arial" w:cs="Arial"/>
        </w:rPr>
      </w:pPr>
    </w:p>
    <w:p w14:paraId="1B08F168" w14:textId="4121ECD0" w:rsidR="00453E9E" w:rsidRDefault="00453E9E" w:rsidP="00453E9E">
      <w:pPr>
        <w:rPr>
          <w:rFonts w:ascii="Arial" w:hAnsi="Arial" w:cs="Arial"/>
        </w:rPr>
      </w:pPr>
      <w:r w:rsidRPr="00453E9E">
        <w:rPr>
          <w:rFonts w:ascii="Arial" w:hAnsi="Arial" w:cs="Arial"/>
          <w:highlight w:val="yellow"/>
        </w:rPr>
        <w:t>The T Account</w:t>
      </w:r>
    </w:p>
    <w:p w14:paraId="26DEEEF3" w14:textId="2181E888" w:rsidR="00453E9E" w:rsidRDefault="00453E9E" w:rsidP="00453E9E">
      <w:pPr>
        <w:ind w:left="2880" w:firstLine="720"/>
        <w:rPr>
          <w:rFonts w:ascii="Arial" w:hAnsi="Arial" w:cs="Arial"/>
        </w:rPr>
      </w:pPr>
      <w:r>
        <w:rPr>
          <w:rFonts w:ascii="Arial" w:hAnsi="Arial" w:cs="Arial"/>
        </w:rPr>
        <w:t>Title of Account</w:t>
      </w:r>
    </w:p>
    <w:p w14:paraId="5181ADCA" w14:textId="2AB026DA" w:rsidR="00453E9E" w:rsidRDefault="00453E9E" w:rsidP="00453E9E">
      <w:pPr>
        <w:ind w:left="2880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325EA96" wp14:editId="3542C73A">
                <wp:simplePos x="0" y="0"/>
                <wp:positionH relativeFrom="column">
                  <wp:posOffset>2679911</wp:posOffset>
                </wp:positionH>
                <wp:positionV relativeFrom="paragraph">
                  <wp:posOffset>117687</wp:posOffset>
                </wp:positionV>
                <wp:extent cx="423" cy="1289473"/>
                <wp:effectExtent l="25400" t="0" r="50800" b="571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3" cy="1289473"/>
                        </a:xfrm>
                        <a:prstGeom prst="line">
                          <a:avLst/>
                        </a:prstGeom>
                        <a:ln w="635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FAD6B5" id="Straight_x0020_Connector_x0020_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1pt,9.25pt" to="211.05pt,110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" strokecolor="#5b9bd5 [3204]" strokeweight="5pt">
                <v:stroke joinstyle="miter"/>
              </v:lin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8C42E7" wp14:editId="37924D42">
                <wp:simplePos x="0" y="0"/>
                <wp:positionH relativeFrom="column">
                  <wp:posOffset>1192248</wp:posOffset>
                </wp:positionH>
                <wp:positionV relativeFrom="paragraph">
                  <wp:posOffset>119380</wp:posOffset>
                </wp:positionV>
                <wp:extent cx="3086100" cy="0"/>
                <wp:effectExtent l="0" t="25400" r="63500" b="5080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86100" cy="0"/>
                        </a:xfrm>
                        <a:prstGeom prst="line">
                          <a:avLst/>
                        </a:prstGeom>
                        <a:ln w="635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17E722" id="Straight_x0020_Connector_x0020_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3.9pt,9.4pt" to="336.9pt,9.4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" strokecolor="#5b9bd5 [3204]" strokeweight="5pt">
                <v:stroke joinstyle="miter"/>
              </v:line>
            </w:pict>
          </mc:Fallback>
        </mc:AlternateContent>
      </w:r>
    </w:p>
    <w:p w14:paraId="4D68E73C" w14:textId="60FED14B" w:rsidR="00453E9E" w:rsidRPr="00453E9E" w:rsidRDefault="00453E9E" w:rsidP="00453E9E">
      <w:pPr>
        <w:ind w:left="2880"/>
        <w:rPr>
          <w:rFonts w:ascii="Arial" w:hAnsi="Arial" w:cs="Arial"/>
        </w:rPr>
      </w:pPr>
      <w:r>
        <w:rPr>
          <w:rFonts w:ascii="Arial" w:hAnsi="Arial" w:cs="Arial"/>
        </w:rPr>
        <w:t>Debit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Credit</w:t>
      </w:r>
    </w:p>
    <w:p w14:paraId="32F14A19" w14:textId="2BA3E273" w:rsidR="00453E9E" w:rsidRDefault="00453E9E" w:rsidP="00453E9E">
      <w:pPr>
        <w:rPr>
          <w:rFonts w:ascii="Arial" w:hAnsi="Arial" w:cs="Arial"/>
        </w:rPr>
      </w:pPr>
    </w:p>
    <w:p w14:paraId="5DE1D48F" w14:textId="77777777" w:rsidR="00850620" w:rsidRDefault="00850620" w:rsidP="00453E9E">
      <w:pPr>
        <w:rPr>
          <w:rFonts w:ascii="Arial" w:hAnsi="Arial" w:cs="Arial"/>
        </w:rPr>
      </w:pPr>
    </w:p>
    <w:p w14:paraId="3BA45FA5" w14:textId="77777777" w:rsidR="00850620" w:rsidRDefault="00850620" w:rsidP="00453E9E">
      <w:pPr>
        <w:rPr>
          <w:rFonts w:ascii="Arial" w:hAnsi="Arial" w:cs="Arial"/>
        </w:rPr>
      </w:pPr>
    </w:p>
    <w:p w14:paraId="2BF613C9" w14:textId="77777777" w:rsidR="00850620" w:rsidRDefault="00850620" w:rsidP="00453E9E">
      <w:pPr>
        <w:rPr>
          <w:rFonts w:ascii="Arial" w:hAnsi="Arial" w:cs="Arial"/>
        </w:rPr>
      </w:pPr>
    </w:p>
    <w:p w14:paraId="1A61CD81" w14:textId="77777777" w:rsidR="00850620" w:rsidRDefault="00850620" w:rsidP="00453E9E">
      <w:pPr>
        <w:rPr>
          <w:rFonts w:ascii="Arial" w:hAnsi="Arial" w:cs="Arial"/>
        </w:rPr>
      </w:pPr>
    </w:p>
    <w:p w14:paraId="39ECFFFF" w14:textId="77777777" w:rsidR="00850620" w:rsidRDefault="00850620" w:rsidP="00850620">
      <w:pPr>
        <w:pStyle w:val="ListParagraph"/>
        <w:rPr>
          <w:rFonts w:ascii="Arial" w:hAnsi="Arial" w:cs="Arial"/>
        </w:rPr>
      </w:pPr>
    </w:p>
    <w:p w14:paraId="54259CC6" w14:textId="77777777" w:rsidR="00850620" w:rsidRDefault="00850620" w:rsidP="00850620">
      <w:pPr>
        <w:pStyle w:val="ListParagraph"/>
        <w:rPr>
          <w:rFonts w:ascii="Arial" w:hAnsi="Arial" w:cs="Arial"/>
        </w:rPr>
      </w:pPr>
    </w:p>
    <w:p w14:paraId="35158C48" w14:textId="20C669B8" w:rsidR="00850620" w:rsidRPr="00850620" w:rsidRDefault="00850620" w:rsidP="00850620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850620">
        <w:rPr>
          <w:rFonts w:ascii="Arial" w:hAnsi="Arial" w:cs="Arial"/>
        </w:rPr>
        <w:t>Assets</w:t>
      </w:r>
      <w:r>
        <w:rPr>
          <w:rFonts w:ascii="Arial" w:hAnsi="Arial" w:cs="Arial"/>
        </w:rPr>
        <w:t>, Expenses, and Dividends</w:t>
      </w:r>
      <w:r w:rsidRPr="00850620">
        <w:rPr>
          <w:rFonts w:ascii="Arial" w:hAnsi="Arial" w:cs="Arial"/>
        </w:rPr>
        <w:t xml:space="preserve"> typically have debit balances.</w:t>
      </w:r>
    </w:p>
    <w:p w14:paraId="16B36566" w14:textId="6898C412" w:rsidR="00850620" w:rsidRDefault="00850620" w:rsidP="00850620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850620">
        <w:rPr>
          <w:rFonts w:ascii="Arial" w:hAnsi="Arial" w:cs="Arial"/>
        </w:rPr>
        <w:t>Liabilities and Shareholder’s Equity typicall</w:t>
      </w:r>
      <w:bookmarkStart w:id="0" w:name="_GoBack"/>
      <w:bookmarkEnd w:id="0"/>
      <w:r w:rsidRPr="00850620">
        <w:rPr>
          <w:rFonts w:ascii="Arial" w:hAnsi="Arial" w:cs="Arial"/>
        </w:rPr>
        <w:t>y have credit balances.</w:t>
      </w:r>
    </w:p>
    <w:p w14:paraId="76D2743C" w14:textId="74851C22" w:rsidR="00850620" w:rsidRDefault="00850620" w:rsidP="00850620">
      <w:pPr>
        <w:pStyle w:val="ListParagraph"/>
        <w:rPr>
          <w:rFonts w:ascii="Arial" w:hAnsi="Arial" w:cs="Arial"/>
        </w:rPr>
      </w:pPr>
      <w:r w:rsidRPr="00850620">
        <w:rPr>
          <w:rFonts w:ascii="Arial" w:hAnsi="Arial" w:cs="Arial"/>
        </w:rPr>
        <w:drawing>
          <wp:inline distT="0" distB="0" distL="0" distR="0" wp14:anchorId="31954B60" wp14:editId="344B979D">
            <wp:extent cx="5943600" cy="2018665"/>
            <wp:effectExtent l="0" t="0" r="0" b="0"/>
            <wp:docPr id="3" name="Picture 10" descr="Ch3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0" descr="Ch3_1.jpg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018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5545BB2D" w14:textId="77777777" w:rsidR="00850620" w:rsidRDefault="00850620" w:rsidP="00850620">
      <w:pPr>
        <w:pStyle w:val="ListParagraph"/>
        <w:rPr>
          <w:rFonts w:ascii="Arial" w:hAnsi="Arial" w:cs="Arial"/>
        </w:rPr>
      </w:pPr>
    </w:p>
    <w:p w14:paraId="75445BE6" w14:textId="71B3C2D9" w:rsidR="00850620" w:rsidRDefault="00850620" w:rsidP="00850620">
      <w:pPr>
        <w:pStyle w:val="ListParagrap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ACCOUNTING CYCLE:</w:t>
      </w:r>
    </w:p>
    <w:p w14:paraId="2BEA1CD9" w14:textId="77777777" w:rsidR="007871EE" w:rsidRPr="00AE2842" w:rsidRDefault="00850620" w:rsidP="00AE2842">
      <w:pPr>
        <w:pStyle w:val="ListParagraph"/>
        <w:numPr>
          <w:ilvl w:val="0"/>
          <w:numId w:val="13"/>
        </w:numPr>
        <w:rPr>
          <w:rFonts w:ascii="Arial" w:hAnsi="Arial" w:cs="Arial"/>
          <w:b/>
        </w:rPr>
      </w:pPr>
      <w:r w:rsidRPr="00AE2842">
        <w:rPr>
          <w:rFonts w:ascii="Arial" w:hAnsi="Arial" w:cs="Arial"/>
        </w:rPr>
        <w:t xml:space="preserve">Analyze Business Transaction </w:t>
      </w:r>
    </w:p>
    <w:p w14:paraId="64195335" w14:textId="021E2101" w:rsidR="007871EE" w:rsidRDefault="00850620" w:rsidP="007871EE">
      <w:pPr>
        <w:pStyle w:val="ListParagraph"/>
        <w:numPr>
          <w:ilvl w:val="0"/>
          <w:numId w:val="7"/>
        </w:numPr>
        <w:rPr>
          <w:rFonts w:ascii="Arial" w:hAnsi="Arial" w:cs="Arial"/>
          <w:b/>
        </w:rPr>
      </w:pPr>
      <w:r w:rsidRPr="007871EE">
        <w:rPr>
          <w:rFonts w:ascii="Arial" w:hAnsi="Arial" w:cs="Arial"/>
        </w:rPr>
        <w:t>evidence of transaction is source document</w:t>
      </w:r>
    </w:p>
    <w:p w14:paraId="43CBBC22" w14:textId="77777777" w:rsidR="007871EE" w:rsidRDefault="007871EE" w:rsidP="007871EE">
      <w:pPr>
        <w:pStyle w:val="ListParagraph"/>
        <w:ind w:left="1440"/>
        <w:rPr>
          <w:rFonts w:ascii="Arial" w:hAnsi="Arial" w:cs="Arial"/>
          <w:b/>
        </w:rPr>
      </w:pPr>
    </w:p>
    <w:p w14:paraId="5B9D441A" w14:textId="77777777" w:rsidR="007871EE" w:rsidRPr="00AE2842" w:rsidRDefault="00850620" w:rsidP="00AE2842">
      <w:pPr>
        <w:pStyle w:val="ListParagraph"/>
        <w:numPr>
          <w:ilvl w:val="0"/>
          <w:numId w:val="13"/>
        </w:numPr>
        <w:rPr>
          <w:rFonts w:ascii="Arial" w:hAnsi="Arial" w:cs="Arial"/>
          <w:b/>
        </w:rPr>
      </w:pPr>
      <w:r w:rsidRPr="00AE2842">
        <w:rPr>
          <w:rFonts w:ascii="Arial" w:hAnsi="Arial" w:cs="Arial"/>
        </w:rPr>
        <w:t>Journalize the Transaction</w:t>
      </w:r>
      <w:r w:rsidR="007871EE" w:rsidRPr="00AE2842">
        <w:rPr>
          <w:rFonts w:ascii="Arial" w:hAnsi="Arial" w:cs="Arial"/>
        </w:rPr>
        <w:t xml:space="preserve"> in Chronological Order </w:t>
      </w:r>
    </w:p>
    <w:p w14:paraId="636C60E8" w14:textId="0B966B0B" w:rsidR="00850620" w:rsidRPr="007871EE" w:rsidRDefault="00850620" w:rsidP="007871EE">
      <w:pPr>
        <w:pStyle w:val="ListParagraph"/>
        <w:numPr>
          <w:ilvl w:val="0"/>
          <w:numId w:val="7"/>
        </w:numPr>
        <w:rPr>
          <w:rFonts w:ascii="Arial" w:hAnsi="Arial" w:cs="Arial"/>
          <w:b/>
        </w:rPr>
      </w:pPr>
      <w:r w:rsidRPr="007871EE">
        <w:rPr>
          <w:rFonts w:ascii="Arial" w:hAnsi="Arial" w:cs="Arial"/>
        </w:rPr>
        <w:t>in the general journal</w:t>
      </w:r>
    </w:p>
    <w:p w14:paraId="79FD4827" w14:textId="77777777" w:rsidR="007871EE" w:rsidRPr="007871EE" w:rsidRDefault="007871EE" w:rsidP="007871EE">
      <w:pPr>
        <w:pStyle w:val="ListParagraph"/>
        <w:ind w:left="1440"/>
        <w:rPr>
          <w:rFonts w:ascii="Arial" w:hAnsi="Arial" w:cs="Arial"/>
          <w:b/>
        </w:rPr>
      </w:pPr>
    </w:p>
    <w:p w14:paraId="24954E47" w14:textId="7F50550D" w:rsidR="007871EE" w:rsidRPr="00AE2842" w:rsidRDefault="00850620" w:rsidP="00AE2842">
      <w:pPr>
        <w:pStyle w:val="ListParagraph"/>
        <w:numPr>
          <w:ilvl w:val="0"/>
          <w:numId w:val="13"/>
        </w:numPr>
        <w:rPr>
          <w:rFonts w:ascii="Arial" w:hAnsi="Arial" w:cs="Arial"/>
          <w:b/>
        </w:rPr>
      </w:pPr>
      <w:r w:rsidRPr="00AE2842">
        <w:rPr>
          <w:rFonts w:ascii="Arial" w:hAnsi="Arial" w:cs="Arial"/>
        </w:rPr>
        <w:t>Post to General Ledger Accounts</w:t>
      </w:r>
      <w:r w:rsidR="007871EE" w:rsidRPr="00AE2842">
        <w:rPr>
          <w:rFonts w:ascii="Arial" w:hAnsi="Arial" w:cs="Arial"/>
        </w:rPr>
        <w:t xml:space="preserve"> </w:t>
      </w:r>
    </w:p>
    <w:p w14:paraId="409DF35D" w14:textId="204F2E1B" w:rsidR="00850620" w:rsidRPr="007871EE" w:rsidRDefault="007871EE" w:rsidP="007871EE">
      <w:pPr>
        <w:pStyle w:val="ListParagraph"/>
        <w:numPr>
          <w:ilvl w:val="0"/>
          <w:numId w:val="7"/>
        </w:numPr>
        <w:rPr>
          <w:rFonts w:ascii="Arial" w:hAnsi="Arial" w:cs="Arial"/>
          <w:b/>
        </w:rPr>
      </w:pPr>
      <w:r>
        <w:rPr>
          <w:rFonts w:ascii="Arial" w:hAnsi="Arial" w:cs="Arial"/>
        </w:rPr>
        <w:t>posting is the process of transferring info from the general journal to the general ledger accounts</w:t>
      </w:r>
    </w:p>
    <w:p w14:paraId="18A87C41" w14:textId="0A185A47" w:rsidR="007871EE" w:rsidRPr="00414677" w:rsidRDefault="007871EE" w:rsidP="007871EE">
      <w:pPr>
        <w:pStyle w:val="ListParagraph"/>
        <w:numPr>
          <w:ilvl w:val="0"/>
          <w:numId w:val="7"/>
        </w:numPr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list of accounts is called a </w:t>
      </w:r>
      <w:r w:rsidRPr="007871EE">
        <w:rPr>
          <w:rFonts w:ascii="Arial" w:hAnsi="Arial" w:cs="Arial"/>
          <w:b/>
          <w:bCs/>
        </w:rPr>
        <w:t>chart of accounts</w:t>
      </w:r>
    </w:p>
    <w:p w14:paraId="20E9D175" w14:textId="77777777" w:rsidR="00414677" w:rsidRPr="00414677" w:rsidRDefault="00414677" w:rsidP="00414677">
      <w:pPr>
        <w:pStyle w:val="ListParagraph"/>
        <w:ind w:left="1440"/>
        <w:rPr>
          <w:rFonts w:ascii="Arial" w:hAnsi="Arial" w:cs="Arial"/>
          <w:b/>
        </w:rPr>
      </w:pPr>
    </w:p>
    <w:p w14:paraId="3B386F2A" w14:textId="1627118C" w:rsidR="00414677" w:rsidRPr="00414677" w:rsidRDefault="00414677" w:rsidP="00AE2842">
      <w:pPr>
        <w:pStyle w:val="ListParagraph"/>
        <w:numPr>
          <w:ilvl w:val="0"/>
          <w:numId w:val="13"/>
        </w:numPr>
        <w:rPr>
          <w:rFonts w:ascii="Arial" w:hAnsi="Arial" w:cs="Arial"/>
          <w:b/>
        </w:rPr>
      </w:pPr>
      <w:r w:rsidRPr="00414677">
        <w:rPr>
          <w:rFonts w:ascii="Arial" w:hAnsi="Arial" w:cs="Arial"/>
        </w:rPr>
        <w:t>Prepare a Trial Balance</w:t>
      </w:r>
      <w:r w:rsidR="00AE2842">
        <w:rPr>
          <w:rFonts w:ascii="Arial" w:hAnsi="Arial" w:cs="Arial"/>
        </w:rPr>
        <w:t xml:space="preserve"> (main source for preparation of financial statements)</w:t>
      </w:r>
    </w:p>
    <w:p w14:paraId="488044E7" w14:textId="77777777" w:rsidR="00414677" w:rsidRPr="00414677" w:rsidRDefault="00414677" w:rsidP="00414677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414677">
        <w:rPr>
          <w:rFonts w:ascii="Arial" w:hAnsi="Arial" w:cs="Arial"/>
          <w:bCs/>
        </w:rPr>
        <w:t>List of all the accounts and their balances at a specific time</w:t>
      </w:r>
    </w:p>
    <w:p w14:paraId="7F0D746C" w14:textId="3A854A2B" w:rsidR="00414677" w:rsidRPr="00414677" w:rsidRDefault="00414677" w:rsidP="00C74AB1">
      <w:pPr>
        <w:pStyle w:val="ListParagraph"/>
        <w:numPr>
          <w:ilvl w:val="0"/>
          <w:numId w:val="8"/>
        </w:numPr>
        <w:rPr>
          <w:rFonts w:ascii="Arial" w:hAnsi="Arial" w:cs="Arial"/>
          <w:b/>
        </w:rPr>
      </w:pPr>
      <w:r w:rsidRPr="00414677">
        <w:rPr>
          <w:rFonts w:ascii="Arial" w:hAnsi="Arial" w:cs="Arial"/>
          <w:bCs/>
        </w:rPr>
        <w:t>Serves to periodically test whether the Gen. Ledger is in balance</w:t>
      </w:r>
    </w:p>
    <w:p w14:paraId="267B19D5" w14:textId="77777777" w:rsidR="00414677" w:rsidRPr="00414677" w:rsidRDefault="00414677" w:rsidP="00414677">
      <w:pPr>
        <w:ind w:left="1800"/>
        <w:rPr>
          <w:rFonts w:ascii="Arial" w:hAnsi="Arial" w:cs="Arial"/>
          <w:b/>
        </w:rPr>
      </w:pPr>
    </w:p>
    <w:p w14:paraId="7E721D3E" w14:textId="77777777" w:rsidR="00414677" w:rsidRDefault="00414677" w:rsidP="00414677">
      <w:pPr>
        <w:jc w:val="center"/>
        <w:rPr>
          <w:rFonts w:ascii="Arial" w:hAnsi="Arial" w:cs="Arial"/>
          <w:b/>
          <w:highlight w:val="yellow"/>
        </w:rPr>
      </w:pPr>
      <w:r w:rsidRPr="007871EE">
        <w:rPr>
          <w:rFonts w:ascii="Arial" w:hAnsi="Arial" w:cs="Arial"/>
          <w:b/>
          <w:highlight w:val="yellow"/>
        </w:rPr>
        <w:t xml:space="preserve">ONE ACCOUNT IS DEBITED, THE OTHER IS CREDITED </w:t>
      </w:r>
    </w:p>
    <w:p w14:paraId="0387BD55" w14:textId="09771B4E" w:rsidR="00414677" w:rsidRDefault="00414677" w:rsidP="00414677">
      <w:pPr>
        <w:jc w:val="center"/>
        <w:rPr>
          <w:rFonts w:ascii="Arial" w:hAnsi="Arial" w:cs="Arial"/>
          <w:b/>
        </w:rPr>
      </w:pPr>
      <w:r w:rsidRPr="007871EE">
        <w:rPr>
          <w:rFonts w:ascii="Arial" w:hAnsi="Arial" w:cs="Arial"/>
          <w:b/>
          <w:highlight w:val="yellow"/>
        </w:rPr>
        <w:t>(DOUBLE ENTRY ACCOUNTING)</w:t>
      </w:r>
    </w:p>
    <w:p w14:paraId="30C4964C" w14:textId="77777777" w:rsidR="00B0246E" w:rsidRDefault="00B0246E" w:rsidP="00414677">
      <w:pPr>
        <w:jc w:val="center"/>
        <w:rPr>
          <w:rFonts w:ascii="Arial" w:hAnsi="Arial" w:cs="Arial"/>
          <w:b/>
        </w:rPr>
      </w:pPr>
    </w:p>
    <w:p w14:paraId="522A6F2B" w14:textId="60978B37" w:rsidR="00AE2842" w:rsidRDefault="00B0246E" w:rsidP="00B0246E">
      <w:pPr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Posting to The General Ledger</w:t>
      </w:r>
    </w:p>
    <w:p w14:paraId="6FD80C48" w14:textId="3DC5C55D" w:rsidR="00B0246E" w:rsidRDefault="00B0246E" w:rsidP="00B0246E">
      <w:pPr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noProof/>
          <w:sz w:val="28"/>
        </w:rPr>
        <w:drawing>
          <wp:inline distT="0" distB="0" distL="0" distR="0" wp14:anchorId="67314AD0" wp14:editId="62EAE5F1">
            <wp:extent cx="5943600" cy="3049270"/>
            <wp:effectExtent l="0" t="0" r="0" b="0"/>
            <wp:docPr id="234" name="Picture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" name="Screen Shot 2016-01-28 at 3.36.15 PM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49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F79BEA" w14:textId="77777777" w:rsidR="00AE2842" w:rsidRDefault="00AE2842" w:rsidP="00414677">
      <w:pPr>
        <w:ind w:left="1800"/>
        <w:rPr>
          <w:rFonts w:ascii="Arial" w:hAnsi="Arial" w:cs="Arial"/>
          <w:b/>
          <w:sz w:val="28"/>
        </w:rPr>
      </w:pPr>
    </w:p>
    <w:p w14:paraId="76252AEF" w14:textId="77777777" w:rsidR="00AE2842" w:rsidRDefault="00AE2842" w:rsidP="00B0246E">
      <w:pPr>
        <w:rPr>
          <w:rFonts w:ascii="Arial" w:hAnsi="Arial" w:cs="Arial"/>
          <w:b/>
          <w:sz w:val="28"/>
        </w:rPr>
      </w:pPr>
    </w:p>
    <w:p w14:paraId="3105FCD2" w14:textId="77777777" w:rsidR="00B0246E" w:rsidRDefault="00B0246E" w:rsidP="00B0246E">
      <w:pPr>
        <w:rPr>
          <w:rFonts w:ascii="Arial" w:hAnsi="Arial" w:cs="Arial"/>
          <w:b/>
          <w:sz w:val="28"/>
        </w:rPr>
      </w:pPr>
    </w:p>
    <w:p w14:paraId="0BA4CFAD" w14:textId="77777777" w:rsidR="00B0246E" w:rsidRDefault="00B0246E" w:rsidP="00B0246E">
      <w:pPr>
        <w:rPr>
          <w:rFonts w:ascii="Arial" w:hAnsi="Arial" w:cs="Arial"/>
          <w:b/>
          <w:sz w:val="48"/>
        </w:rPr>
      </w:pPr>
    </w:p>
    <w:p w14:paraId="4CBFE5FB" w14:textId="77777777" w:rsidR="00B0246E" w:rsidRDefault="00B0246E" w:rsidP="00B0246E">
      <w:pPr>
        <w:rPr>
          <w:rFonts w:ascii="Arial" w:hAnsi="Arial" w:cs="Arial"/>
          <w:b/>
          <w:sz w:val="48"/>
        </w:rPr>
      </w:pPr>
    </w:p>
    <w:p w14:paraId="399A56BC" w14:textId="77777777" w:rsidR="00B0246E" w:rsidRDefault="00B0246E" w:rsidP="00B0246E">
      <w:pPr>
        <w:rPr>
          <w:rFonts w:ascii="Arial" w:hAnsi="Arial" w:cs="Arial"/>
          <w:b/>
          <w:sz w:val="48"/>
        </w:rPr>
      </w:pPr>
      <w:r>
        <w:rPr>
          <w:rFonts w:ascii="Arial" w:hAnsi="Arial" w:cs="Arial"/>
          <w:b/>
          <w:sz w:val="48"/>
        </w:rPr>
        <w:t>Trial Balance – Example</w:t>
      </w:r>
    </w:p>
    <w:p w14:paraId="70FE487B" w14:textId="77777777" w:rsidR="00B0246E" w:rsidRDefault="00B0246E" w:rsidP="00B0246E">
      <w:pPr>
        <w:rPr>
          <w:rFonts w:ascii="Arial" w:hAnsi="Arial" w:cs="Arial"/>
          <w:b/>
          <w:sz w:val="48"/>
        </w:rPr>
      </w:pPr>
      <w:r w:rsidRPr="00414677">
        <w:rPr>
          <w:rFonts w:ascii="Arial" w:hAnsi="Arial" w:cs="Arial"/>
          <w:b/>
          <w:sz w:val="48"/>
        </w:rPr>
        <w:drawing>
          <wp:inline distT="0" distB="0" distL="0" distR="0" wp14:anchorId="46D6E103" wp14:editId="3C83140B">
            <wp:extent cx="5943600" cy="3014980"/>
            <wp:effectExtent l="0" t="0" r="0" b="7620"/>
            <wp:docPr id="230" name="Picture 7" descr="Ch3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7" descr="Ch3_1.jpg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1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03A46C5D" w14:textId="77777777" w:rsidR="00AE2842" w:rsidRDefault="00AE2842" w:rsidP="00AE2842">
      <w:pPr>
        <w:rPr>
          <w:rFonts w:ascii="Arial" w:hAnsi="Arial" w:cs="Arial"/>
          <w:b/>
          <w:sz w:val="28"/>
        </w:rPr>
      </w:pPr>
      <w:r w:rsidRPr="00414677">
        <w:rPr>
          <w:rFonts w:ascii="Arial" w:hAnsi="Arial" w:cs="Arial"/>
          <w:b/>
          <w:sz w:val="28"/>
        </w:rPr>
        <w:t>Adjusting Entries:</w:t>
      </w:r>
    </w:p>
    <w:p w14:paraId="55DDD751" w14:textId="77777777" w:rsidR="00AE2842" w:rsidRPr="00AE2842" w:rsidRDefault="00AE2842" w:rsidP="00AE2842">
      <w:pPr>
        <w:pStyle w:val="ListParagraph"/>
        <w:numPr>
          <w:ilvl w:val="0"/>
          <w:numId w:val="14"/>
        </w:numPr>
        <w:rPr>
          <w:rFonts w:ascii="Arial" w:hAnsi="Arial" w:cs="Arial"/>
        </w:rPr>
      </w:pPr>
      <w:r w:rsidRPr="00AE2842">
        <w:rPr>
          <w:rFonts w:ascii="Arial" w:hAnsi="Arial" w:cs="Arial"/>
          <w:bCs/>
        </w:rPr>
        <w:t>Adjusting entries are made to adjust or update accounts at the end of the accounting period</w:t>
      </w:r>
    </w:p>
    <w:p w14:paraId="3A9A2CB9" w14:textId="77777777" w:rsidR="00AE2842" w:rsidRPr="00414677" w:rsidRDefault="00AE2842" w:rsidP="00AE2842">
      <w:pPr>
        <w:pStyle w:val="ListParagraph"/>
        <w:numPr>
          <w:ilvl w:val="0"/>
          <w:numId w:val="10"/>
        </w:numPr>
        <w:rPr>
          <w:rFonts w:ascii="Arial" w:hAnsi="Arial" w:cs="Arial"/>
        </w:rPr>
      </w:pPr>
      <w:r w:rsidRPr="00414677">
        <w:rPr>
          <w:rFonts w:ascii="Arial" w:hAnsi="Arial" w:cs="Arial"/>
          <w:bCs/>
        </w:rPr>
        <w:t>Required because the trial balance may not contain complete and up-to-date data</w:t>
      </w:r>
    </w:p>
    <w:p w14:paraId="47B27712" w14:textId="77777777" w:rsidR="00AE2842" w:rsidRPr="00414677" w:rsidRDefault="00AE2842" w:rsidP="00AE2842">
      <w:pPr>
        <w:numPr>
          <w:ilvl w:val="1"/>
          <w:numId w:val="10"/>
        </w:numPr>
        <w:rPr>
          <w:rFonts w:ascii="Arial" w:hAnsi="Arial" w:cs="Arial"/>
        </w:rPr>
      </w:pPr>
      <w:r w:rsidRPr="00414677">
        <w:rPr>
          <w:rFonts w:ascii="Arial" w:hAnsi="Arial" w:cs="Arial"/>
        </w:rPr>
        <w:t>Some items are not recorded daily</w:t>
      </w:r>
    </w:p>
    <w:p w14:paraId="248EBA6B" w14:textId="77777777" w:rsidR="00AE2842" w:rsidRPr="00414677" w:rsidRDefault="00AE2842" w:rsidP="00AE2842">
      <w:pPr>
        <w:numPr>
          <w:ilvl w:val="1"/>
          <w:numId w:val="10"/>
        </w:numPr>
        <w:rPr>
          <w:rFonts w:ascii="Arial" w:hAnsi="Arial" w:cs="Arial"/>
        </w:rPr>
      </w:pPr>
      <w:r w:rsidRPr="00414677">
        <w:rPr>
          <w:rFonts w:ascii="Arial" w:hAnsi="Arial" w:cs="Arial"/>
        </w:rPr>
        <w:t>Some costs are not recorded during the accounting period, as they expire due to the passage of time</w:t>
      </w:r>
    </w:p>
    <w:p w14:paraId="12925C49" w14:textId="77777777" w:rsidR="00AE2842" w:rsidRDefault="00AE2842" w:rsidP="00AE2842">
      <w:pPr>
        <w:numPr>
          <w:ilvl w:val="1"/>
          <w:numId w:val="10"/>
        </w:numPr>
        <w:rPr>
          <w:rFonts w:ascii="Arial" w:hAnsi="Arial" w:cs="Arial"/>
        </w:rPr>
      </w:pPr>
      <w:r w:rsidRPr="00414677">
        <w:rPr>
          <w:rFonts w:ascii="Arial" w:hAnsi="Arial" w:cs="Arial"/>
        </w:rPr>
        <w:t>Some items may be unrecorded</w:t>
      </w:r>
    </w:p>
    <w:p w14:paraId="13EB25F4" w14:textId="77777777" w:rsidR="00AE2842" w:rsidRDefault="00AE2842" w:rsidP="00AE2842">
      <w:pPr>
        <w:ind w:left="1440"/>
        <w:rPr>
          <w:rFonts w:ascii="Arial" w:hAnsi="Arial" w:cs="Arial"/>
        </w:rPr>
      </w:pPr>
    </w:p>
    <w:p w14:paraId="3F1BB56B" w14:textId="77777777" w:rsidR="00AE2842" w:rsidRDefault="00AE2842" w:rsidP="00AE2842">
      <w:pPr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>Examples of Adjusting Entries:</w:t>
      </w:r>
    </w:p>
    <w:p w14:paraId="250B910E" w14:textId="77777777" w:rsidR="00AE2842" w:rsidRDefault="00AE2842" w:rsidP="00AE2842">
      <w:pPr>
        <w:ind w:left="720"/>
        <w:rPr>
          <w:rFonts w:ascii="Arial" w:hAnsi="Arial" w:cs="Arial"/>
        </w:rPr>
      </w:pPr>
    </w:p>
    <w:p w14:paraId="47C88EFE" w14:textId="77777777" w:rsidR="00AE2842" w:rsidRPr="00414677" w:rsidRDefault="00AE2842" w:rsidP="00AE2842">
      <w:pPr>
        <w:ind w:left="1440"/>
        <w:rPr>
          <w:rFonts w:ascii="Arial" w:hAnsi="Arial" w:cs="Arial"/>
        </w:rPr>
      </w:pPr>
      <w:r>
        <w:rPr>
          <w:rFonts w:ascii="Arial" w:hAnsi="Arial" w:cs="Arial"/>
          <w:b/>
          <w:bCs/>
          <w:lang w:val="en-CA"/>
        </w:rPr>
        <w:t>PREPAYMENTS</w:t>
      </w:r>
    </w:p>
    <w:p w14:paraId="742275FF" w14:textId="77777777" w:rsidR="00AE2842" w:rsidRPr="00AE2842" w:rsidRDefault="00AE2842" w:rsidP="00AE2842">
      <w:pPr>
        <w:numPr>
          <w:ilvl w:val="1"/>
          <w:numId w:val="10"/>
        </w:numPr>
        <w:tabs>
          <w:tab w:val="num" w:pos="1440"/>
        </w:tabs>
        <w:rPr>
          <w:rFonts w:ascii="Arial" w:hAnsi="Arial" w:cs="Arial"/>
        </w:rPr>
      </w:pPr>
      <w:r w:rsidRPr="00AE2842">
        <w:rPr>
          <w:rFonts w:ascii="Arial" w:hAnsi="Arial" w:cs="Arial"/>
          <w:b/>
          <w:color w:val="FF0000"/>
          <w:lang w:val="en-CA"/>
        </w:rPr>
        <w:t>Prepaid expenses</w:t>
      </w:r>
      <w:r>
        <w:rPr>
          <w:rFonts w:ascii="Arial" w:hAnsi="Arial" w:cs="Arial"/>
          <w:lang w:val="en-CA"/>
        </w:rPr>
        <w:t>: paid for in cash before use, adjusting entry increases expense account and decreases the asset (prepaid) account</w:t>
      </w:r>
    </w:p>
    <w:p w14:paraId="69159BAA" w14:textId="77777777" w:rsidR="00AE2842" w:rsidRPr="00414677" w:rsidRDefault="00AE2842" w:rsidP="00AE2842">
      <w:pPr>
        <w:ind w:left="1440"/>
        <w:rPr>
          <w:rFonts w:ascii="Arial" w:hAnsi="Arial" w:cs="Arial"/>
        </w:rPr>
      </w:pPr>
    </w:p>
    <w:p w14:paraId="7D01B57A" w14:textId="77777777" w:rsidR="00AE2842" w:rsidRPr="00414677" w:rsidRDefault="00AE2842" w:rsidP="00AE2842">
      <w:pPr>
        <w:numPr>
          <w:ilvl w:val="1"/>
          <w:numId w:val="10"/>
        </w:numPr>
        <w:tabs>
          <w:tab w:val="num" w:pos="1440"/>
        </w:tabs>
        <w:rPr>
          <w:rFonts w:ascii="Arial" w:hAnsi="Arial" w:cs="Arial"/>
        </w:rPr>
      </w:pPr>
      <w:r w:rsidRPr="00AE2842">
        <w:rPr>
          <w:rFonts w:ascii="Arial" w:hAnsi="Arial" w:cs="Arial"/>
          <w:b/>
          <w:color w:val="FF0000"/>
          <w:lang w:val="en-CA"/>
        </w:rPr>
        <w:t>Unearned revenues:</w:t>
      </w:r>
      <w:r w:rsidRPr="00AE2842">
        <w:rPr>
          <w:rFonts w:ascii="Arial" w:hAnsi="Arial" w:cs="Arial"/>
          <w:color w:val="FF0000"/>
          <w:lang w:val="en-CA"/>
        </w:rPr>
        <w:t xml:space="preserve"> </w:t>
      </w:r>
      <w:r>
        <w:rPr>
          <w:rFonts w:ascii="Arial" w:hAnsi="Arial" w:cs="Arial"/>
          <w:lang w:val="en-CA"/>
        </w:rPr>
        <w:t>cash has been received before revenue is earned, adjusting entry decreases the liability (unearned revenue) and increases a revenue account</w:t>
      </w:r>
    </w:p>
    <w:p w14:paraId="459BF8AA" w14:textId="77777777" w:rsidR="00AE2842" w:rsidRPr="00414677" w:rsidRDefault="00AE2842" w:rsidP="00AE2842">
      <w:pPr>
        <w:ind w:left="1440"/>
        <w:rPr>
          <w:rFonts w:ascii="Arial" w:hAnsi="Arial" w:cs="Arial"/>
        </w:rPr>
      </w:pPr>
    </w:p>
    <w:p w14:paraId="0B9F689A" w14:textId="77777777" w:rsidR="00AE2842" w:rsidRPr="00414677" w:rsidRDefault="00AE2842" w:rsidP="00AE2842">
      <w:pPr>
        <w:ind w:left="1440"/>
        <w:rPr>
          <w:rFonts w:ascii="Arial" w:hAnsi="Arial" w:cs="Arial"/>
        </w:rPr>
      </w:pPr>
      <w:r w:rsidRPr="00414677">
        <w:rPr>
          <w:rFonts w:ascii="Arial" w:hAnsi="Arial" w:cs="Arial"/>
          <w:b/>
          <w:bCs/>
          <w:lang w:val="en-CA"/>
        </w:rPr>
        <w:t>A</w:t>
      </w:r>
      <w:r>
        <w:rPr>
          <w:rFonts w:ascii="Arial" w:hAnsi="Arial" w:cs="Arial"/>
          <w:b/>
          <w:bCs/>
          <w:lang w:val="en-CA"/>
        </w:rPr>
        <w:t>CCRUALS (not recognized at all until an adjustment is made)</w:t>
      </w:r>
    </w:p>
    <w:p w14:paraId="7D7CA36C" w14:textId="77777777" w:rsidR="00AE2842" w:rsidRPr="00AE2842" w:rsidRDefault="00AE2842" w:rsidP="00AE2842">
      <w:pPr>
        <w:numPr>
          <w:ilvl w:val="1"/>
          <w:numId w:val="10"/>
        </w:numPr>
        <w:tabs>
          <w:tab w:val="num" w:pos="1440"/>
        </w:tabs>
        <w:rPr>
          <w:rFonts w:ascii="Arial" w:hAnsi="Arial" w:cs="Arial"/>
          <w:b/>
          <w:color w:val="FF0000"/>
        </w:rPr>
      </w:pPr>
      <w:r w:rsidRPr="00AE2842">
        <w:rPr>
          <w:rFonts w:ascii="Arial" w:hAnsi="Arial" w:cs="Arial"/>
          <w:b/>
          <w:color w:val="FF0000"/>
        </w:rPr>
        <w:t>Accrued revenues</w:t>
      </w:r>
      <w:r>
        <w:rPr>
          <w:rFonts w:ascii="Arial" w:hAnsi="Arial" w:cs="Arial"/>
          <w:b/>
          <w:color w:val="FF0000"/>
        </w:rPr>
        <w:t xml:space="preserve">: </w:t>
      </w:r>
      <w:r>
        <w:rPr>
          <w:rFonts w:ascii="Arial" w:hAnsi="Arial" w:cs="Arial"/>
          <w:color w:val="000000" w:themeColor="text1"/>
        </w:rPr>
        <w:t>revenue that has been earned but not received in cash, adjusting entry increases both an asset and a revenue account</w:t>
      </w:r>
    </w:p>
    <w:p w14:paraId="31967161" w14:textId="77777777" w:rsidR="00AE2842" w:rsidRPr="00AE2842" w:rsidRDefault="00AE2842" w:rsidP="00AE2842">
      <w:pPr>
        <w:ind w:left="1440"/>
        <w:rPr>
          <w:rFonts w:ascii="Arial" w:hAnsi="Arial" w:cs="Arial"/>
          <w:b/>
          <w:color w:val="FF0000"/>
        </w:rPr>
      </w:pPr>
    </w:p>
    <w:p w14:paraId="7388558D" w14:textId="77777777" w:rsidR="00AE2842" w:rsidRPr="00AE2842" w:rsidRDefault="00AE2842" w:rsidP="00AE2842">
      <w:pPr>
        <w:numPr>
          <w:ilvl w:val="1"/>
          <w:numId w:val="10"/>
        </w:numPr>
        <w:tabs>
          <w:tab w:val="num" w:pos="1440"/>
        </w:tabs>
        <w:rPr>
          <w:rFonts w:ascii="Arial" w:hAnsi="Arial" w:cs="Arial"/>
          <w:b/>
          <w:color w:val="FF0000"/>
        </w:rPr>
      </w:pPr>
      <w:r w:rsidRPr="00AE2842">
        <w:rPr>
          <w:rFonts w:ascii="Arial" w:hAnsi="Arial" w:cs="Arial"/>
          <w:b/>
          <w:color w:val="FF0000"/>
        </w:rPr>
        <w:t>Accrued expenses</w:t>
      </w:r>
      <w:r>
        <w:rPr>
          <w:rFonts w:ascii="Arial" w:hAnsi="Arial" w:cs="Arial"/>
          <w:b/>
          <w:color w:val="FF0000"/>
        </w:rPr>
        <w:t xml:space="preserve">: </w:t>
      </w:r>
      <w:r>
        <w:rPr>
          <w:rFonts w:ascii="Arial" w:hAnsi="Arial" w:cs="Arial"/>
          <w:color w:val="000000" w:themeColor="text1"/>
        </w:rPr>
        <w:t>expense that have been incurred, but not yet paid or recorded, adjusting entry increases both an expense and liability account</w:t>
      </w:r>
    </w:p>
    <w:p w14:paraId="7C6A23D2" w14:textId="18CD46F0" w:rsidR="00AE2842" w:rsidRDefault="00AE2842" w:rsidP="00414677">
      <w:pPr>
        <w:rPr>
          <w:rFonts w:ascii="Arial" w:hAnsi="Arial" w:cs="Arial"/>
          <w:b/>
          <w:sz w:val="48"/>
        </w:rPr>
      </w:pPr>
      <w:r>
        <w:rPr>
          <w:rFonts w:ascii="Arial" w:hAnsi="Arial" w:cs="Arial"/>
          <w:b/>
          <w:sz w:val="48"/>
        </w:rPr>
        <w:t>Summary of Adjusting Entries</w:t>
      </w:r>
    </w:p>
    <w:p w14:paraId="4FDAB7D4" w14:textId="370FF31D" w:rsidR="00AE2842" w:rsidRDefault="00AE2842" w:rsidP="00414677">
      <w:pPr>
        <w:rPr>
          <w:rFonts w:ascii="Arial" w:hAnsi="Arial" w:cs="Arial"/>
          <w:b/>
          <w:sz w:val="48"/>
        </w:rPr>
      </w:pPr>
      <w:r w:rsidRPr="00AE2842">
        <w:rPr>
          <w:rFonts w:ascii="Arial" w:hAnsi="Arial" w:cs="Arial"/>
          <w:b/>
          <w:sz w:val="48"/>
        </w:rPr>
        <w:drawing>
          <wp:inline distT="0" distB="0" distL="0" distR="0" wp14:anchorId="79EE7420" wp14:editId="2AE0223F">
            <wp:extent cx="5943600" cy="1957070"/>
            <wp:effectExtent l="0" t="0" r="0" b="0"/>
            <wp:docPr id="231" name="Picture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957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14:paraId="2802102D" w14:textId="77777777" w:rsidR="00B0246E" w:rsidRDefault="00B0246E" w:rsidP="00B0246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Closing the Books: </w:t>
      </w:r>
    </w:p>
    <w:p w14:paraId="72335E5E" w14:textId="77777777" w:rsidR="00B0246E" w:rsidRPr="00AE2842" w:rsidRDefault="00B0246E" w:rsidP="00B0246E">
      <w:pPr>
        <w:pStyle w:val="ListParagraph"/>
        <w:numPr>
          <w:ilvl w:val="0"/>
          <w:numId w:val="15"/>
        </w:numPr>
        <w:rPr>
          <w:rFonts w:ascii="Arial" w:hAnsi="Arial" w:cs="Arial"/>
          <w:b/>
        </w:rPr>
      </w:pPr>
      <w:r>
        <w:rPr>
          <w:rFonts w:ascii="Arial" w:hAnsi="Arial" w:cs="Arial"/>
        </w:rPr>
        <w:t>Revenue and Expense accounts are subdivisions of retained earning (temporary accounts)</w:t>
      </w:r>
    </w:p>
    <w:p w14:paraId="37B83C0D" w14:textId="77777777" w:rsidR="00B0246E" w:rsidRDefault="00B0246E" w:rsidP="00B0246E">
      <w:pPr>
        <w:rPr>
          <w:rFonts w:ascii="Arial" w:hAnsi="Arial" w:cs="Arial"/>
          <w:b/>
        </w:rPr>
      </w:pPr>
    </w:p>
    <w:p w14:paraId="31E49AF6" w14:textId="77777777" w:rsidR="00B0246E" w:rsidRDefault="00B0246E" w:rsidP="00B0246E">
      <w:pPr>
        <w:pStyle w:val="ListParagraph"/>
        <w:numPr>
          <w:ilvl w:val="0"/>
          <w:numId w:val="15"/>
        </w:numPr>
        <w:rPr>
          <w:rFonts w:ascii="Arial" w:hAnsi="Arial" w:cs="Arial"/>
        </w:rPr>
      </w:pPr>
      <w:r w:rsidRPr="00AE2842">
        <w:rPr>
          <w:rFonts w:ascii="Arial" w:hAnsi="Arial" w:cs="Arial"/>
        </w:rPr>
        <w:t>Assets, Liabilities, and Shareholder’s Equity accounts carry forward into the future</w:t>
      </w:r>
      <w:r>
        <w:rPr>
          <w:rFonts w:ascii="Arial" w:hAnsi="Arial" w:cs="Arial"/>
        </w:rPr>
        <w:t xml:space="preserve"> (permanent accounts)</w:t>
      </w:r>
    </w:p>
    <w:p w14:paraId="2A1999D9" w14:textId="77777777" w:rsidR="00B0246E" w:rsidRPr="00AE2842" w:rsidRDefault="00B0246E" w:rsidP="00B0246E">
      <w:pPr>
        <w:rPr>
          <w:rFonts w:ascii="Arial" w:hAnsi="Arial" w:cs="Arial"/>
        </w:rPr>
      </w:pPr>
    </w:p>
    <w:p w14:paraId="332FE270" w14:textId="77777777" w:rsidR="00B0246E" w:rsidRDefault="00B0246E" w:rsidP="00B0246E">
      <w:pPr>
        <w:pStyle w:val="ListParagraph"/>
        <w:numPr>
          <w:ilvl w:val="0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Closing Entries </w:t>
      </w:r>
    </w:p>
    <w:p w14:paraId="4F0EBCE7" w14:textId="77777777" w:rsidR="00B0246E" w:rsidRDefault="00B0246E" w:rsidP="00B0246E">
      <w:pPr>
        <w:pStyle w:val="ListParagraph"/>
        <w:numPr>
          <w:ilvl w:val="1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Temporary account balances are transferred to Retained Earnings</w:t>
      </w:r>
    </w:p>
    <w:p w14:paraId="0371B812" w14:textId="77777777" w:rsidR="00B0246E" w:rsidRDefault="00B0246E" w:rsidP="00B0246E">
      <w:pPr>
        <w:pStyle w:val="ListParagraph"/>
        <w:numPr>
          <w:ilvl w:val="1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Produce a zero balance in the temporary accounts to prepare for the next fiscal period</w:t>
      </w:r>
    </w:p>
    <w:p w14:paraId="3CAF4F53" w14:textId="77777777" w:rsidR="00B0246E" w:rsidRPr="00B0246E" w:rsidRDefault="00B0246E" w:rsidP="00B0246E">
      <w:pPr>
        <w:rPr>
          <w:rFonts w:ascii="Arial" w:hAnsi="Arial" w:cs="Arial"/>
        </w:rPr>
      </w:pPr>
      <w:r w:rsidRPr="00B0246E">
        <w:rPr>
          <w:rFonts w:ascii="Arial" w:hAnsi="Arial" w:cs="Arial"/>
        </w:rPr>
        <w:drawing>
          <wp:inline distT="0" distB="0" distL="0" distR="0" wp14:anchorId="2C82F341" wp14:editId="36BABEC2">
            <wp:extent cx="5943600" cy="1576705"/>
            <wp:effectExtent l="0" t="0" r="0" b="0"/>
            <wp:docPr id="232" name="Picture 11" descr="CH4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1" descr="CH4_2.jpg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576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46B54E7A" w14:textId="77777777" w:rsidR="00B0246E" w:rsidRDefault="00B0246E" w:rsidP="00414677">
      <w:pPr>
        <w:rPr>
          <w:rFonts w:ascii="Arial" w:hAnsi="Arial" w:cs="Arial"/>
          <w:b/>
          <w:sz w:val="48"/>
        </w:rPr>
      </w:pPr>
    </w:p>
    <w:p w14:paraId="030E3312" w14:textId="77777777" w:rsidR="00B0246E" w:rsidRDefault="00B0246E" w:rsidP="00414677">
      <w:pPr>
        <w:rPr>
          <w:rFonts w:ascii="Arial" w:hAnsi="Arial" w:cs="Arial"/>
          <w:b/>
          <w:sz w:val="48"/>
        </w:rPr>
      </w:pPr>
    </w:p>
    <w:p w14:paraId="52C9FB66" w14:textId="77777777" w:rsidR="00B0246E" w:rsidRDefault="00B0246E" w:rsidP="00414677">
      <w:pPr>
        <w:rPr>
          <w:rFonts w:ascii="Arial" w:hAnsi="Arial" w:cs="Arial"/>
          <w:b/>
          <w:sz w:val="48"/>
        </w:rPr>
      </w:pPr>
    </w:p>
    <w:p w14:paraId="29BE6B4C" w14:textId="77777777" w:rsidR="00B0246E" w:rsidRDefault="00B0246E" w:rsidP="00414677">
      <w:pPr>
        <w:rPr>
          <w:rFonts w:ascii="Arial" w:hAnsi="Arial" w:cs="Arial"/>
          <w:b/>
          <w:sz w:val="48"/>
        </w:rPr>
      </w:pPr>
    </w:p>
    <w:p w14:paraId="09271B07" w14:textId="77777777" w:rsidR="00B0246E" w:rsidRDefault="00B0246E" w:rsidP="00414677">
      <w:pPr>
        <w:rPr>
          <w:rFonts w:ascii="Arial" w:hAnsi="Arial" w:cs="Arial"/>
          <w:b/>
          <w:sz w:val="48"/>
        </w:rPr>
      </w:pPr>
    </w:p>
    <w:p w14:paraId="3C449BE8" w14:textId="77777777" w:rsidR="00B0246E" w:rsidRDefault="00B0246E" w:rsidP="00414677">
      <w:pPr>
        <w:rPr>
          <w:rFonts w:ascii="Arial" w:hAnsi="Arial" w:cs="Arial"/>
          <w:b/>
          <w:sz w:val="48"/>
        </w:rPr>
      </w:pPr>
    </w:p>
    <w:p w14:paraId="3534F085" w14:textId="4AFBE233" w:rsidR="00B0246E" w:rsidRDefault="00B0246E" w:rsidP="00414677">
      <w:pPr>
        <w:rPr>
          <w:rFonts w:ascii="Arial" w:hAnsi="Arial" w:cs="Arial"/>
          <w:b/>
          <w:sz w:val="48"/>
        </w:rPr>
      </w:pPr>
      <w:r>
        <w:rPr>
          <w:rFonts w:ascii="Arial" w:hAnsi="Arial" w:cs="Arial"/>
          <w:b/>
          <w:sz w:val="48"/>
        </w:rPr>
        <w:t>The Closing Process</w:t>
      </w:r>
    </w:p>
    <w:p w14:paraId="3F8A39E4" w14:textId="77777777" w:rsidR="00000000" w:rsidRPr="00B0246E" w:rsidRDefault="00B0246E" w:rsidP="00B0246E">
      <w:pPr>
        <w:numPr>
          <w:ilvl w:val="0"/>
          <w:numId w:val="16"/>
        </w:numPr>
        <w:rPr>
          <w:rFonts w:ascii="Arial" w:hAnsi="Arial" w:cs="Arial"/>
        </w:rPr>
      </w:pPr>
      <w:r w:rsidRPr="00B0246E">
        <w:rPr>
          <w:rFonts w:ascii="Arial" w:hAnsi="Arial" w:cs="Arial"/>
          <w:lang w:val="en-CA"/>
        </w:rPr>
        <w:t>Close revenue acc</w:t>
      </w:r>
      <w:r w:rsidRPr="00B0246E">
        <w:rPr>
          <w:rFonts w:ascii="Arial" w:hAnsi="Arial" w:cs="Arial"/>
          <w:lang w:val="en-CA"/>
        </w:rPr>
        <w:t>ounts:</w:t>
      </w:r>
    </w:p>
    <w:p w14:paraId="34DBB326" w14:textId="77777777" w:rsidR="00000000" w:rsidRPr="00B0246E" w:rsidRDefault="00B0246E" w:rsidP="00B0246E">
      <w:pPr>
        <w:numPr>
          <w:ilvl w:val="1"/>
          <w:numId w:val="16"/>
        </w:numPr>
        <w:rPr>
          <w:rFonts w:ascii="Arial" w:hAnsi="Arial" w:cs="Arial"/>
        </w:rPr>
      </w:pPr>
      <w:r w:rsidRPr="00B0246E">
        <w:rPr>
          <w:rFonts w:ascii="Arial" w:hAnsi="Arial" w:cs="Arial"/>
          <w:lang w:val="en-CA"/>
        </w:rPr>
        <w:t>Debit each revenue account for its balance and credit Income Summary</w:t>
      </w:r>
    </w:p>
    <w:p w14:paraId="6B74920B" w14:textId="77777777" w:rsidR="00000000" w:rsidRPr="00B0246E" w:rsidRDefault="00B0246E" w:rsidP="00B0246E">
      <w:pPr>
        <w:numPr>
          <w:ilvl w:val="0"/>
          <w:numId w:val="16"/>
        </w:numPr>
        <w:rPr>
          <w:rFonts w:ascii="Arial" w:hAnsi="Arial" w:cs="Arial"/>
        </w:rPr>
      </w:pPr>
      <w:r w:rsidRPr="00B0246E">
        <w:rPr>
          <w:rFonts w:ascii="Arial" w:hAnsi="Arial" w:cs="Arial"/>
          <w:lang w:val="en-CA"/>
        </w:rPr>
        <w:t>Close expense accounts:</w:t>
      </w:r>
    </w:p>
    <w:p w14:paraId="721396A5" w14:textId="77777777" w:rsidR="00000000" w:rsidRPr="00B0246E" w:rsidRDefault="00B0246E" w:rsidP="00B0246E">
      <w:pPr>
        <w:numPr>
          <w:ilvl w:val="1"/>
          <w:numId w:val="16"/>
        </w:numPr>
        <w:rPr>
          <w:rFonts w:ascii="Arial" w:hAnsi="Arial" w:cs="Arial"/>
        </w:rPr>
      </w:pPr>
      <w:r w:rsidRPr="00B0246E">
        <w:rPr>
          <w:rFonts w:ascii="Arial" w:hAnsi="Arial" w:cs="Arial"/>
          <w:lang w:val="en-CA"/>
        </w:rPr>
        <w:t>Debit Income Summary and credit each expense account for its balance</w:t>
      </w:r>
    </w:p>
    <w:p w14:paraId="74873272" w14:textId="77777777" w:rsidR="00000000" w:rsidRPr="00B0246E" w:rsidRDefault="00B0246E" w:rsidP="00B0246E">
      <w:pPr>
        <w:numPr>
          <w:ilvl w:val="0"/>
          <w:numId w:val="16"/>
        </w:numPr>
        <w:rPr>
          <w:rFonts w:ascii="Arial" w:hAnsi="Arial" w:cs="Arial"/>
        </w:rPr>
      </w:pPr>
      <w:r w:rsidRPr="00B0246E">
        <w:rPr>
          <w:rFonts w:ascii="Arial" w:hAnsi="Arial" w:cs="Arial"/>
          <w:lang w:val="en-CA"/>
        </w:rPr>
        <w:t>Close Income Summary:</w:t>
      </w:r>
    </w:p>
    <w:p w14:paraId="01A73F05" w14:textId="77777777" w:rsidR="00000000" w:rsidRPr="00B0246E" w:rsidRDefault="00B0246E" w:rsidP="00B0246E">
      <w:pPr>
        <w:numPr>
          <w:ilvl w:val="1"/>
          <w:numId w:val="16"/>
        </w:numPr>
        <w:rPr>
          <w:rFonts w:ascii="Arial" w:hAnsi="Arial" w:cs="Arial"/>
        </w:rPr>
      </w:pPr>
      <w:r w:rsidRPr="00B0246E">
        <w:rPr>
          <w:rFonts w:ascii="Arial" w:hAnsi="Arial" w:cs="Arial"/>
          <w:lang w:val="en-CA"/>
        </w:rPr>
        <w:t>Debit (or credit) Income Summary for the balance in the account and credit (debit) Retained Earnings</w:t>
      </w:r>
    </w:p>
    <w:p w14:paraId="0829632F" w14:textId="77777777" w:rsidR="00000000" w:rsidRPr="00B0246E" w:rsidRDefault="00B0246E" w:rsidP="00B0246E">
      <w:pPr>
        <w:numPr>
          <w:ilvl w:val="0"/>
          <w:numId w:val="16"/>
        </w:numPr>
        <w:rPr>
          <w:rFonts w:ascii="Arial" w:hAnsi="Arial" w:cs="Arial"/>
        </w:rPr>
      </w:pPr>
      <w:r w:rsidRPr="00B0246E">
        <w:rPr>
          <w:rFonts w:ascii="Arial" w:hAnsi="Arial" w:cs="Arial"/>
          <w:lang w:val="en-CA"/>
        </w:rPr>
        <w:t>Close Dividends account:</w:t>
      </w:r>
    </w:p>
    <w:p w14:paraId="36CEB6AD" w14:textId="77777777" w:rsidR="00000000" w:rsidRPr="00B0246E" w:rsidRDefault="00B0246E" w:rsidP="00B0246E">
      <w:pPr>
        <w:numPr>
          <w:ilvl w:val="1"/>
          <w:numId w:val="16"/>
        </w:numPr>
        <w:rPr>
          <w:rFonts w:ascii="Arial" w:hAnsi="Arial" w:cs="Arial"/>
        </w:rPr>
      </w:pPr>
      <w:r w:rsidRPr="00B0246E">
        <w:rPr>
          <w:rFonts w:ascii="Arial" w:hAnsi="Arial" w:cs="Arial"/>
          <w:lang w:val="en-CA"/>
        </w:rPr>
        <w:t>Debit Retained Earnings and credit Dividends account for the balance</w:t>
      </w:r>
    </w:p>
    <w:p w14:paraId="2F1DEE3F" w14:textId="77777777" w:rsidR="00B0246E" w:rsidRDefault="00B0246E" w:rsidP="00B0246E">
      <w:pPr>
        <w:rPr>
          <w:rFonts w:ascii="Arial" w:hAnsi="Arial" w:cs="Arial"/>
          <w:lang w:val="en-CA"/>
        </w:rPr>
      </w:pPr>
    </w:p>
    <w:p w14:paraId="2A49ADFF" w14:textId="5FFC53CB" w:rsidR="00B0246E" w:rsidRDefault="00B0246E" w:rsidP="00B0246E">
      <w:pPr>
        <w:rPr>
          <w:rFonts w:ascii="Arial" w:hAnsi="Arial" w:cs="Arial"/>
        </w:rPr>
      </w:pPr>
      <w:r w:rsidRPr="00B0246E">
        <w:rPr>
          <w:rFonts w:ascii="Arial" w:hAnsi="Arial" w:cs="Arial"/>
        </w:rPr>
        <w:drawing>
          <wp:inline distT="0" distB="0" distL="0" distR="0" wp14:anchorId="6E2783E3" wp14:editId="3FCE304B">
            <wp:extent cx="5943600" cy="1674707"/>
            <wp:effectExtent l="0" t="0" r="0" b="1905"/>
            <wp:docPr id="235" name="Picture 7" descr="CH4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7" descr="CH4_3.jpg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1796" cy="1677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378A267C" w14:textId="77777777" w:rsidR="00B0246E" w:rsidRPr="00B0246E" w:rsidRDefault="00B0246E" w:rsidP="00B0246E">
      <w:pPr>
        <w:rPr>
          <w:rFonts w:ascii="Arial" w:hAnsi="Arial" w:cs="Arial"/>
        </w:rPr>
      </w:pPr>
    </w:p>
    <w:p w14:paraId="3C21AE19" w14:textId="46021FE8" w:rsidR="00B0246E" w:rsidRDefault="00B0246E" w:rsidP="00414677">
      <w:pPr>
        <w:rPr>
          <w:rFonts w:ascii="Arial" w:hAnsi="Arial" w:cs="Arial"/>
          <w:b/>
          <w:sz w:val="48"/>
          <w:lang w:val="en-CA"/>
        </w:rPr>
      </w:pPr>
      <w:r w:rsidRPr="00B0246E">
        <w:rPr>
          <w:rFonts w:ascii="Arial" w:hAnsi="Arial" w:cs="Arial"/>
          <w:b/>
          <w:sz w:val="48"/>
          <w:lang w:val="en-CA"/>
        </w:rPr>
        <w:t>Summary of the Accounting Cycle</w:t>
      </w:r>
    </w:p>
    <w:p w14:paraId="44394456" w14:textId="0470F9E6" w:rsidR="00B0246E" w:rsidRPr="00414677" w:rsidRDefault="00B0246E" w:rsidP="00414677">
      <w:pPr>
        <w:rPr>
          <w:rFonts w:ascii="Arial" w:hAnsi="Arial" w:cs="Arial"/>
          <w:b/>
          <w:sz w:val="48"/>
        </w:rPr>
      </w:pPr>
      <w:r w:rsidRPr="00B0246E">
        <w:rPr>
          <w:rFonts w:ascii="Arial" w:hAnsi="Arial" w:cs="Arial"/>
          <w:b/>
          <w:sz w:val="48"/>
        </w:rPr>
        <w:drawing>
          <wp:inline distT="0" distB="0" distL="0" distR="0" wp14:anchorId="7D2F8E58" wp14:editId="5C0864C8">
            <wp:extent cx="5752901" cy="3888740"/>
            <wp:effectExtent l="0" t="0" r="0" b="0"/>
            <wp:docPr id="236" name="Picture 7" descr="CH4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7" descr="CH4_5.jpg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338" cy="3891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sectPr w:rsidR="00B0246E" w:rsidRPr="00414677" w:rsidSect="009636A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40645C"/>
    <w:multiLevelType w:val="hybridMultilevel"/>
    <w:tmpl w:val="D696BB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9C6173"/>
    <w:multiLevelType w:val="hybridMultilevel"/>
    <w:tmpl w:val="907A25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491215"/>
    <w:multiLevelType w:val="hybridMultilevel"/>
    <w:tmpl w:val="D4E29382"/>
    <w:lvl w:ilvl="0" w:tplc="8D0453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A2623A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05634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56213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AD6AD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7A024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88E3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C761A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4E6F8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292946EA"/>
    <w:multiLevelType w:val="hybridMultilevel"/>
    <w:tmpl w:val="5204B7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BE57D31"/>
    <w:multiLevelType w:val="hybridMultilevel"/>
    <w:tmpl w:val="11BA93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C3E62AE"/>
    <w:multiLevelType w:val="hybridMultilevel"/>
    <w:tmpl w:val="C67653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CA25AA1"/>
    <w:multiLevelType w:val="hybridMultilevel"/>
    <w:tmpl w:val="5ACCD7AC"/>
    <w:lvl w:ilvl="0" w:tplc="72CA4D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27E607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9AF9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A0C7E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53C00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71471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CE265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8F48A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5905C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46AB53B2"/>
    <w:multiLevelType w:val="hybridMultilevel"/>
    <w:tmpl w:val="38D49F94"/>
    <w:lvl w:ilvl="0" w:tplc="84BC81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138955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85E1D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04253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CF26E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2D0C9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99447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A9A68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9C8D6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47A6682D"/>
    <w:multiLevelType w:val="hybridMultilevel"/>
    <w:tmpl w:val="4F807A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D733F3"/>
    <w:multiLevelType w:val="hybridMultilevel"/>
    <w:tmpl w:val="8D4657FA"/>
    <w:lvl w:ilvl="0" w:tplc="999C67B2">
      <w:start w:val="1"/>
      <w:numFmt w:val="decimal"/>
      <w:lvlText w:val="%1."/>
      <w:lvlJc w:val="left"/>
      <w:pPr>
        <w:ind w:left="1440" w:hanging="360"/>
      </w:pPr>
      <w:rPr>
        <w:rFonts w:ascii="Arial" w:eastAsiaTheme="minorHAnsi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97D5BF2"/>
    <w:multiLevelType w:val="hybridMultilevel"/>
    <w:tmpl w:val="5BCC152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>
    <w:nsid w:val="686D6E00"/>
    <w:multiLevelType w:val="hybridMultilevel"/>
    <w:tmpl w:val="2600315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>
    <w:nsid w:val="6D5C27CD"/>
    <w:multiLevelType w:val="hybridMultilevel"/>
    <w:tmpl w:val="57A48FFE"/>
    <w:lvl w:ilvl="0" w:tplc="85D813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4126CA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9F24E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8302D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7861E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A4DB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882D6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EBA88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7D21B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731D5DE4"/>
    <w:multiLevelType w:val="hybridMultilevel"/>
    <w:tmpl w:val="9A5C2C2C"/>
    <w:lvl w:ilvl="0" w:tplc="E8523B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2FE821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5EAF2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2607B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5B6F2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6610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3DE29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7AEE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1B68B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742B58B5"/>
    <w:multiLevelType w:val="hybridMultilevel"/>
    <w:tmpl w:val="CC0097AA"/>
    <w:lvl w:ilvl="0" w:tplc="999C67B2">
      <w:start w:val="1"/>
      <w:numFmt w:val="decimal"/>
      <w:lvlText w:val="%1."/>
      <w:lvlJc w:val="left"/>
      <w:pPr>
        <w:ind w:left="1440" w:hanging="360"/>
      </w:pPr>
      <w:rPr>
        <w:rFonts w:ascii="Arial" w:eastAsiaTheme="minorHAnsi" w:hAnsi="Arial" w:cs="Arial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7BCA4905"/>
    <w:multiLevelType w:val="hybridMultilevel"/>
    <w:tmpl w:val="28BAB120"/>
    <w:lvl w:ilvl="0" w:tplc="9D4AB5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9B4AFC4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7FECB6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16CFE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E3A98B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1820CE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0385E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B2E8E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394FF3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2"/>
  </w:num>
  <w:num w:numId="3">
    <w:abstractNumId w:val="5"/>
  </w:num>
  <w:num w:numId="4">
    <w:abstractNumId w:val="0"/>
  </w:num>
  <w:num w:numId="5">
    <w:abstractNumId w:val="8"/>
  </w:num>
  <w:num w:numId="6">
    <w:abstractNumId w:val="14"/>
  </w:num>
  <w:num w:numId="7">
    <w:abstractNumId w:val="11"/>
  </w:num>
  <w:num w:numId="8">
    <w:abstractNumId w:val="10"/>
  </w:num>
  <w:num w:numId="9">
    <w:abstractNumId w:val="7"/>
  </w:num>
  <w:num w:numId="10">
    <w:abstractNumId w:val="1"/>
  </w:num>
  <w:num w:numId="11">
    <w:abstractNumId w:val="2"/>
  </w:num>
  <w:num w:numId="12">
    <w:abstractNumId w:val="13"/>
  </w:num>
  <w:num w:numId="13">
    <w:abstractNumId w:val="9"/>
  </w:num>
  <w:num w:numId="14">
    <w:abstractNumId w:val="4"/>
  </w:num>
  <w:num w:numId="15">
    <w:abstractNumId w:val="3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063"/>
    <w:rsid w:val="00414677"/>
    <w:rsid w:val="00453E9E"/>
    <w:rsid w:val="007871EE"/>
    <w:rsid w:val="00850620"/>
    <w:rsid w:val="008C6063"/>
    <w:rsid w:val="009636A0"/>
    <w:rsid w:val="00AE2842"/>
    <w:rsid w:val="00B0246E"/>
    <w:rsid w:val="00FD1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D60E5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3E9E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7871E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94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211358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98595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654772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22339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24072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164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548260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875203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38219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8297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692356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5571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59237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17269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9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93151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260414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0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71482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98294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2017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231067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5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758401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48239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480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771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223791">
          <w:marLeft w:val="72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767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image" Target="media/image3.jpeg"/><Relationship Id="rId8" Type="http://schemas.openxmlformats.org/officeDocument/2006/relationships/image" Target="media/image4.pn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5</Pages>
  <Words>510</Words>
  <Characters>2912</Characters>
  <Application>Microsoft Macintosh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2016-01-28T19:31:00Z</dcterms:created>
  <dcterms:modified xsi:type="dcterms:W3CDTF">2016-01-28T20:39:00Z</dcterms:modified>
</cp:coreProperties>
</file>