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10557744"/>
        <w:docPartObj>
          <w:docPartGallery w:val="Cover Pages"/>
          <w:docPartUnique/>
        </w:docPartObj>
      </w:sdtPr>
      <w:sdtEndPr>
        <w:rPr>
          <w:rFonts w:ascii="Times New Roman" w:hAnsi="Times New Roman" w:cs="Times New Roman"/>
        </w:rPr>
      </w:sdtEndPr>
      <w:sdtContent>
        <w:p w14:paraId="783BA8B9" w14:textId="1E788FD3" w:rsidR="002175A7" w:rsidRDefault="002175A7">
          <w:r>
            <w:rPr>
              <w:noProof/>
            </w:rPr>
            <mc:AlternateContent>
              <mc:Choice Requires="wps">
                <w:drawing>
                  <wp:anchor distT="0" distB="0" distL="114300" distR="114300" simplePos="0" relativeHeight="251663360" behindDoc="0" locked="0" layoutInCell="1" allowOverlap="1" wp14:anchorId="23C4AE01" wp14:editId="4B542C50">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1ADCA77" w14:textId="528FC007" w:rsidR="002175A7" w:rsidRDefault="001C5140">
                                    <w:pPr>
                                      <w:pStyle w:val="NoSpacing"/>
                                      <w:spacing w:after="480"/>
                                      <w:rPr>
                                        <w:i/>
                                        <w:color w:val="262626" w:themeColor="text1" w:themeTint="D9"/>
                                        <w:sz w:val="32"/>
                                        <w:szCs w:val="32"/>
                                      </w:rPr>
                                    </w:pPr>
                                    <w:r>
                                      <w:rPr>
                                        <w:i/>
                                        <w:color w:val="262626" w:themeColor="text1" w:themeTint="D9"/>
                                        <w:sz w:val="32"/>
                                        <w:szCs w:val="32"/>
                                      </w:rPr>
                                      <w:t>ECO1102</w:t>
                                    </w:r>
                                  </w:p>
                                </w:sdtContent>
                              </w:sdt>
                              <w:p w14:paraId="233D0E73" w14:textId="18C7651D" w:rsidR="002175A7" w:rsidRDefault="0099558D">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1C5140">
                                      <w:rPr>
                                        <w:i/>
                                        <w:color w:val="262626" w:themeColor="text1" w:themeTint="D9"/>
                                        <w:sz w:val="26"/>
                                        <w:szCs w:val="26"/>
                                      </w:rPr>
                                      <w:t>Octavian</w:t>
                                    </w:r>
                                  </w:sdtContent>
                                </w:sdt>
                                <w:r w:rsidR="001C5140">
                                  <w:rPr>
                                    <w:i/>
                                    <w:color w:val="262626" w:themeColor="text1" w:themeTint="D9"/>
                                    <w:sz w:val="26"/>
                                    <w:szCs w:val="26"/>
                                  </w:rPr>
                                  <w:t xml:space="preserve"> </w:t>
                                </w:r>
                                <w:r w:rsidR="007C2C6E">
                                  <w:rPr>
                                    <w:i/>
                                    <w:color w:val="262626" w:themeColor="text1" w:themeTint="D9"/>
                                    <w:sz w:val="26"/>
                                    <w:szCs w:val="26"/>
                                  </w:rPr>
                                  <w:t>Strîmbu</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3C4AE01" id="_x0000_t202" coordsize="21600,21600" o:spt="202" path="m0,0l0,21600,21600,21600,21600,0xe">
                    <v:stroke joinstyle="miter"/>
                    <v:path gradientshapeok="t" o:connecttype="rect"/>
                  </v:shapetype>
                  <v:shape id="Text_x0020_Box_x0020_36" o:spid="_x0000_s1026" type="#_x0000_t202" alt="Title: Title and subtitle" style="position:absolute;margin-left:0;margin-top:0;width:435.75pt;height:214.55pt;z-index:25166336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1ADCA77" w14:textId="528FC007" w:rsidR="002175A7" w:rsidRDefault="001C5140">
                              <w:pPr>
                                <w:pStyle w:val="NoSpacing"/>
                                <w:spacing w:after="480"/>
                                <w:rPr>
                                  <w:i/>
                                  <w:color w:val="262626" w:themeColor="text1" w:themeTint="D9"/>
                                  <w:sz w:val="32"/>
                                  <w:szCs w:val="32"/>
                                </w:rPr>
                              </w:pPr>
                              <w:r>
                                <w:rPr>
                                  <w:i/>
                                  <w:color w:val="262626" w:themeColor="text1" w:themeTint="D9"/>
                                  <w:sz w:val="32"/>
                                  <w:szCs w:val="32"/>
                                </w:rPr>
                                <w:t>ECO1102</w:t>
                              </w:r>
                            </w:p>
                          </w:sdtContent>
                        </w:sdt>
                        <w:p w14:paraId="233D0E73" w14:textId="18C7651D" w:rsidR="002175A7" w:rsidRDefault="003C707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1C5140">
                                <w:rPr>
                                  <w:i/>
                                  <w:color w:val="262626" w:themeColor="text1" w:themeTint="D9"/>
                                  <w:sz w:val="26"/>
                                  <w:szCs w:val="26"/>
                                </w:rPr>
                                <w:t>Octavian</w:t>
                              </w:r>
                            </w:sdtContent>
                          </w:sdt>
                          <w:r w:rsidR="001C5140">
                            <w:rPr>
                              <w:i/>
                              <w:color w:val="262626" w:themeColor="text1" w:themeTint="D9"/>
                              <w:sz w:val="26"/>
                              <w:szCs w:val="26"/>
                            </w:rPr>
                            <w:t xml:space="preserve"> </w:t>
                          </w:r>
                          <w:proofErr w:type="spellStart"/>
                          <w:r w:rsidR="007C2C6E">
                            <w:rPr>
                              <w:i/>
                              <w:color w:val="262626" w:themeColor="text1" w:themeTint="D9"/>
                              <w:sz w:val="26"/>
                              <w:szCs w:val="26"/>
                            </w:rPr>
                            <w:t>Strîmbu</w:t>
                          </w:r>
                          <w:proofErr w:type="spellEnd"/>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7734CBA1" wp14:editId="3042B496">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2BD3C34" id="Straight_x0020_Connector_x0020_37" o:spid="_x0000_s1026" style="position:absolute;z-index:-25165414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1312" behindDoc="0" locked="0" layoutInCell="1" allowOverlap="1" wp14:anchorId="02AD8FEE" wp14:editId="57774E50">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6917690" cy="3738880"/>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917690" cy="3738880"/>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92EC3D6" w14:textId="5CEAF8E0" w:rsidR="002175A7" w:rsidRDefault="000B7B7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Saving and interest rates (eco1102)</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21BAA02" w14:textId="3E4F0DC8" w:rsidR="002175A7" w:rsidRDefault="002175A7">
                                    <w:pPr>
                                      <w:pStyle w:val="NoSpacing"/>
                                      <w:rPr>
                                        <w:i/>
                                        <w:color w:val="262626" w:themeColor="text1" w:themeTint="D9"/>
                                        <w:sz w:val="36"/>
                                        <w:szCs w:val="36"/>
                                      </w:rPr>
                                    </w:pPr>
                                    <w:r>
                                      <w:rPr>
                                        <w:color w:val="262626" w:themeColor="text1" w:themeTint="D9"/>
                                        <w:sz w:val="36"/>
                                        <w:szCs w:val="36"/>
                                      </w:rPr>
                                      <w:t>Mathilde Jovanovic-Pelletier 8128741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2AD8FEE" id="Text_x0020_Box_x0020_38" o:spid="_x0000_s1027" type="#_x0000_t202" alt="Title: Title and subtitle" style="position:absolute;margin-left:0;margin-top:0;width:544.7pt;height:294.4pt;z-index:25166131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92EC3D6" w14:textId="5CEAF8E0" w:rsidR="002175A7" w:rsidRDefault="000B7B7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Saving and interest rates (eco1102)</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21BAA02" w14:textId="3E4F0DC8" w:rsidR="002175A7" w:rsidRDefault="002175A7">
                              <w:pPr>
                                <w:pStyle w:val="NoSpacing"/>
                                <w:rPr>
                                  <w:i/>
                                  <w:color w:val="262626" w:themeColor="text1" w:themeTint="D9"/>
                                  <w:sz w:val="36"/>
                                  <w:szCs w:val="36"/>
                                </w:rPr>
                              </w:pPr>
                              <w:r>
                                <w:rPr>
                                  <w:color w:val="262626" w:themeColor="text1" w:themeTint="D9"/>
                                  <w:sz w:val="36"/>
                                  <w:szCs w:val="36"/>
                                </w:rPr>
                                <w:t>Mathilde Jovanovic-Pelletier 8128741</w:t>
                              </w:r>
                            </w:p>
                          </w:sdtContent>
                        </w:sdt>
                      </w:txbxContent>
                    </v:textbox>
                    <w10:wrap anchorx="page" anchory="page"/>
                  </v:shape>
                </w:pict>
              </mc:Fallback>
            </mc:AlternateContent>
          </w:r>
        </w:p>
        <w:p w14:paraId="0A0C0DD1" w14:textId="649923AA" w:rsidR="00BD7373" w:rsidRPr="00D41B8E" w:rsidRDefault="002175A7" w:rsidP="00D41B8E">
          <w:pPr>
            <w:rPr>
              <w:rFonts w:ascii="Times New Roman" w:hAnsi="Times New Roman" w:cs="Times New Roman"/>
            </w:rPr>
          </w:pPr>
          <w:r>
            <w:rPr>
              <w:rFonts w:ascii="Times New Roman" w:hAnsi="Times New Roman" w:cs="Times New Roman"/>
            </w:rPr>
            <w:br w:type="page"/>
          </w:r>
        </w:p>
      </w:sdtContent>
    </w:sdt>
    <w:p w14:paraId="531A8808" w14:textId="77777777" w:rsidR="0002423B" w:rsidRDefault="0002423B" w:rsidP="006309F2">
      <w:pPr>
        <w:ind w:firstLine="720"/>
        <w:rPr>
          <w:rFonts w:ascii="Times New Roman" w:hAnsi="Times New Roman" w:cs="Times New Roman"/>
        </w:rPr>
      </w:pPr>
    </w:p>
    <w:p w14:paraId="167AFD81" w14:textId="77777777" w:rsidR="00845BB2" w:rsidRDefault="00496E4D" w:rsidP="00A7663E">
      <w:pPr>
        <w:pStyle w:val="NormalWeb"/>
        <w:ind w:firstLine="720"/>
        <w:jc w:val="both"/>
        <w:rPr>
          <w:rFonts w:asciiTheme="minorHAnsi" w:hAnsiTheme="minorHAnsi"/>
        </w:rPr>
      </w:pPr>
      <w:r w:rsidRPr="0021745F">
        <w:rPr>
          <w:rFonts w:asciiTheme="minorHAnsi" w:hAnsiTheme="minorHAnsi"/>
        </w:rPr>
        <w:t>T</w:t>
      </w:r>
      <w:r w:rsidR="0073717F" w:rsidRPr="0021745F">
        <w:rPr>
          <w:rFonts w:asciiTheme="minorHAnsi" w:hAnsiTheme="minorHAnsi"/>
        </w:rPr>
        <w:t>here are two components that are paramount in economic growth in the long-run</w:t>
      </w:r>
      <w:r w:rsidRPr="0021745F">
        <w:rPr>
          <w:rFonts w:asciiTheme="minorHAnsi" w:hAnsiTheme="minorHAnsi"/>
        </w:rPr>
        <w:t xml:space="preserve"> in the financial system</w:t>
      </w:r>
      <w:r w:rsidR="0073717F" w:rsidRPr="0021745F">
        <w:rPr>
          <w:rFonts w:asciiTheme="minorHAnsi" w:hAnsiTheme="minorHAnsi"/>
        </w:rPr>
        <w:t xml:space="preserve">-the savers and borrowers. </w:t>
      </w:r>
      <w:r w:rsidR="003B7AA0" w:rsidRPr="0021745F">
        <w:rPr>
          <w:rFonts w:asciiTheme="minorHAnsi" w:hAnsiTheme="minorHAnsi"/>
        </w:rPr>
        <w:t xml:space="preserve">Many commentators, including high officials of the bank of Canada, have blamed the spending habits of the Canadian public from 1981 to 2005 for high interest rates. These commentators and high officials of the bank of Canada are in fact correct. </w:t>
      </w:r>
      <w:r w:rsidR="00BA5571" w:rsidRPr="0021745F">
        <w:rPr>
          <w:rFonts w:asciiTheme="minorHAnsi" w:hAnsiTheme="minorHAnsi"/>
        </w:rPr>
        <w:t xml:space="preserve">Figure 1.0 illustrates that there is a factor somewhere in the Canadian economy that is </w:t>
      </w:r>
      <w:r w:rsidR="00586EC3" w:rsidRPr="0021745F">
        <w:rPr>
          <w:rFonts w:asciiTheme="minorHAnsi" w:hAnsiTheme="minorHAnsi"/>
        </w:rPr>
        <w:t xml:space="preserve">detracting savers from saving at a somewhat constant rhythm from 1981 to 2005. </w:t>
      </w:r>
    </w:p>
    <w:p w14:paraId="6C0EE2C3" w14:textId="300FF62D" w:rsidR="003D579B" w:rsidRDefault="003D579B" w:rsidP="00A7663E">
      <w:pPr>
        <w:pStyle w:val="NormalWeb"/>
        <w:ind w:firstLine="720"/>
        <w:jc w:val="both"/>
        <w:rPr>
          <w:rFonts w:asciiTheme="minorHAnsi" w:hAnsiTheme="minorHAnsi"/>
        </w:rPr>
      </w:pPr>
      <w:r>
        <w:rPr>
          <w:rFonts w:asciiTheme="minorHAnsi" w:hAnsiTheme="minorHAnsi"/>
        </w:rPr>
        <w:t>The causality</w:t>
      </w:r>
      <w:r w:rsidR="00586EC3" w:rsidRPr="0021745F">
        <w:rPr>
          <w:rFonts w:asciiTheme="minorHAnsi" w:hAnsiTheme="minorHAnsi"/>
        </w:rPr>
        <w:t xml:space="preserve"> of this </w:t>
      </w:r>
      <w:r>
        <w:rPr>
          <w:rFonts w:asciiTheme="minorHAnsi" w:hAnsiTheme="minorHAnsi"/>
        </w:rPr>
        <w:t xml:space="preserve">household </w:t>
      </w:r>
      <w:r w:rsidR="00845BB2">
        <w:rPr>
          <w:rFonts w:asciiTheme="minorHAnsi" w:hAnsiTheme="minorHAnsi"/>
        </w:rPr>
        <w:t>saving</w:t>
      </w:r>
      <w:r>
        <w:rPr>
          <w:rFonts w:asciiTheme="minorHAnsi" w:hAnsiTheme="minorHAnsi"/>
        </w:rPr>
        <w:t xml:space="preserve"> rate</w:t>
      </w:r>
      <w:r w:rsidR="00845BB2">
        <w:rPr>
          <w:rFonts w:asciiTheme="minorHAnsi" w:hAnsiTheme="minorHAnsi"/>
        </w:rPr>
        <w:t xml:space="preserve"> </w:t>
      </w:r>
      <w:r w:rsidR="00586EC3" w:rsidRPr="0021745F">
        <w:rPr>
          <w:rFonts w:asciiTheme="minorHAnsi" w:hAnsiTheme="minorHAnsi"/>
        </w:rPr>
        <w:t xml:space="preserve">downfall </w:t>
      </w:r>
      <w:r>
        <w:rPr>
          <w:rFonts w:asciiTheme="minorHAnsi" w:hAnsiTheme="minorHAnsi"/>
        </w:rPr>
        <w:t xml:space="preserve">can be due to a plethora of economic components. With regards to interest rates, the decline in household saving rates can be attributed to either higher interest rates or lower interest rates. The </w:t>
      </w:r>
      <w:r w:rsidR="001D6A51">
        <w:rPr>
          <w:rFonts w:asciiTheme="minorHAnsi" w:hAnsiTheme="minorHAnsi"/>
        </w:rPr>
        <w:t>mechanisms of supply and demand of the financial market are</w:t>
      </w:r>
      <w:r>
        <w:rPr>
          <w:rFonts w:asciiTheme="minorHAnsi" w:hAnsiTheme="minorHAnsi"/>
        </w:rPr>
        <w:t xml:space="preserve"> </w:t>
      </w:r>
      <w:r w:rsidR="001D6A51">
        <w:rPr>
          <w:rFonts w:asciiTheme="minorHAnsi" w:hAnsiTheme="minorHAnsi"/>
        </w:rPr>
        <w:t>demonstrated</w:t>
      </w:r>
      <w:r>
        <w:rPr>
          <w:rFonts w:asciiTheme="minorHAnsi" w:hAnsiTheme="minorHAnsi"/>
        </w:rPr>
        <w:t xml:space="preserve"> in the Market for </w:t>
      </w:r>
      <w:r w:rsidR="00E82AA9">
        <w:rPr>
          <w:rFonts w:asciiTheme="minorHAnsi" w:hAnsiTheme="minorHAnsi"/>
        </w:rPr>
        <w:t>Loanable Funds diagram (figure 2</w:t>
      </w:r>
      <w:r>
        <w:rPr>
          <w:rFonts w:asciiTheme="minorHAnsi" w:hAnsiTheme="minorHAnsi"/>
        </w:rPr>
        <w:t xml:space="preserve">.0). </w:t>
      </w:r>
      <w:r w:rsidR="001D6A51">
        <w:rPr>
          <w:rFonts w:asciiTheme="minorHAnsi" w:hAnsiTheme="minorHAnsi"/>
        </w:rPr>
        <w:t xml:space="preserve"> Simply put, this diagram presents how savers and borrowers affect int</w:t>
      </w:r>
      <w:r w:rsidR="00CC3205">
        <w:rPr>
          <w:rFonts w:asciiTheme="minorHAnsi" w:hAnsiTheme="minorHAnsi"/>
        </w:rPr>
        <w:t>erest rates and loanable funds</w:t>
      </w:r>
      <w:r w:rsidR="00656961">
        <w:rPr>
          <w:rFonts w:asciiTheme="minorHAnsi" w:hAnsiTheme="minorHAnsi"/>
        </w:rPr>
        <w:t>,</w:t>
      </w:r>
      <w:r w:rsidR="00CC3205">
        <w:rPr>
          <w:rFonts w:asciiTheme="minorHAnsi" w:hAnsiTheme="minorHAnsi"/>
        </w:rPr>
        <w:t xml:space="preserve"> and vice-versa. The </w:t>
      </w:r>
      <w:r w:rsidR="00FB58E8">
        <w:rPr>
          <w:rFonts w:asciiTheme="minorHAnsi" w:hAnsiTheme="minorHAnsi"/>
        </w:rPr>
        <w:t xml:space="preserve">savers represent the </w:t>
      </w:r>
      <w:r w:rsidR="00CC3205">
        <w:rPr>
          <w:rFonts w:asciiTheme="minorHAnsi" w:hAnsiTheme="minorHAnsi"/>
        </w:rPr>
        <w:t xml:space="preserve">supply </w:t>
      </w:r>
      <w:r w:rsidR="00FB58E8">
        <w:rPr>
          <w:rFonts w:asciiTheme="minorHAnsi" w:hAnsiTheme="minorHAnsi"/>
        </w:rPr>
        <w:t xml:space="preserve">curve considering they are supplying the funds to the borrowers. The borrowers represent the demand curve because they are in demand for funds from the savers; both curves are codependent and co-reliant. </w:t>
      </w:r>
    </w:p>
    <w:p w14:paraId="5687482B" w14:textId="5D80D733" w:rsidR="001F07D0" w:rsidRPr="0021745F" w:rsidRDefault="00581387" w:rsidP="0039013B">
      <w:pPr>
        <w:pStyle w:val="NormalWeb"/>
        <w:ind w:firstLine="720"/>
        <w:jc w:val="both"/>
        <w:rPr>
          <w:rFonts w:asciiTheme="minorHAnsi" w:hAnsiTheme="minorHAnsi"/>
        </w:rPr>
      </w:pPr>
      <w:r w:rsidRPr="0021745F">
        <w:rPr>
          <w:rFonts w:asciiTheme="minorHAnsi" w:hAnsiTheme="minorHAnsi"/>
        </w:rPr>
        <w:t>Fundamentally,</w:t>
      </w:r>
      <w:r w:rsidR="0095517F" w:rsidRPr="0021745F">
        <w:rPr>
          <w:rFonts w:asciiTheme="minorHAnsi" w:hAnsiTheme="minorHAnsi"/>
        </w:rPr>
        <w:t xml:space="preserve"> h</w:t>
      </w:r>
      <w:r w:rsidR="00E10467" w:rsidRPr="0021745F">
        <w:rPr>
          <w:rFonts w:asciiTheme="minorHAnsi" w:hAnsiTheme="minorHAnsi"/>
        </w:rPr>
        <w:t>ousehold savers are stimulated when interest rates are high, as this means a higher return</w:t>
      </w:r>
      <w:r w:rsidR="00ED0F80" w:rsidRPr="0021745F">
        <w:rPr>
          <w:rFonts w:asciiTheme="minorHAnsi" w:hAnsiTheme="minorHAnsi"/>
        </w:rPr>
        <w:t xml:space="preserve"> on capital</w:t>
      </w:r>
      <w:r w:rsidR="00E10467" w:rsidRPr="0021745F">
        <w:rPr>
          <w:rFonts w:asciiTheme="minorHAnsi" w:hAnsiTheme="minorHAnsi"/>
        </w:rPr>
        <w:t xml:space="preserve"> in the future. </w:t>
      </w:r>
      <w:r w:rsidR="0002423B" w:rsidRPr="0021745F">
        <w:rPr>
          <w:rFonts w:asciiTheme="minorHAnsi" w:hAnsiTheme="minorHAnsi"/>
        </w:rPr>
        <w:t xml:space="preserve">On the other hand, when interest rates are low, savers are less inclined to save and more inclined </w:t>
      </w:r>
      <w:r w:rsidR="00BE75A4" w:rsidRPr="0021745F">
        <w:rPr>
          <w:rFonts w:asciiTheme="minorHAnsi" w:hAnsiTheme="minorHAnsi"/>
        </w:rPr>
        <w:t xml:space="preserve">to </w:t>
      </w:r>
      <w:r w:rsidR="007F071A" w:rsidRPr="0021745F">
        <w:rPr>
          <w:rFonts w:asciiTheme="minorHAnsi" w:hAnsiTheme="minorHAnsi"/>
        </w:rPr>
        <w:t xml:space="preserve">consume and spend; this is the tradeoff. </w:t>
      </w:r>
      <w:r w:rsidR="0002423B" w:rsidRPr="0021745F">
        <w:rPr>
          <w:rFonts w:asciiTheme="minorHAnsi" w:hAnsiTheme="minorHAnsi"/>
        </w:rPr>
        <w:t xml:space="preserve">This brings us to the point of interest rates and public spending. </w:t>
      </w:r>
      <w:r w:rsidR="007F071A" w:rsidRPr="0021745F">
        <w:rPr>
          <w:rFonts w:asciiTheme="minorHAnsi" w:hAnsiTheme="minorHAnsi"/>
        </w:rPr>
        <w:t xml:space="preserve">As the interest rates go down </w:t>
      </w:r>
      <w:r w:rsidR="007A41A4" w:rsidRPr="0021745F">
        <w:rPr>
          <w:rFonts w:asciiTheme="minorHAnsi" w:hAnsiTheme="minorHAnsi"/>
        </w:rPr>
        <w:t>s</w:t>
      </w:r>
      <w:r w:rsidR="007F071A" w:rsidRPr="0021745F">
        <w:rPr>
          <w:rFonts w:asciiTheme="minorHAnsi" w:hAnsiTheme="minorHAnsi"/>
        </w:rPr>
        <w:t>o</w:t>
      </w:r>
      <w:r w:rsidR="007C6E42" w:rsidRPr="0021745F">
        <w:rPr>
          <w:rFonts w:asciiTheme="minorHAnsi" w:hAnsiTheme="minorHAnsi"/>
        </w:rPr>
        <w:t xml:space="preserve"> does the household saving rate (supply curve shifts to the left, lowering capital for investors).</w:t>
      </w:r>
      <w:r w:rsidR="007A41A4" w:rsidRPr="0021745F">
        <w:rPr>
          <w:rFonts w:asciiTheme="minorHAnsi" w:hAnsiTheme="minorHAnsi"/>
        </w:rPr>
        <w:t xml:space="preserve"> If households are not putting their money in banks to save and grow interest on, they now </w:t>
      </w:r>
      <w:r w:rsidR="001F53B6">
        <w:rPr>
          <w:rFonts w:asciiTheme="minorHAnsi" w:hAnsiTheme="minorHAnsi"/>
        </w:rPr>
        <w:t>have this money to use. T</w:t>
      </w:r>
      <w:r w:rsidR="007A41A4" w:rsidRPr="0021745F">
        <w:rPr>
          <w:rFonts w:asciiTheme="minorHAnsi" w:hAnsiTheme="minorHAnsi"/>
        </w:rPr>
        <w:t xml:space="preserve">his justifies </w:t>
      </w:r>
      <w:r w:rsidR="00161C19" w:rsidRPr="0021745F">
        <w:rPr>
          <w:rFonts w:asciiTheme="minorHAnsi" w:hAnsiTheme="minorHAnsi"/>
        </w:rPr>
        <w:t>the savers’ greater</w:t>
      </w:r>
      <w:r w:rsidR="007A41A4" w:rsidRPr="0021745F">
        <w:rPr>
          <w:rFonts w:asciiTheme="minorHAnsi" w:hAnsiTheme="minorHAnsi"/>
        </w:rPr>
        <w:t xml:space="preserve"> </w:t>
      </w:r>
      <w:r w:rsidR="00584D51">
        <w:rPr>
          <w:rFonts w:asciiTheme="minorHAnsi" w:hAnsiTheme="minorHAnsi"/>
        </w:rPr>
        <w:t xml:space="preserve">and substantial </w:t>
      </w:r>
      <w:r w:rsidR="007A41A4" w:rsidRPr="0021745F">
        <w:rPr>
          <w:rFonts w:asciiTheme="minorHAnsi" w:hAnsiTheme="minorHAnsi"/>
        </w:rPr>
        <w:t xml:space="preserve">spending habits. </w:t>
      </w:r>
      <w:r w:rsidR="00745D91" w:rsidRPr="0021745F">
        <w:rPr>
          <w:rFonts w:asciiTheme="minorHAnsi" w:hAnsiTheme="minorHAnsi"/>
        </w:rPr>
        <w:t>When the interest rates a</w:t>
      </w:r>
      <w:r w:rsidR="00023CB3" w:rsidRPr="0021745F">
        <w:rPr>
          <w:rFonts w:asciiTheme="minorHAnsi" w:hAnsiTheme="minorHAnsi"/>
        </w:rPr>
        <w:t>re</w:t>
      </w:r>
      <w:r w:rsidR="00745D91" w:rsidRPr="0021745F">
        <w:rPr>
          <w:rFonts w:asciiTheme="minorHAnsi" w:hAnsiTheme="minorHAnsi"/>
        </w:rPr>
        <w:t xml:space="preserve"> favorable to savers, the percentage of savers increases</w:t>
      </w:r>
      <w:r w:rsidR="007C6E42" w:rsidRPr="0021745F">
        <w:rPr>
          <w:rFonts w:asciiTheme="minorHAnsi" w:hAnsiTheme="minorHAnsi"/>
        </w:rPr>
        <w:t xml:space="preserve"> (supply curve shifts to the right)</w:t>
      </w:r>
      <w:r w:rsidR="00745D91" w:rsidRPr="0021745F">
        <w:rPr>
          <w:rFonts w:asciiTheme="minorHAnsi" w:hAnsiTheme="minorHAnsi"/>
        </w:rPr>
        <w:t xml:space="preserve">. This increase in the supply in the </w:t>
      </w:r>
      <w:r w:rsidR="003739D4" w:rsidRPr="0021745F">
        <w:rPr>
          <w:rFonts w:asciiTheme="minorHAnsi" w:hAnsiTheme="minorHAnsi"/>
        </w:rPr>
        <w:t>market for loanable funds</w:t>
      </w:r>
      <w:r w:rsidR="00745D91" w:rsidRPr="0021745F">
        <w:rPr>
          <w:rFonts w:asciiTheme="minorHAnsi" w:hAnsiTheme="minorHAnsi"/>
        </w:rPr>
        <w:t xml:space="preserve"> makes the interest rates consequently go down </w:t>
      </w:r>
      <w:r w:rsidR="00670BE4" w:rsidRPr="0021745F">
        <w:rPr>
          <w:rFonts w:asciiTheme="minorHAnsi" w:hAnsiTheme="minorHAnsi"/>
        </w:rPr>
        <w:t xml:space="preserve">(makes the </w:t>
      </w:r>
      <w:r w:rsidR="000B7D29" w:rsidRPr="0021745F">
        <w:rPr>
          <w:rFonts w:asciiTheme="minorHAnsi" w:hAnsiTheme="minorHAnsi"/>
        </w:rPr>
        <w:t xml:space="preserve">quantity of </w:t>
      </w:r>
      <w:r w:rsidR="00670BE4" w:rsidRPr="0021745F">
        <w:rPr>
          <w:rFonts w:asciiTheme="minorHAnsi" w:hAnsiTheme="minorHAnsi"/>
        </w:rPr>
        <w:t xml:space="preserve">loanable funds </w:t>
      </w:r>
      <w:r w:rsidR="000B7D29" w:rsidRPr="0021745F">
        <w:rPr>
          <w:rFonts w:asciiTheme="minorHAnsi" w:hAnsiTheme="minorHAnsi"/>
        </w:rPr>
        <w:t xml:space="preserve">demanded </w:t>
      </w:r>
      <w:r w:rsidR="00670BE4" w:rsidRPr="0021745F">
        <w:rPr>
          <w:rFonts w:asciiTheme="minorHAnsi" w:hAnsiTheme="minorHAnsi"/>
        </w:rPr>
        <w:t xml:space="preserve">go up) which </w:t>
      </w:r>
      <w:r w:rsidR="00745D91" w:rsidRPr="0021745F">
        <w:rPr>
          <w:rFonts w:asciiTheme="minorHAnsi" w:hAnsiTheme="minorHAnsi"/>
        </w:rPr>
        <w:t>i</w:t>
      </w:r>
      <w:r w:rsidR="00C26163" w:rsidRPr="0021745F">
        <w:rPr>
          <w:rFonts w:asciiTheme="minorHAnsi" w:hAnsiTheme="minorHAnsi"/>
        </w:rPr>
        <w:t>n turn makes the supply for loanable funds</w:t>
      </w:r>
      <w:r w:rsidR="00745D91" w:rsidRPr="0021745F">
        <w:rPr>
          <w:rFonts w:asciiTheme="minorHAnsi" w:hAnsiTheme="minorHAnsi"/>
        </w:rPr>
        <w:t xml:space="preserve"> go down once again. This creates a characteristic of a back-and-forth in the supply curve</w:t>
      </w:r>
      <w:r w:rsidR="007F071A" w:rsidRPr="0021745F">
        <w:rPr>
          <w:rFonts w:asciiTheme="minorHAnsi" w:hAnsiTheme="minorHAnsi"/>
        </w:rPr>
        <w:t>.</w:t>
      </w:r>
      <w:r w:rsidR="00745D91" w:rsidRPr="0021745F">
        <w:rPr>
          <w:rFonts w:asciiTheme="minorHAnsi" w:hAnsiTheme="minorHAnsi"/>
        </w:rPr>
        <w:t xml:space="preserve"> This is illustrated in figure 1.0 when the household saving rate fluctuates between certain year</w:t>
      </w:r>
      <w:r w:rsidR="00660994" w:rsidRPr="0021745F">
        <w:rPr>
          <w:rFonts w:asciiTheme="minorHAnsi" w:hAnsiTheme="minorHAnsi"/>
        </w:rPr>
        <w:t xml:space="preserve">s, for example between 1987-1989 and 2003-2004. </w:t>
      </w:r>
      <w:r w:rsidR="000B7D29" w:rsidRPr="0021745F">
        <w:rPr>
          <w:rFonts w:asciiTheme="minorHAnsi" w:hAnsiTheme="minorHAnsi"/>
        </w:rPr>
        <w:t>When interest rates decrease due to an increase in supply for loanable funds, this is beneficial to the borrowers.</w:t>
      </w:r>
    </w:p>
    <w:p w14:paraId="61F6A9D8" w14:textId="19FB4F13" w:rsidR="007F071A" w:rsidRDefault="007F071A" w:rsidP="00E82AA9">
      <w:pPr>
        <w:ind w:firstLine="720"/>
        <w:jc w:val="both"/>
        <w:rPr>
          <w:rFonts w:cs="Times New Roman"/>
        </w:rPr>
      </w:pPr>
      <w:r w:rsidRPr="0021745F">
        <w:rPr>
          <w:rFonts w:cs="Times New Roman"/>
        </w:rPr>
        <w:t xml:space="preserve">The constant decline in household saving rates is somewhat problematic as higher saving rates generates a higher rate of growth of gross domestic product. This negative slope can </w:t>
      </w:r>
      <w:r w:rsidR="00E82AA9">
        <w:rPr>
          <w:rFonts w:cs="Times New Roman"/>
        </w:rPr>
        <w:t xml:space="preserve">evidently </w:t>
      </w:r>
      <w:r w:rsidRPr="0021745F">
        <w:rPr>
          <w:rFonts w:cs="Times New Roman"/>
        </w:rPr>
        <w:t xml:space="preserve">be halted by </w:t>
      </w:r>
      <w:r w:rsidR="00E82AA9">
        <w:rPr>
          <w:rFonts w:cs="Times New Roman"/>
        </w:rPr>
        <w:t xml:space="preserve">increasing interest rates. This will </w:t>
      </w:r>
      <w:r w:rsidRPr="0021745F">
        <w:rPr>
          <w:rFonts w:cs="Times New Roman"/>
        </w:rPr>
        <w:t>incite sa</w:t>
      </w:r>
      <w:r w:rsidR="0021745F">
        <w:rPr>
          <w:rFonts w:cs="Times New Roman"/>
        </w:rPr>
        <w:t xml:space="preserve">vers to </w:t>
      </w:r>
      <w:r w:rsidR="00E82AA9">
        <w:rPr>
          <w:rFonts w:cs="Times New Roman"/>
        </w:rPr>
        <w:t xml:space="preserve">save once again. However, low interest rates on their own are not a negative, as they encourage borrowing and investing which stimulates the economy. </w:t>
      </w:r>
    </w:p>
    <w:p w14:paraId="70D5D1A1" w14:textId="77777777" w:rsidR="00E82AA9" w:rsidRDefault="00E82AA9" w:rsidP="00E82AA9">
      <w:pPr>
        <w:ind w:firstLine="720"/>
        <w:jc w:val="both"/>
        <w:rPr>
          <w:rFonts w:cs="Times New Roman"/>
        </w:rPr>
      </w:pPr>
    </w:p>
    <w:p w14:paraId="55D800CD" w14:textId="77777777" w:rsidR="00E82AA9" w:rsidRDefault="00E82AA9" w:rsidP="00E82AA9">
      <w:pPr>
        <w:ind w:firstLine="720"/>
        <w:jc w:val="both"/>
        <w:rPr>
          <w:rFonts w:cs="Times New Roman"/>
        </w:rPr>
      </w:pPr>
    </w:p>
    <w:p w14:paraId="5AA3A74A" w14:textId="77777777" w:rsidR="00E82AA9" w:rsidRPr="0021745F" w:rsidRDefault="00E82AA9" w:rsidP="00E82AA9">
      <w:pPr>
        <w:ind w:firstLine="720"/>
        <w:jc w:val="both"/>
        <w:rPr>
          <w:rFonts w:cs="Times New Roman"/>
        </w:rPr>
      </w:pPr>
    </w:p>
    <w:p w14:paraId="33C13892" w14:textId="3DFEB825" w:rsidR="00D46656" w:rsidRDefault="0021745F" w:rsidP="00286C62">
      <w:pPr>
        <w:ind w:firstLine="720"/>
        <w:jc w:val="both"/>
        <w:rPr>
          <w:rFonts w:cs="Times New Roman"/>
        </w:rPr>
      </w:pPr>
      <w:r w:rsidRPr="0021745F">
        <w:rPr>
          <w:rFonts w:cs="Times New Roman"/>
        </w:rPr>
        <w:softHyphen/>
      </w:r>
      <w:r w:rsidRPr="0021745F">
        <w:rPr>
          <w:rFonts w:cs="Times New Roman"/>
        </w:rPr>
        <w:softHyphen/>
      </w:r>
      <w:bookmarkStart w:id="0" w:name="_GoBack"/>
      <w:bookmarkEnd w:id="0"/>
    </w:p>
    <w:p w14:paraId="6F63EE04" w14:textId="77777777" w:rsidR="00E82AA9" w:rsidRDefault="00E82AA9" w:rsidP="0039013B">
      <w:pPr>
        <w:ind w:firstLine="720"/>
        <w:jc w:val="both"/>
        <w:rPr>
          <w:rFonts w:cs="Times New Roman"/>
          <w:u w:val="single"/>
        </w:rPr>
      </w:pPr>
    </w:p>
    <w:p w14:paraId="16A41A13" w14:textId="6D65C252" w:rsidR="00D46656" w:rsidRPr="00D46656" w:rsidRDefault="00D46656" w:rsidP="0039013B">
      <w:pPr>
        <w:ind w:firstLine="720"/>
        <w:jc w:val="both"/>
        <w:rPr>
          <w:rFonts w:cs="Times New Roman"/>
          <w:u w:val="single"/>
        </w:rPr>
      </w:pPr>
      <w:r w:rsidRPr="00D46656">
        <w:rPr>
          <w:rFonts w:cs="Times New Roman"/>
          <w:u w:val="single"/>
        </w:rPr>
        <w:t>Appendix</w:t>
      </w:r>
    </w:p>
    <w:p w14:paraId="4E327576" w14:textId="77777777" w:rsidR="00D46656" w:rsidRDefault="00D46656" w:rsidP="00D46656">
      <w:pPr>
        <w:jc w:val="both"/>
        <w:rPr>
          <w:rFonts w:cs="Times New Roman"/>
        </w:rPr>
      </w:pPr>
    </w:p>
    <w:p w14:paraId="00D102D1" w14:textId="77777777" w:rsidR="00D46656" w:rsidRPr="0021745F" w:rsidRDefault="00D46656" w:rsidP="0039013B">
      <w:pPr>
        <w:ind w:firstLine="720"/>
        <w:jc w:val="both"/>
        <w:rPr>
          <w:rFonts w:cs="Times New Roman"/>
        </w:rPr>
      </w:pPr>
    </w:p>
    <w:p w14:paraId="0E408CD4" w14:textId="210D4048" w:rsidR="007F071A" w:rsidRPr="0037759F" w:rsidRDefault="00B05A23" w:rsidP="00A7663E">
      <w:pPr>
        <w:ind w:firstLine="720"/>
        <w:jc w:val="both"/>
        <w:rPr>
          <w:rFonts w:ascii="Times New Roman" w:hAnsi="Times New Roman" w:cs="Times New Roman"/>
          <w:vertAlign w:val="subscript"/>
        </w:rPr>
      </w:pPr>
      <w:r>
        <w:rPr>
          <w:rFonts w:ascii="Times New Roman" w:hAnsi="Times New Roman" w:cs="Times New Roman"/>
          <w:noProof/>
        </w:rPr>
        <w:drawing>
          <wp:inline distT="0" distB="0" distL="0" distR="0" wp14:anchorId="3350D9F0" wp14:editId="65D145A8">
            <wp:extent cx="6179936" cy="4362269"/>
            <wp:effectExtent l="0" t="0" r="0" b="6985"/>
            <wp:docPr id="2" name="Picture 2" descr="../Desktop/Screen%20Shot%202016-02-16%20at%206.11.3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02-16%20at%206.11.34%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6111" cy="4366627"/>
                    </a:xfrm>
                    <a:prstGeom prst="rect">
                      <a:avLst/>
                    </a:prstGeom>
                    <a:noFill/>
                    <a:ln>
                      <a:noFill/>
                    </a:ln>
                  </pic:spPr>
                </pic:pic>
              </a:graphicData>
            </a:graphic>
          </wp:inline>
        </w:drawing>
      </w:r>
    </w:p>
    <w:p w14:paraId="5D674820" w14:textId="097D2668" w:rsidR="007F071A" w:rsidRDefault="007F071A" w:rsidP="00A7663E">
      <w:pPr>
        <w:ind w:firstLine="720"/>
        <w:jc w:val="both"/>
        <w:rPr>
          <w:rFonts w:ascii="Times New Roman" w:hAnsi="Times New Roman" w:cs="Times New Roman"/>
        </w:rPr>
      </w:pPr>
    </w:p>
    <w:p w14:paraId="5E46ECC8" w14:textId="5492838D" w:rsidR="007F071A" w:rsidRDefault="007F071A" w:rsidP="00A7663E">
      <w:pPr>
        <w:ind w:firstLine="720"/>
        <w:jc w:val="both"/>
        <w:rPr>
          <w:rFonts w:ascii="Times New Roman" w:hAnsi="Times New Roman" w:cs="Times New Roman"/>
        </w:rPr>
      </w:pPr>
    </w:p>
    <w:p w14:paraId="211C57FB" w14:textId="29F1CD49" w:rsidR="003936B4" w:rsidRDefault="003936B4" w:rsidP="00A7663E">
      <w:pPr>
        <w:ind w:firstLine="720"/>
        <w:jc w:val="both"/>
        <w:rPr>
          <w:rFonts w:ascii="Times New Roman" w:hAnsi="Times New Roman" w:cs="Times New Roman"/>
        </w:rPr>
      </w:pPr>
    </w:p>
    <w:p w14:paraId="4AED8B5D" w14:textId="6CEF7748" w:rsidR="003936B4" w:rsidRDefault="003936B4" w:rsidP="00A7663E">
      <w:pPr>
        <w:ind w:firstLine="720"/>
        <w:jc w:val="both"/>
        <w:rPr>
          <w:rFonts w:ascii="Times New Roman" w:hAnsi="Times New Roman" w:cs="Times New Roman"/>
        </w:rPr>
      </w:pPr>
    </w:p>
    <w:p w14:paraId="16085AAF" w14:textId="77777777" w:rsidR="003936B4" w:rsidRDefault="003936B4" w:rsidP="00A7663E">
      <w:pPr>
        <w:ind w:firstLine="720"/>
        <w:jc w:val="both"/>
        <w:rPr>
          <w:rFonts w:ascii="Times New Roman" w:hAnsi="Times New Roman" w:cs="Times New Roman"/>
        </w:rPr>
      </w:pPr>
    </w:p>
    <w:p w14:paraId="1EE875B6" w14:textId="0785F16F" w:rsidR="00B26903" w:rsidRDefault="00B26903" w:rsidP="001760F6">
      <w:pPr>
        <w:ind w:firstLine="720"/>
        <w:rPr>
          <w:rFonts w:ascii="Times New Roman" w:hAnsi="Times New Roman" w:cs="Times New Roman"/>
        </w:rPr>
      </w:pPr>
    </w:p>
    <w:p w14:paraId="5ADB92EA" w14:textId="77777777" w:rsidR="00D46656" w:rsidRDefault="00D46656" w:rsidP="00A7663E">
      <w:pPr>
        <w:ind w:firstLine="720"/>
        <w:jc w:val="both"/>
        <w:rPr>
          <w:rFonts w:ascii="Times New Roman" w:hAnsi="Times New Roman" w:cs="Times New Roman"/>
          <w:sz w:val="21"/>
          <w:szCs w:val="21"/>
        </w:rPr>
      </w:pPr>
      <w:r>
        <w:rPr>
          <w:rFonts w:ascii="Times New Roman" w:hAnsi="Times New Roman" w:cs="Times New Roman"/>
          <w:noProof/>
        </w:rPr>
        <w:drawing>
          <wp:inline distT="0" distB="0" distL="0" distR="0" wp14:anchorId="5C1C8B8D" wp14:editId="612BC1F2">
            <wp:extent cx="5471872" cy="4688840"/>
            <wp:effectExtent l="0" t="0" r="0" b="10160"/>
            <wp:docPr id="3" name="Picture 3" descr="../Desktop/Screen%20Shot%202016-02-24%20at%207.05.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02-24%20at%207.05.00%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9447" cy="4695331"/>
                    </a:xfrm>
                    <a:prstGeom prst="rect">
                      <a:avLst/>
                    </a:prstGeom>
                    <a:noFill/>
                    <a:ln>
                      <a:noFill/>
                    </a:ln>
                  </pic:spPr>
                </pic:pic>
              </a:graphicData>
            </a:graphic>
          </wp:inline>
        </w:drawing>
      </w:r>
    </w:p>
    <w:p w14:paraId="37896388" w14:textId="59DD2CA3" w:rsidR="001760F6" w:rsidRDefault="00E82AA9" w:rsidP="00A7663E">
      <w:pPr>
        <w:ind w:firstLine="720"/>
        <w:jc w:val="both"/>
        <w:rPr>
          <w:rFonts w:ascii="Times New Roman" w:hAnsi="Times New Roman" w:cs="Times New Roman"/>
          <w:sz w:val="21"/>
          <w:szCs w:val="21"/>
        </w:rPr>
      </w:pPr>
      <w:r>
        <w:rPr>
          <w:rFonts w:ascii="Times New Roman" w:hAnsi="Times New Roman" w:cs="Times New Roman"/>
          <w:sz w:val="21"/>
          <w:szCs w:val="21"/>
        </w:rPr>
        <w:t>figure 2</w:t>
      </w:r>
      <w:r w:rsidR="001760F6" w:rsidRPr="001760F6">
        <w:rPr>
          <w:rFonts w:ascii="Times New Roman" w:hAnsi="Times New Roman" w:cs="Times New Roman"/>
          <w:sz w:val="21"/>
          <w:szCs w:val="21"/>
        </w:rPr>
        <w:t xml:space="preserve">.0 </w:t>
      </w:r>
    </w:p>
    <w:p w14:paraId="705B6FDC" w14:textId="77777777" w:rsidR="00D46656" w:rsidRDefault="00D46656" w:rsidP="00A7663E">
      <w:pPr>
        <w:ind w:firstLine="720"/>
        <w:jc w:val="both"/>
        <w:rPr>
          <w:rFonts w:ascii="Times New Roman" w:hAnsi="Times New Roman" w:cs="Times New Roman"/>
          <w:sz w:val="21"/>
          <w:szCs w:val="21"/>
        </w:rPr>
      </w:pPr>
    </w:p>
    <w:p w14:paraId="7EDF45F3" w14:textId="77777777" w:rsidR="00D46656" w:rsidRDefault="00D46656" w:rsidP="00A7663E">
      <w:pPr>
        <w:ind w:firstLine="720"/>
        <w:jc w:val="both"/>
        <w:rPr>
          <w:rFonts w:ascii="Times New Roman" w:hAnsi="Times New Roman" w:cs="Times New Roman"/>
          <w:sz w:val="21"/>
          <w:szCs w:val="21"/>
        </w:rPr>
      </w:pPr>
    </w:p>
    <w:p w14:paraId="568B855E" w14:textId="77777777" w:rsidR="00D46656" w:rsidRDefault="00D46656" w:rsidP="00A7663E">
      <w:pPr>
        <w:ind w:firstLine="720"/>
        <w:jc w:val="both"/>
        <w:rPr>
          <w:rFonts w:ascii="Times New Roman" w:hAnsi="Times New Roman" w:cs="Times New Roman"/>
          <w:sz w:val="21"/>
          <w:szCs w:val="21"/>
        </w:rPr>
      </w:pPr>
    </w:p>
    <w:p w14:paraId="41885E5C" w14:textId="77777777" w:rsidR="00D46656" w:rsidRDefault="00D46656" w:rsidP="00A7663E">
      <w:pPr>
        <w:ind w:firstLine="720"/>
        <w:jc w:val="both"/>
        <w:rPr>
          <w:rFonts w:ascii="Times New Roman" w:hAnsi="Times New Roman" w:cs="Times New Roman"/>
          <w:sz w:val="21"/>
          <w:szCs w:val="21"/>
        </w:rPr>
      </w:pPr>
    </w:p>
    <w:p w14:paraId="2798C8E3" w14:textId="77777777" w:rsidR="00D46656" w:rsidRDefault="00D46656" w:rsidP="00A7663E">
      <w:pPr>
        <w:ind w:firstLine="720"/>
        <w:jc w:val="both"/>
        <w:rPr>
          <w:rFonts w:ascii="Times New Roman" w:hAnsi="Times New Roman" w:cs="Times New Roman"/>
          <w:sz w:val="21"/>
          <w:szCs w:val="21"/>
        </w:rPr>
      </w:pPr>
    </w:p>
    <w:p w14:paraId="2B5F81A9" w14:textId="77777777" w:rsidR="00D46656" w:rsidRDefault="00D46656" w:rsidP="00A7663E">
      <w:pPr>
        <w:ind w:firstLine="720"/>
        <w:jc w:val="both"/>
        <w:rPr>
          <w:rFonts w:ascii="Times New Roman" w:hAnsi="Times New Roman" w:cs="Times New Roman"/>
          <w:sz w:val="21"/>
          <w:szCs w:val="21"/>
        </w:rPr>
      </w:pPr>
    </w:p>
    <w:p w14:paraId="09FDF808" w14:textId="77777777" w:rsidR="00D46656" w:rsidRDefault="00D46656" w:rsidP="00A7663E">
      <w:pPr>
        <w:ind w:firstLine="720"/>
        <w:jc w:val="both"/>
        <w:rPr>
          <w:rFonts w:ascii="Times New Roman" w:hAnsi="Times New Roman" w:cs="Times New Roman"/>
          <w:sz w:val="21"/>
          <w:szCs w:val="21"/>
        </w:rPr>
      </w:pPr>
    </w:p>
    <w:p w14:paraId="6F20F0E4" w14:textId="77777777" w:rsidR="00D46656" w:rsidRDefault="00D46656" w:rsidP="00A7663E">
      <w:pPr>
        <w:ind w:firstLine="720"/>
        <w:jc w:val="both"/>
        <w:rPr>
          <w:rFonts w:ascii="Times New Roman" w:hAnsi="Times New Roman" w:cs="Times New Roman"/>
          <w:sz w:val="21"/>
          <w:szCs w:val="21"/>
        </w:rPr>
      </w:pPr>
    </w:p>
    <w:p w14:paraId="5DC65E8D" w14:textId="77777777" w:rsidR="00D46656" w:rsidRDefault="00D46656" w:rsidP="00A7663E">
      <w:pPr>
        <w:ind w:firstLine="720"/>
        <w:jc w:val="both"/>
        <w:rPr>
          <w:rFonts w:ascii="Times New Roman" w:hAnsi="Times New Roman" w:cs="Times New Roman"/>
          <w:sz w:val="21"/>
          <w:szCs w:val="21"/>
        </w:rPr>
      </w:pPr>
    </w:p>
    <w:p w14:paraId="1E262DA7" w14:textId="77777777" w:rsidR="00D46656" w:rsidRDefault="00D46656" w:rsidP="00A7663E">
      <w:pPr>
        <w:ind w:firstLine="720"/>
        <w:jc w:val="both"/>
        <w:rPr>
          <w:rFonts w:ascii="Times New Roman" w:hAnsi="Times New Roman" w:cs="Times New Roman"/>
          <w:sz w:val="21"/>
          <w:szCs w:val="21"/>
        </w:rPr>
      </w:pPr>
    </w:p>
    <w:p w14:paraId="39B21EC2" w14:textId="77777777" w:rsidR="00D46656" w:rsidRDefault="00D46656" w:rsidP="00A7663E">
      <w:pPr>
        <w:ind w:firstLine="720"/>
        <w:jc w:val="both"/>
        <w:rPr>
          <w:rFonts w:ascii="Times New Roman" w:hAnsi="Times New Roman" w:cs="Times New Roman"/>
          <w:sz w:val="21"/>
          <w:szCs w:val="21"/>
        </w:rPr>
      </w:pPr>
    </w:p>
    <w:p w14:paraId="0152D012" w14:textId="77777777" w:rsidR="00D46656" w:rsidRDefault="00D46656" w:rsidP="00A7663E">
      <w:pPr>
        <w:ind w:firstLine="720"/>
        <w:jc w:val="both"/>
        <w:rPr>
          <w:rFonts w:ascii="Times New Roman" w:hAnsi="Times New Roman" w:cs="Times New Roman"/>
          <w:sz w:val="21"/>
          <w:szCs w:val="21"/>
        </w:rPr>
      </w:pPr>
    </w:p>
    <w:p w14:paraId="610502FA" w14:textId="77777777" w:rsidR="00D46656" w:rsidRDefault="00D46656" w:rsidP="00A7663E">
      <w:pPr>
        <w:ind w:firstLine="720"/>
        <w:jc w:val="both"/>
        <w:rPr>
          <w:rFonts w:ascii="Times New Roman" w:hAnsi="Times New Roman" w:cs="Times New Roman"/>
          <w:sz w:val="21"/>
          <w:szCs w:val="21"/>
        </w:rPr>
      </w:pPr>
    </w:p>
    <w:p w14:paraId="185012C1" w14:textId="77777777" w:rsidR="00D46656" w:rsidRDefault="00D46656" w:rsidP="00A7663E">
      <w:pPr>
        <w:ind w:firstLine="720"/>
        <w:jc w:val="both"/>
        <w:rPr>
          <w:rFonts w:ascii="Times New Roman" w:hAnsi="Times New Roman" w:cs="Times New Roman"/>
          <w:sz w:val="21"/>
          <w:szCs w:val="21"/>
        </w:rPr>
      </w:pPr>
    </w:p>
    <w:p w14:paraId="52EC4490" w14:textId="77777777" w:rsidR="00D46656" w:rsidRDefault="00D46656" w:rsidP="00A7663E">
      <w:pPr>
        <w:ind w:firstLine="720"/>
        <w:jc w:val="both"/>
        <w:rPr>
          <w:rFonts w:ascii="Times New Roman" w:hAnsi="Times New Roman" w:cs="Times New Roman"/>
          <w:sz w:val="21"/>
          <w:szCs w:val="21"/>
        </w:rPr>
      </w:pPr>
    </w:p>
    <w:p w14:paraId="4D0F28F8" w14:textId="77777777" w:rsidR="00D46656" w:rsidRDefault="00D46656" w:rsidP="00A7663E">
      <w:pPr>
        <w:ind w:firstLine="720"/>
        <w:jc w:val="both"/>
        <w:rPr>
          <w:rFonts w:ascii="Times New Roman" w:hAnsi="Times New Roman" w:cs="Times New Roman"/>
          <w:sz w:val="21"/>
          <w:szCs w:val="21"/>
        </w:rPr>
      </w:pPr>
    </w:p>
    <w:p w14:paraId="59A39812" w14:textId="77777777" w:rsidR="00D46656" w:rsidRDefault="00D46656" w:rsidP="00A7663E">
      <w:pPr>
        <w:ind w:firstLine="720"/>
        <w:jc w:val="both"/>
        <w:rPr>
          <w:rFonts w:ascii="Times New Roman" w:hAnsi="Times New Roman" w:cs="Times New Roman"/>
          <w:sz w:val="21"/>
          <w:szCs w:val="21"/>
        </w:rPr>
      </w:pPr>
    </w:p>
    <w:p w14:paraId="740DCC8B" w14:textId="77777777" w:rsidR="00D46656" w:rsidRDefault="00D46656" w:rsidP="00A7663E">
      <w:pPr>
        <w:ind w:firstLine="720"/>
        <w:jc w:val="both"/>
        <w:rPr>
          <w:rFonts w:ascii="Times New Roman" w:hAnsi="Times New Roman" w:cs="Times New Roman"/>
          <w:sz w:val="21"/>
          <w:szCs w:val="21"/>
        </w:rPr>
      </w:pPr>
    </w:p>
    <w:p w14:paraId="506CE0D0" w14:textId="77777777" w:rsidR="00D46656" w:rsidRDefault="00D46656" w:rsidP="00A7663E">
      <w:pPr>
        <w:ind w:firstLine="720"/>
        <w:jc w:val="both"/>
        <w:rPr>
          <w:rFonts w:ascii="Times New Roman" w:hAnsi="Times New Roman" w:cs="Times New Roman"/>
          <w:sz w:val="21"/>
          <w:szCs w:val="21"/>
        </w:rPr>
      </w:pPr>
    </w:p>
    <w:p w14:paraId="7BF97030" w14:textId="77777777" w:rsidR="00D46656" w:rsidRPr="001760F6" w:rsidRDefault="00D46656" w:rsidP="00A7663E">
      <w:pPr>
        <w:ind w:firstLine="720"/>
        <w:jc w:val="both"/>
        <w:rPr>
          <w:rFonts w:ascii="Times New Roman" w:hAnsi="Times New Roman" w:cs="Times New Roman"/>
          <w:sz w:val="21"/>
          <w:szCs w:val="21"/>
        </w:rPr>
      </w:pPr>
    </w:p>
    <w:sectPr w:rsidR="00D46656" w:rsidRPr="001760F6" w:rsidSect="002175A7">
      <w:head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7FBEC" w14:textId="77777777" w:rsidR="0099558D" w:rsidRDefault="0099558D" w:rsidP="001C5140">
      <w:r>
        <w:separator/>
      </w:r>
    </w:p>
  </w:endnote>
  <w:endnote w:type="continuationSeparator" w:id="0">
    <w:p w14:paraId="6DC22FCC" w14:textId="77777777" w:rsidR="0099558D" w:rsidRDefault="0099558D" w:rsidP="001C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411C27" w14:textId="77777777" w:rsidR="0099558D" w:rsidRDefault="0099558D" w:rsidP="001C5140">
      <w:r>
        <w:separator/>
      </w:r>
    </w:p>
  </w:footnote>
  <w:footnote w:type="continuationSeparator" w:id="0">
    <w:p w14:paraId="332DB4F0" w14:textId="77777777" w:rsidR="0099558D" w:rsidRDefault="0099558D" w:rsidP="001C51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B24BC" w14:textId="217218A2" w:rsidR="001C5140" w:rsidRDefault="001C5140">
    <w:pPr>
      <w:pStyle w:val="Header"/>
    </w:pPr>
    <w:r>
      <w:t>Mathilde Jovanovic-Pelletier 8128741</w:t>
    </w:r>
  </w:p>
  <w:p w14:paraId="000C676E" w14:textId="77777777" w:rsidR="001C5140" w:rsidRDefault="001C514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94729E"/>
    <w:multiLevelType w:val="hybridMultilevel"/>
    <w:tmpl w:val="425C17A6"/>
    <w:lvl w:ilvl="0" w:tplc="875AFAC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312"/>
    <w:rsid w:val="00023CB3"/>
    <w:rsid w:val="0002423B"/>
    <w:rsid w:val="0002601D"/>
    <w:rsid w:val="000B7B7A"/>
    <w:rsid w:val="000B7D29"/>
    <w:rsid w:val="000C3593"/>
    <w:rsid w:val="000E2F75"/>
    <w:rsid w:val="00117107"/>
    <w:rsid w:val="00142F8C"/>
    <w:rsid w:val="00161C19"/>
    <w:rsid w:val="001760F6"/>
    <w:rsid w:val="001C0280"/>
    <w:rsid w:val="001C5140"/>
    <w:rsid w:val="001D4588"/>
    <w:rsid w:val="001D6A51"/>
    <w:rsid w:val="001E1B37"/>
    <w:rsid w:val="001E6D95"/>
    <w:rsid w:val="001F07D0"/>
    <w:rsid w:val="001F53B6"/>
    <w:rsid w:val="0020727C"/>
    <w:rsid w:val="0021745F"/>
    <w:rsid w:val="002175A7"/>
    <w:rsid w:val="00286C62"/>
    <w:rsid w:val="00355CCA"/>
    <w:rsid w:val="003739D4"/>
    <w:rsid w:val="0037759F"/>
    <w:rsid w:val="00383FF0"/>
    <w:rsid w:val="0039013B"/>
    <w:rsid w:val="003936B4"/>
    <w:rsid w:val="003B7AA0"/>
    <w:rsid w:val="003C7073"/>
    <w:rsid w:val="003D579B"/>
    <w:rsid w:val="0045214D"/>
    <w:rsid w:val="00496E4D"/>
    <w:rsid w:val="004D2320"/>
    <w:rsid w:val="0052288D"/>
    <w:rsid w:val="00577CCC"/>
    <w:rsid w:val="00581387"/>
    <w:rsid w:val="00584D51"/>
    <w:rsid w:val="00586EC3"/>
    <w:rsid w:val="005A4D8B"/>
    <w:rsid w:val="006064D0"/>
    <w:rsid w:val="006309F2"/>
    <w:rsid w:val="0064305E"/>
    <w:rsid w:val="00653211"/>
    <w:rsid w:val="00653C21"/>
    <w:rsid w:val="00656961"/>
    <w:rsid w:val="00660994"/>
    <w:rsid w:val="00670BE4"/>
    <w:rsid w:val="006B4B69"/>
    <w:rsid w:val="0073717F"/>
    <w:rsid w:val="00745D91"/>
    <w:rsid w:val="00786723"/>
    <w:rsid w:val="007A41A4"/>
    <w:rsid w:val="007A50AC"/>
    <w:rsid w:val="007C2C6E"/>
    <w:rsid w:val="007C6E42"/>
    <w:rsid w:val="007C73ED"/>
    <w:rsid w:val="007F071A"/>
    <w:rsid w:val="00845BB2"/>
    <w:rsid w:val="008561A7"/>
    <w:rsid w:val="00871467"/>
    <w:rsid w:val="008E184D"/>
    <w:rsid w:val="008E4BA9"/>
    <w:rsid w:val="008E65AE"/>
    <w:rsid w:val="008F2125"/>
    <w:rsid w:val="00941B04"/>
    <w:rsid w:val="0095517F"/>
    <w:rsid w:val="00957D2F"/>
    <w:rsid w:val="0099558D"/>
    <w:rsid w:val="009E0012"/>
    <w:rsid w:val="00A07CC6"/>
    <w:rsid w:val="00A7663E"/>
    <w:rsid w:val="00A92206"/>
    <w:rsid w:val="00AC50D8"/>
    <w:rsid w:val="00AC6985"/>
    <w:rsid w:val="00AD0141"/>
    <w:rsid w:val="00B03671"/>
    <w:rsid w:val="00B05A23"/>
    <w:rsid w:val="00B15DBC"/>
    <w:rsid w:val="00B26903"/>
    <w:rsid w:val="00B4536B"/>
    <w:rsid w:val="00B9022A"/>
    <w:rsid w:val="00BA5571"/>
    <w:rsid w:val="00BA6413"/>
    <w:rsid w:val="00BD7373"/>
    <w:rsid w:val="00BE75A4"/>
    <w:rsid w:val="00C26163"/>
    <w:rsid w:val="00C801AF"/>
    <w:rsid w:val="00C801F9"/>
    <w:rsid w:val="00CC3205"/>
    <w:rsid w:val="00D41B8E"/>
    <w:rsid w:val="00D46656"/>
    <w:rsid w:val="00DA4312"/>
    <w:rsid w:val="00DA459B"/>
    <w:rsid w:val="00DB4A7E"/>
    <w:rsid w:val="00DE0130"/>
    <w:rsid w:val="00DF0970"/>
    <w:rsid w:val="00E10467"/>
    <w:rsid w:val="00E50157"/>
    <w:rsid w:val="00E75302"/>
    <w:rsid w:val="00E82AA9"/>
    <w:rsid w:val="00EC3447"/>
    <w:rsid w:val="00EC46A1"/>
    <w:rsid w:val="00ED0F80"/>
    <w:rsid w:val="00F453D3"/>
    <w:rsid w:val="00FB58E8"/>
    <w:rsid w:val="00FC0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5D62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312"/>
    <w:pPr>
      <w:ind w:left="720"/>
      <w:contextualSpacing/>
    </w:pPr>
  </w:style>
  <w:style w:type="paragraph" w:styleId="NormalWeb">
    <w:name w:val="Normal (Web)"/>
    <w:basedOn w:val="Normal"/>
    <w:uiPriority w:val="99"/>
    <w:unhideWhenUsed/>
    <w:rsid w:val="00496E4D"/>
    <w:pPr>
      <w:spacing w:before="100" w:beforeAutospacing="1" w:after="100" w:afterAutospacing="1"/>
    </w:pPr>
    <w:rPr>
      <w:rFonts w:ascii="Times New Roman" w:hAnsi="Times New Roman" w:cs="Times New Roman"/>
    </w:rPr>
  </w:style>
  <w:style w:type="paragraph" w:styleId="NoSpacing">
    <w:name w:val="No Spacing"/>
    <w:link w:val="NoSpacingChar"/>
    <w:uiPriority w:val="1"/>
    <w:qFormat/>
    <w:rsid w:val="002175A7"/>
    <w:rPr>
      <w:rFonts w:eastAsiaTheme="minorEastAsia"/>
      <w:sz w:val="22"/>
      <w:szCs w:val="22"/>
      <w:lang w:eastAsia="zh-CN"/>
    </w:rPr>
  </w:style>
  <w:style w:type="character" w:customStyle="1" w:styleId="NoSpacingChar">
    <w:name w:val="No Spacing Char"/>
    <w:basedOn w:val="DefaultParagraphFont"/>
    <w:link w:val="NoSpacing"/>
    <w:uiPriority w:val="1"/>
    <w:rsid w:val="002175A7"/>
    <w:rPr>
      <w:rFonts w:eastAsiaTheme="minorEastAsia"/>
      <w:sz w:val="22"/>
      <w:szCs w:val="22"/>
      <w:lang w:eastAsia="zh-CN"/>
    </w:rPr>
  </w:style>
  <w:style w:type="paragraph" w:styleId="Header">
    <w:name w:val="header"/>
    <w:basedOn w:val="Normal"/>
    <w:link w:val="HeaderChar"/>
    <w:uiPriority w:val="99"/>
    <w:unhideWhenUsed/>
    <w:rsid w:val="001C5140"/>
    <w:pPr>
      <w:tabs>
        <w:tab w:val="center" w:pos="4680"/>
        <w:tab w:val="right" w:pos="9360"/>
      </w:tabs>
    </w:pPr>
  </w:style>
  <w:style w:type="character" w:customStyle="1" w:styleId="HeaderChar">
    <w:name w:val="Header Char"/>
    <w:basedOn w:val="DefaultParagraphFont"/>
    <w:link w:val="Header"/>
    <w:uiPriority w:val="99"/>
    <w:rsid w:val="001C5140"/>
  </w:style>
  <w:style w:type="paragraph" w:styleId="Footer">
    <w:name w:val="footer"/>
    <w:basedOn w:val="Normal"/>
    <w:link w:val="FooterChar"/>
    <w:uiPriority w:val="99"/>
    <w:unhideWhenUsed/>
    <w:rsid w:val="001C5140"/>
    <w:pPr>
      <w:tabs>
        <w:tab w:val="center" w:pos="4680"/>
        <w:tab w:val="right" w:pos="9360"/>
      </w:tabs>
    </w:pPr>
  </w:style>
  <w:style w:type="character" w:customStyle="1" w:styleId="FooterChar">
    <w:name w:val="Footer Char"/>
    <w:basedOn w:val="DefaultParagraphFont"/>
    <w:link w:val="Footer"/>
    <w:uiPriority w:val="99"/>
    <w:rsid w:val="001C5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1945317">
      <w:bodyDiv w:val="1"/>
      <w:marLeft w:val="0"/>
      <w:marRight w:val="0"/>
      <w:marTop w:val="0"/>
      <w:marBottom w:val="0"/>
      <w:divBdr>
        <w:top w:val="none" w:sz="0" w:space="0" w:color="auto"/>
        <w:left w:val="none" w:sz="0" w:space="0" w:color="auto"/>
        <w:bottom w:val="none" w:sz="0" w:space="0" w:color="auto"/>
        <w:right w:val="none" w:sz="0" w:space="0" w:color="auto"/>
      </w:divBdr>
      <w:divsChild>
        <w:div w:id="654070034">
          <w:marLeft w:val="0"/>
          <w:marRight w:val="0"/>
          <w:marTop w:val="0"/>
          <w:marBottom w:val="0"/>
          <w:divBdr>
            <w:top w:val="none" w:sz="0" w:space="0" w:color="auto"/>
            <w:left w:val="none" w:sz="0" w:space="0" w:color="auto"/>
            <w:bottom w:val="none" w:sz="0" w:space="0" w:color="auto"/>
            <w:right w:val="none" w:sz="0" w:space="0" w:color="auto"/>
          </w:divBdr>
          <w:divsChild>
            <w:div w:id="1797094319">
              <w:marLeft w:val="0"/>
              <w:marRight w:val="0"/>
              <w:marTop w:val="0"/>
              <w:marBottom w:val="0"/>
              <w:divBdr>
                <w:top w:val="none" w:sz="0" w:space="0" w:color="auto"/>
                <w:left w:val="none" w:sz="0" w:space="0" w:color="auto"/>
                <w:bottom w:val="none" w:sz="0" w:space="0" w:color="auto"/>
                <w:right w:val="none" w:sz="0" w:space="0" w:color="auto"/>
              </w:divBdr>
              <w:divsChild>
                <w:div w:id="184216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4</Pages>
  <Words>461</Words>
  <Characters>2629</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Saving and interest rates (eco1102)</vt:lpstr>
    </vt:vector>
  </TitlesOfParts>
  <Company>Octavian</Company>
  <LinksUpToDate>false</LinksUpToDate>
  <CharactersWithSpaces>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Saving and interest rates (eco1102)</dc:title>
  <dc:subject>Mathilde Jovanovic-Pelletier 8128741</dc:subject>
  <dc:creator>ECO1102</dc:creator>
  <cp:keywords/>
  <dc:description/>
  <cp:lastModifiedBy>Microsoft Office User</cp:lastModifiedBy>
  <cp:revision>128</cp:revision>
  <cp:lastPrinted>2016-02-25T01:42:00Z</cp:lastPrinted>
  <dcterms:created xsi:type="dcterms:W3CDTF">2016-02-16T18:32:00Z</dcterms:created>
  <dcterms:modified xsi:type="dcterms:W3CDTF">2016-02-25T02:05:00Z</dcterms:modified>
</cp:coreProperties>
</file>