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511" w:rsidRDefault="00D2193E">
      <w:pPr>
        <w:rPr>
          <w:rFonts w:ascii="Verdana" w:hAnsi="Verdana" w:cs="Verdana"/>
          <w:sz w:val="36"/>
          <w:szCs w:val="36"/>
        </w:rPr>
      </w:pPr>
      <w:r>
        <w:rPr>
          <w:rFonts w:ascii="Verdana" w:hAnsi="Verdana" w:cs="Verdana"/>
          <w:sz w:val="36"/>
          <w:szCs w:val="36"/>
        </w:rPr>
        <w:t>Assignment 3</w:t>
      </w:r>
    </w:p>
    <w:p w:rsidR="00D2193E" w:rsidRDefault="00D2193E" w:rsidP="00D2193E">
      <w:pPr>
        <w:widowControl w:val="0"/>
        <w:autoSpaceDE w:val="0"/>
        <w:autoSpaceDN w:val="0"/>
        <w:adjustRightInd w:val="0"/>
        <w:spacing w:after="240"/>
        <w:jc w:val="both"/>
        <w:rPr>
          <w:rFonts w:ascii="Verdana" w:hAnsi="Verdana" w:cs="Verdana"/>
          <w:sz w:val="26"/>
          <w:szCs w:val="26"/>
        </w:rPr>
      </w:pPr>
      <w:r>
        <w:rPr>
          <w:rFonts w:ascii="Century Gothic" w:hAnsi="Century Gothic" w:cs="Century Gothic"/>
          <w:sz w:val="38"/>
          <w:szCs w:val="38"/>
        </w:rPr>
        <w:t>Read both International Covenants below. Along with their Optional Protocols and the Universal Declaration of Human Rights they make up the 'International Bill of Human Rights'.</w:t>
      </w:r>
    </w:p>
    <w:p w:rsidR="00D2193E" w:rsidRDefault="00D2193E" w:rsidP="00D2193E">
      <w:pPr>
        <w:widowControl w:val="0"/>
        <w:autoSpaceDE w:val="0"/>
        <w:autoSpaceDN w:val="0"/>
        <w:adjustRightInd w:val="0"/>
        <w:spacing w:after="240"/>
        <w:jc w:val="center"/>
        <w:rPr>
          <w:rFonts w:ascii="Verdana" w:hAnsi="Verdana" w:cs="Verdana"/>
          <w:sz w:val="26"/>
          <w:szCs w:val="26"/>
        </w:rPr>
      </w:pPr>
      <w:hyperlink r:id="rId7" w:history="1">
        <w:r>
          <w:rPr>
            <w:rFonts w:ascii="Century Gothic" w:hAnsi="Century Gothic" w:cs="Century Gothic"/>
            <w:color w:val="001483"/>
            <w:sz w:val="38"/>
            <w:szCs w:val="38"/>
            <w:u w:val="single" w:color="001483"/>
          </w:rPr>
          <w:t>CCPR</w:t>
        </w:r>
      </w:hyperlink>
    </w:p>
    <w:p w:rsidR="00D2193E" w:rsidRDefault="00D2193E" w:rsidP="00D2193E">
      <w:pPr>
        <w:widowControl w:val="0"/>
        <w:autoSpaceDE w:val="0"/>
        <w:autoSpaceDN w:val="0"/>
        <w:adjustRightInd w:val="0"/>
        <w:spacing w:after="240"/>
        <w:jc w:val="center"/>
        <w:rPr>
          <w:rFonts w:ascii="Verdana" w:hAnsi="Verdana" w:cs="Verdana"/>
          <w:sz w:val="26"/>
          <w:szCs w:val="26"/>
        </w:rPr>
      </w:pPr>
      <w:hyperlink r:id="rId8" w:history="1">
        <w:r>
          <w:rPr>
            <w:rFonts w:ascii="Century Gothic" w:hAnsi="Century Gothic" w:cs="Century Gothic"/>
            <w:color w:val="001483"/>
            <w:sz w:val="38"/>
            <w:szCs w:val="38"/>
            <w:u w:val="single" w:color="001483"/>
          </w:rPr>
          <w:t>CESCR</w:t>
        </w:r>
      </w:hyperlink>
    </w:p>
    <w:p w:rsidR="00D2193E" w:rsidRDefault="00D2193E" w:rsidP="00D2193E">
      <w:pPr>
        <w:widowControl w:val="0"/>
        <w:autoSpaceDE w:val="0"/>
        <w:autoSpaceDN w:val="0"/>
        <w:adjustRightInd w:val="0"/>
        <w:spacing w:after="240"/>
        <w:rPr>
          <w:rFonts w:ascii="Verdana" w:hAnsi="Verdana" w:cs="Verdana"/>
          <w:sz w:val="26"/>
          <w:szCs w:val="26"/>
        </w:rPr>
      </w:pPr>
      <w:r>
        <w:rPr>
          <w:rFonts w:ascii="Century Gothic" w:hAnsi="Century Gothic" w:cs="Century Gothic"/>
          <w:sz w:val="38"/>
          <w:szCs w:val="38"/>
        </w:rPr>
        <w:t>Answer the following questions:</w:t>
      </w:r>
    </w:p>
    <w:p w:rsidR="00D2193E" w:rsidRDefault="00D2193E" w:rsidP="00D2193E">
      <w:pPr>
        <w:widowControl w:val="0"/>
        <w:numPr>
          <w:ilvl w:val="0"/>
          <w:numId w:val="1"/>
        </w:numPr>
        <w:tabs>
          <w:tab w:val="left" w:pos="220"/>
          <w:tab w:val="left" w:pos="720"/>
        </w:tabs>
        <w:autoSpaceDE w:val="0"/>
        <w:autoSpaceDN w:val="0"/>
        <w:adjustRightInd w:val="0"/>
        <w:spacing w:after="0"/>
        <w:ind w:hanging="720"/>
        <w:rPr>
          <w:rFonts w:ascii="Verdana" w:hAnsi="Verdana" w:cs="Verdana"/>
          <w:sz w:val="26"/>
          <w:szCs w:val="26"/>
        </w:rPr>
      </w:pPr>
      <w:r>
        <w:rPr>
          <w:rFonts w:ascii="Century Gothic" w:hAnsi="Century Gothic" w:cs="Century Gothic"/>
          <w:sz w:val="38"/>
          <w:szCs w:val="38"/>
        </w:rPr>
        <w:t>What are the differences between the two Covenants? You may identify differences regarding the implementation of the instruments, the obligations, the types of rights, the scope of protection to those rights, etc.</w:t>
      </w:r>
    </w:p>
    <w:p w:rsidR="00D2193E" w:rsidRDefault="00D2193E" w:rsidP="00D2193E">
      <w:pPr>
        <w:widowControl w:val="0"/>
        <w:numPr>
          <w:ilvl w:val="0"/>
          <w:numId w:val="1"/>
        </w:numPr>
        <w:tabs>
          <w:tab w:val="left" w:pos="220"/>
          <w:tab w:val="left" w:pos="720"/>
        </w:tabs>
        <w:autoSpaceDE w:val="0"/>
        <w:autoSpaceDN w:val="0"/>
        <w:adjustRightInd w:val="0"/>
        <w:spacing w:after="0"/>
        <w:ind w:hanging="720"/>
        <w:rPr>
          <w:rFonts w:ascii="Verdana" w:hAnsi="Verdana" w:cs="Verdana"/>
          <w:sz w:val="26"/>
          <w:szCs w:val="26"/>
        </w:rPr>
      </w:pPr>
      <w:r>
        <w:rPr>
          <w:rFonts w:ascii="Century Gothic" w:hAnsi="Century Gothic" w:cs="Century Gothic"/>
          <w:sz w:val="38"/>
          <w:szCs w:val="38"/>
        </w:rPr>
        <w:t>How did the political climate of the time influence the decision to adopt two separate covenants? Refer to the course notes to answer.</w:t>
      </w:r>
    </w:p>
    <w:p w:rsidR="00D2193E" w:rsidRDefault="00D2193E"/>
    <w:p w:rsidR="00D2193E" w:rsidRDefault="00D2193E">
      <w:r>
        <w:t>My answer:</w:t>
      </w: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r>
        <w:rPr>
          <w:rFonts w:ascii="Verdana" w:hAnsi="Verdana" w:cs="Verdana"/>
        </w:rPr>
        <w:t>CESCR and CCPR.</w:t>
      </w: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r>
        <w:rPr>
          <w:rFonts w:ascii="Verdana" w:hAnsi="Verdana" w:cs="Verdana"/>
        </w:rPr>
        <w:t xml:space="preserve">Although the preamble of both CESCR and CCPR states similar goals for human rights, it contains two separate covenants with </w:t>
      </w:r>
      <w:proofErr w:type="gramStart"/>
      <w:r>
        <w:rPr>
          <w:rFonts w:ascii="Verdana" w:hAnsi="Verdana" w:cs="Verdana"/>
        </w:rPr>
        <w:t>well defined</w:t>
      </w:r>
      <w:proofErr w:type="gramEnd"/>
      <w:r>
        <w:rPr>
          <w:rFonts w:ascii="Verdana" w:hAnsi="Verdana" w:cs="Verdana"/>
        </w:rPr>
        <w:t xml:space="preserve"> differences. Though there is no clear </w:t>
      </w:r>
      <w:proofErr w:type="gramStart"/>
      <w:r>
        <w:rPr>
          <w:rFonts w:ascii="Verdana" w:hAnsi="Verdana" w:cs="Verdana"/>
        </w:rPr>
        <w:t>text which</w:t>
      </w:r>
      <w:proofErr w:type="gramEnd"/>
      <w:r>
        <w:rPr>
          <w:rFonts w:ascii="Verdana" w:hAnsi="Verdana" w:cs="Verdana"/>
        </w:rPr>
        <w:t xml:space="preserve"> answers the question as to why there is two separate covenants, there are various arguments that supports the validity and invalidity of the separate. During the creation of CESCR and CCPR different political climates </w:t>
      </w:r>
      <w:r>
        <w:rPr>
          <w:rFonts w:ascii="Verdana" w:hAnsi="Verdana" w:cs="Verdana"/>
        </w:rPr>
        <w:lastRenderedPageBreak/>
        <w:t>played an important role, which includes WW2, the cold war, the industrial revolution, communism and capitalism.</w:t>
      </w: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r>
        <w:rPr>
          <w:rFonts w:ascii="Verdana" w:hAnsi="Verdana" w:cs="Verdana"/>
        </w:rPr>
        <w:t xml:space="preserve">Major difference one can observe by reading CESCR and CCPR is its implementation of procedure. It’s stated that CCPR has the power to hear individual complaints from the victims where CESCR cannot do such a thing. Furthermore, CCPR may not require large resources because it contains freedom of religion, thoughts, and </w:t>
      </w:r>
      <w:proofErr w:type="gramStart"/>
      <w:r>
        <w:rPr>
          <w:rFonts w:ascii="Verdana" w:hAnsi="Verdana" w:cs="Verdana"/>
        </w:rPr>
        <w:t>speech which</w:t>
      </w:r>
      <w:proofErr w:type="gramEnd"/>
      <w:r>
        <w:rPr>
          <w:rFonts w:ascii="Verdana" w:hAnsi="Verdana" w:cs="Verdana"/>
        </w:rPr>
        <w:t xml:space="preserve"> can be a matter of respect. In contrast, CESCR requires various rights that can be quite costly. For insistence, rights to food, health, and various cultural rights requires a lot more resources than would the CCPR. Though </w:t>
      </w:r>
      <w:proofErr w:type="gramStart"/>
      <w:r>
        <w:rPr>
          <w:rFonts w:ascii="Verdana" w:hAnsi="Verdana" w:cs="Verdana"/>
        </w:rPr>
        <w:t>there</w:t>
      </w:r>
      <w:proofErr w:type="gramEnd"/>
      <w:r>
        <w:rPr>
          <w:rFonts w:ascii="Verdana" w:hAnsi="Verdana" w:cs="Verdana"/>
        </w:rPr>
        <w:t xml:space="preserve"> clear differences to it does not answer the question as to why there is a separation.</w:t>
      </w: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r>
        <w:rPr>
          <w:rFonts w:ascii="Verdana" w:hAnsi="Verdana" w:cs="Verdana"/>
        </w:rPr>
        <w:t>One can observe that The International Covenant on Civil and Political Rights is human’s primary need where The International Covenant on Economic, Social and Cultural Rights can be seen as a secondary need.</w:t>
      </w:r>
      <w:r>
        <w:rPr>
          <w:rFonts w:ascii="Cambria" w:hAnsi="Cambria" w:cs="Cambria"/>
        </w:rPr>
        <w:t xml:space="preserve"> </w:t>
      </w:r>
      <w:r>
        <w:rPr>
          <w:rFonts w:ascii="Verdana" w:hAnsi="Verdana" w:cs="Verdana"/>
        </w:rPr>
        <w:t xml:space="preserve">It can be argued that the CCPR’s most basic right is that which is derived from natural laws and rights; for example, the right to liberty and the right to life and survival. In contrast, CESCR was created due to the industrial revolution and the need for personal safety of workers and for the poor, which can be </w:t>
      </w:r>
      <w:proofErr w:type="gramStart"/>
      <w:r>
        <w:rPr>
          <w:rFonts w:ascii="Verdana" w:hAnsi="Verdana" w:cs="Verdana"/>
        </w:rPr>
        <w:t>seen</w:t>
      </w:r>
      <w:proofErr w:type="gramEnd"/>
      <w:r>
        <w:rPr>
          <w:rFonts w:ascii="Verdana" w:hAnsi="Verdana" w:cs="Verdana"/>
        </w:rPr>
        <w:t xml:space="preserve"> as a secondary needs as was stated above. Therefore, such a separation may seem necessary to show the magnitude of </w:t>
      </w:r>
      <w:proofErr w:type="gramStart"/>
      <w:r>
        <w:rPr>
          <w:rFonts w:ascii="Verdana" w:hAnsi="Verdana" w:cs="Verdana"/>
        </w:rPr>
        <w:t>the those</w:t>
      </w:r>
      <w:proofErr w:type="gramEnd"/>
      <w:r>
        <w:rPr>
          <w:rFonts w:ascii="Verdana" w:hAnsi="Verdana" w:cs="Verdana"/>
        </w:rPr>
        <w:t xml:space="preserve"> rights.  </w:t>
      </w: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r>
        <w:rPr>
          <w:rFonts w:ascii="Verdana" w:hAnsi="Verdana" w:cs="Verdana"/>
        </w:rPr>
        <w:t>One may also argue that the separation occurred due to the difficulty of enforcing the individual covenants. The offenders of economic, social, and cultural rights are extremely difficult to take to the court, where as human rights or the natural rights do not need the court’s decisions but more involved in moral issues.</w:t>
      </w: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r>
        <w:rPr>
          <w:rFonts w:ascii="Verdana" w:hAnsi="Verdana" w:cs="Verdana"/>
        </w:rPr>
        <w:t xml:space="preserve">Communism and capitalism seem to play a vital role in the separation of the CESCR and the CCPR. Generally, communist countries </w:t>
      </w:r>
      <w:proofErr w:type="gramStart"/>
      <w:r>
        <w:rPr>
          <w:rFonts w:ascii="Verdana" w:hAnsi="Verdana" w:cs="Verdana"/>
        </w:rPr>
        <w:t>have  a</w:t>
      </w:r>
      <w:proofErr w:type="gramEnd"/>
      <w:r>
        <w:rPr>
          <w:rFonts w:ascii="Verdana" w:hAnsi="Verdana" w:cs="Verdana"/>
        </w:rPr>
        <w:t xml:space="preserve"> tendency to place emphasis on economic and social rights where as capitalist countries advocated civil and political rights. Therefore, if the CESCR and CCPR were combined, there would be many risks and issues that would stem from the inability of these two covenants to work together. Therefore, in a broad scope, the CCPR is ideal for capitalist states, specifically western countries where the CESCR would be favored by communist states. </w:t>
      </w: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p>
    <w:p w:rsidR="00D2193E" w:rsidRDefault="00D2193E" w:rsidP="00D219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Verdana" w:hAnsi="Verdana" w:cs="Verdana"/>
        </w:rPr>
      </w:pPr>
      <w:r>
        <w:rPr>
          <w:rFonts w:ascii="Verdana" w:hAnsi="Verdana" w:cs="Verdana"/>
        </w:rPr>
        <w:t xml:space="preserve">In the end, the political </w:t>
      </w:r>
      <w:bookmarkStart w:id="0" w:name="_GoBack"/>
      <w:bookmarkEnd w:id="0"/>
      <w:r>
        <w:rPr>
          <w:rFonts w:ascii="Verdana" w:hAnsi="Verdana" w:cs="Verdana"/>
        </w:rPr>
        <w:t>climates of the time ultimately lead</w:t>
      </w:r>
      <w:r>
        <w:rPr>
          <w:rFonts w:ascii="Verdana" w:hAnsi="Verdana" w:cs="Verdana"/>
        </w:rPr>
        <w:t xml:space="preserve"> the CESCR and CCPR to be separated. It seems as if separation was inventible due to the strong political influences. </w:t>
      </w:r>
    </w:p>
    <w:p w:rsidR="00D2193E" w:rsidRDefault="00D2193E"/>
    <w:sectPr w:rsidR="00D2193E" w:rsidSect="00EE7798">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93E"/>
    <w:rsid w:val="00947511"/>
    <w:rsid w:val="00D2193E"/>
    <w:rsid w:val="00EE779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376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2.ohchr.org/english/law/ccpr.htm" TargetMode="External"/><Relationship Id="rId8" Type="http://schemas.openxmlformats.org/officeDocument/2006/relationships/hyperlink" Target="http://www2.ohchr.org/english/law/cescr.ht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7ACF9-0F35-6A43-9734-78BABE852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543</Words>
  <Characters>3099</Characters>
  <Application>Microsoft Macintosh Word</Application>
  <DocSecurity>0</DocSecurity>
  <Lines>25</Lines>
  <Paragraphs>7</Paragraphs>
  <ScaleCrop>false</ScaleCrop>
  <Company/>
  <LinksUpToDate>false</LinksUpToDate>
  <CharactersWithSpaces>3635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Namgung</dc:creator>
  <cp:keywords/>
  <dc:description/>
  <cp:lastModifiedBy>Max Namgung</cp:lastModifiedBy>
  <cp:revision>1</cp:revision>
  <dcterms:created xsi:type="dcterms:W3CDTF">2012-02-06T16:38:00Z</dcterms:created>
  <dcterms:modified xsi:type="dcterms:W3CDTF">2012-02-06T16:40:00Z</dcterms:modified>
</cp:coreProperties>
</file>