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80B" w:rsidRPr="001324E2" w:rsidRDefault="00387A12" w:rsidP="00387A12">
      <w:pPr>
        <w:jc w:val="center"/>
        <w:rPr>
          <w:b/>
          <w:i/>
          <w:sz w:val="36"/>
          <w:szCs w:val="36"/>
          <w:u w:val="single"/>
        </w:rPr>
      </w:pPr>
      <w:r w:rsidRPr="001324E2">
        <w:rPr>
          <w:b/>
          <w:i/>
          <w:sz w:val="36"/>
          <w:szCs w:val="36"/>
          <w:u w:val="single"/>
        </w:rPr>
        <w:t xml:space="preserve">Perméabilité du globule rouge </w:t>
      </w:r>
    </w:p>
    <w:p w:rsidR="00387A12" w:rsidRDefault="00387A12" w:rsidP="00387A12">
      <w:pPr>
        <w:jc w:val="center"/>
      </w:pPr>
    </w:p>
    <w:p w:rsidR="001324E2" w:rsidRDefault="001324E2" w:rsidP="00387A12">
      <w:pPr>
        <w:jc w:val="center"/>
      </w:pPr>
    </w:p>
    <w:p w:rsidR="00387A12" w:rsidRDefault="00387A12" w:rsidP="00387A12">
      <w:pPr>
        <w:jc w:val="center"/>
      </w:pPr>
      <w:r>
        <w:t xml:space="preserve">Par </w:t>
      </w:r>
      <w:proofErr w:type="spellStart"/>
      <w:r>
        <w:t>Echchayma</w:t>
      </w:r>
      <w:proofErr w:type="spellEnd"/>
      <w:r>
        <w:t xml:space="preserve"> </w:t>
      </w:r>
      <w:proofErr w:type="spellStart"/>
      <w:r>
        <w:t>Abouhafs</w:t>
      </w:r>
      <w:r w:rsidR="001324E2">
        <w:t>i</w:t>
      </w:r>
      <w:proofErr w:type="spellEnd"/>
    </w:p>
    <w:p w:rsidR="001324E2" w:rsidRDefault="001324E2" w:rsidP="00387A12">
      <w:pPr>
        <w:jc w:val="center"/>
      </w:pPr>
      <w:r>
        <w:t>8390449</w:t>
      </w:r>
    </w:p>
    <w:p w:rsidR="001324E2" w:rsidRDefault="001324E2" w:rsidP="00387A12">
      <w:pPr>
        <w:jc w:val="center"/>
      </w:pPr>
    </w:p>
    <w:p w:rsidR="001324E2" w:rsidRDefault="001324E2" w:rsidP="00387A12">
      <w:pPr>
        <w:jc w:val="center"/>
      </w:pPr>
    </w:p>
    <w:p w:rsidR="001324E2" w:rsidRDefault="001324E2" w:rsidP="00387A12">
      <w:pPr>
        <w:jc w:val="center"/>
      </w:pPr>
      <w:r>
        <w:t>BIO1540 Section A1</w:t>
      </w:r>
    </w:p>
    <w:p w:rsidR="001324E2" w:rsidRDefault="001324E2" w:rsidP="00387A12">
      <w:pPr>
        <w:jc w:val="center"/>
      </w:pPr>
    </w:p>
    <w:p w:rsidR="001324E2" w:rsidRDefault="001324E2" w:rsidP="00387A12">
      <w:pPr>
        <w:jc w:val="center"/>
      </w:pPr>
    </w:p>
    <w:p w:rsidR="001324E2" w:rsidRDefault="001324E2" w:rsidP="00387A12">
      <w:pPr>
        <w:jc w:val="center"/>
      </w:pPr>
      <w:r w:rsidRPr="001324E2">
        <w:rPr>
          <w:b/>
          <w:i/>
          <w:u w:val="single"/>
        </w:rPr>
        <w:t>Démonstrateurs </w:t>
      </w:r>
      <w:r>
        <w:t>:</w:t>
      </w:r>
    </w:p>
    <w:p w:rsidR="001324E2" w:rsidRDefault="001324E2" w:rsidP="00387A12">
      <w:pPr>
        <w:jc w:val="center"/>
      </w:pPr>
      <w:r>
        <w:t xml:space="preserve">Joëlle V. Deschenes et </w:t>
      </w:r>
    </w:p>
    <w:p w:rsidR="001324E2" w:rsidRDefault="001324E2" w:rsidP="00387A12">
      <w:pPr>
        <w:jc w:val="center"/>
      </w:pPr>
      <w:proofErr w:type="spellStart"/>
      <w:r>
        <w:t>Mariame</w:t>
      </w:r>
      <w:proofErr w:type="spellEnd"/>
      <w:r>
        <w:t xml:space="preserve"> </w:t>
      </w:r>
      <w:proofErr w:type="spellStart"/>
      <w:r>
        <w:t>Ouedraogo</w:t>
      </w:r>
      <w:proofErr w:type="spellEnd"/>
    </w:p>
    <w:p w:rsidR="001324E2" w:rsidRDefault="001324E2" w:rsidP="00387A12">
      <w:pPr>
        <w:jc w:val="center"/>
      </w:pPr>
    </w:p>
    <w:p w:rsidR="001324E2" w:rsidRDefault="001324E2" w:rsidP="00387A12">
      <w:pPr>
        <w:jc w:val="center"/>
      </w:pPr>
    </w:p>
    <w:p w:rsidR="001324E2" w:rsidRDefault="001324E2" w:rsidP="00387A12">
      <w:pPr>
        <w:jc w:val="center"/>
      </w:pPr>
      <w:r>
        <w:t>08 Février 2016</w:t>
      </w:r>
    </w:p>
    <w:p w:rsidR="001324E2" w:rsidRDefault="001324E2" w:rsidP="00387A12">
      <w:pPr>
        <w:jc w:val="center"/>
      </w:pPr>
    </w:p>
    <w:p w:rsidR="001324E2" w:rsidRDefault="001324E2" w:rsidP="00387A12">
      <w:pPr>
        <w:jc w:val="center"/>
      </w:pPr>
    </w:p>
    <w:p w:rsidR="001324E2" w:rsidRDefault="001324E2" w:rsidP="00387A12">
      <w:pPr>
        <w:jc w:val="center"/>
      </w:pPr>
      <w:r>
        <w:t>******</w:t>
      </w:r>
    </w:p>
    <w:p w:rsidR="001324E2" w:rsidRDefault="001324E2" w:rsidP="00387A12">
      <w:pPr>
        <w:jc w:val="center"/>
      </w:pPr>
    </w:p>
    <w:p w:rsidR="001324E2" w:rsidRDefault="001324E2" w:rsidP="00387A12">
      <w:pPr>
        <w:jc w:val="center"/>
      </w:pPr>
      <w:r>
        <w:t xml:space="preserve">Département de Biologie </w:t>
      </w:r>
    </w:p>
    <w:p w:rsidR="001324E2" w:rsidRDefault="001324E2" w:rsidP="00387A12">
      <w:pPr>
        <w:jc w:val="center"/>
      </w:pPr>
    </w:p>
    <w:p w:rsidR="001324E2" w:rsidRDefault="001324E2" w:rsidP="00387A12">
      <w:pPr>
        <w:jc w:val="center"/>
      </w:pPr>
      <w:r>
        <w:t>******</w:t>
      </w:r>
    </w:p>
    <w:p w:rsidR="001324E2" w:rsidRDefault="001324E2" w:rsidP="00387A12">
      <w:pPr>
        <w:jc w:val="center"/>
      </w:pPr>
    </w:p>
    <w:p w:rsidR="001324E2" w:rsidRDefault="001324E2" w:rsidP="00387A12">
      <w:pPr>
        <w:jc w:val="center"/>
      </w:pPr>
    </w:p>
    <w:p w:rsidR="001324E2" w:rsidRDefault="001324E2" w:rsidP="00387A12">
      <w:pPr>
        <w:jc w:val="center"/>
      </w:pPr>
      <w:r>
        <w:t>Université d’Ottawa</w:t>
      </w:r>
    </w:p>
    <w:p w:rsidR="00387A12" w:rsidRDefault="00387A12" w:rsidP="00387A12">
      <w:pPr>
        <w:jc w:val="center"/>
      </w:pPr>
    </w:p>
    <w:p w:rsidR="001324E2" w:rsidRPr="005E70F5" w:rsidRDefault="001F5CEC" w:rsidP="00387A12">
      <w:pPr>
        <w:jc w:val="center"/>
        <w:rPr>
          <w:b/>
          <w:i/>
          <w:sz w:val="24"/>
          <w:szCs w:val="24"/>
          <w:u w:val="single"/>
        </w:rPr>
      </w:pPr>
      <w:r w:rsidRPr="005E70F5">
        <w:rPr>
          <w:b/>
          <w:i/>
          <w:sz w:val="24"/>
          <w:szCs w:val="24"/>
          <w:u w:val="single"/>
        </w:rPr>
        <w:lastRenderedPageBreak/>
        <w:t>Tableau présentant la moyenne et l’erreur type du temps d’hémolyse pour les 5 solutions testées pendant le laboratoire  (en secondes).</w:t>
      </w:r>
    </w:p>
    <w:p w:rsidR="00F810AE" w:rsidRDefault="00F810AE" w:rsidP="00F810AE"/>
    <w:tbl>
      <w:tblPr>
        <w:tblStyle w:val="Grilledutableau"/>
        <w:tblW w:w="10372"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22"/>
        <w:gridCol w:w="425"/>
        <w:gridCol w:w="568"/>
        <w:gridCol w:w="1530"/>
        <w:gridCol w:w="1530"/>
        <w:gridCol w:w="1533"/>
        <w:gridCol w:w="1531"/>
        <w:gridCol w:w="1533"/>
      </w:tblGrid>
      <w:tr w:rsidR="00945489" w:rsidTr="00217FD1">
        <w:tblPrEx>
          <w:tblCellMar>
            <w:top w:w="0" w:type="dxa"/>
            <w:bottom w:w="0" w:type="dxa"/>
          </w:tblCellMar>
        </w:tblPrEx>
        <w:trPr>
          <w:gridBefore w:val="3"/>
          <w:wBefore w:w="2715" w:type="dxa"/>
          <w:trHeight w:val="944"/>
        </w:trPr>
        <w:tc>
          <w:tcPr>
            <w:tcW w:w="7657" w:type="dxa"/>
            <w:gridSpan w:val="5"/>
          </w:tcPr>
          <w:p w:rsidR="00945489" w:rsidRDefault="00945489" w:rsidP="00945489">
            <w:pPr>
              <w:jc w:val="center"/>
              <w:rPr>
                <w:i/>
                <w:sz w:val="56"/>
                <w:szCs w:val="56"/>
              </w:rPr>
            </w:pPr>
            <w:r w:rsidRPr="00936742">
              <w:rPr>
                <w:i/>
                <w:sz w:val="56"/>
                <w:szCs w:val="56"/>
              </w:rPr>
              <w:t>Les solutés</w:t>
            </w:r>
          </w:p>
        </w:tc>
      </w:tr>
      <w:tr w:rsidR="00F810AE"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rPr>
          <w:gridBefore w:val="2"/>
          <w:wBefore w:w="2147" w:type="dxa"/>
        </w:trPr>
        <w:tc>
          <w:tcPr>
            <w:tcW w:w="568" w:type="dxa"/>
            <w:tcBorders>
              <w:top w:val="nil"/>
              <w:left w:val="nil"/>
              <w:bottom w:val="single" w:sz="4" w:space="0" w:color="auto"/>
              <w:right w:val="single" w:sz="4" w:space="0" w:color="auto"/>
            </w:tcBorders>
            <w:shd w:val="clear" w:color="auto" w:fill="auto"/>
          </w:tcPr>
          <w:p w:rsidR="00F810AE" w:rsidRPr="00936742" w:rsidRDefault="00F810AE" w:rsidP="00F810AE"/>
        </w:tc>
        <w:tc>
          <w:tcPr>
            <w:tcW w:w="1530" w:type="dxa"/>
            <w:tcBorders>
              <w:top w:val="single" w:sz="4" w:space="0" w:color="auto"/>
              <w:left w:val="single" w:sz="4" w:space="0" w:color="auto"/>
            </w:tcBorders>
          </w:tcPr>
          <w:p w:rsidR="00F810AE" w:rsidRDefault="00097F10" w:rsidP="00F810AE">
            <w:r>
              <w:t xml:space="preserve">1) </w:t>
            </w:r>
            <w:r w:rsidR="00F810AE">
              <w:t>H20</w:t>
            </w:r>
          </w:p>
        </w:tc>
        <w:tc>
          <w:tcPr>
            <w:tcW w:w="1530" w:type="dxa"/>
          </w:tcPr>
          <w:p w:rsidR="00F810AE" w:rsidRDefault="00097F10" w:rsidP="00F810AE">
            <w:r>
              <w:t xml:space="preserve">2) </w:t>
            </w:r>
            <w:r w:rsidR="00F810AE">
              <w:t xml:space="preserve">Urée </w:t>
            </w:r>
          </w:p>
        </w:tc>
        <w:tc>
          <w:tcPr>
            <w:tcW w:w="1533" w:type="dxa"/>
          </w:tcPr>
          <w:p w:rsidR="00F810AE" w:rsidRDefault="00097F10" w:rsidP="00F810AE">
            <w:r>
              <w:t xml:space="preserve">3) </w:t>
            </w:r>
            <w:r w:rsidR="00F810AE">
              <w:t>Glycol d’éthylène</w:t>
            </w:r>
          </w:p>
        </w:tc>
        <w:tc>
          <w:tcPr>
            <w:tcW w:w="1531" w:type="dxa"/>
          </w:tcPr>
          <w:p w:rsidR="00F810AE" w:rsidRDefault="00097F10" w:rsidP="00F810AE">
            <w:r>
              <w:t xml:space="preserve">4) </w:t>
            </w:r>
            <w:r w:rsidR="00F810AE">
              <w:t>Glycérol</w:t>
            </w:r>
          </w:p>
        </w:tc>
        <w:tc>
          <w:tcPr>
            <w:tcW w:w="1533" w:type="dxa"/>
          </w:tcPr>
          <w:p w:rsidR="00F810AE" w:rsidRDefault="00097F10" w:rsidP="00F810AE">
            <w:r>
              <w:t xml:space="preserve">5) </w:t>
            </w:r>
            <w:r w:rsidR="00F810AE">
              <w:t>Saccharose</w:t>
            </w:r>
          </w:p>
          <w:p w:rsidR="00F810AE" w:rsidRDefault="00F810AE" w:rsidP="00F810AE"/>
        </w:tc>
      </w:tr>
      <w:tr w:rsidR="00945489"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c>
          <w:tcPr>
            <w:tcW w:w="1722" w:type="dxa"/>
            <w:vMerge w:val="restart"/>
            <w:tcBorders>
              <w:top w:val="single" w:sz="4" w:space="0" w:color="auto"/>
              <w:left w:val="single" w:sz="4" w:space="0" w:color="auto"/>
              <w:right w:val="single" w:sz="4" w:space="0" w:color="auto"/>
            </w:tcBorders>
            <w:shd w:val="clear" w:color="auto" w:fill="auto"/>
          </w:tcPr>
          <w:p w:rsidR="00945489" w:rsidRPr="00217FD1" w:rsidRDefault="00217FD1" w:rsidP="00F810AE">
            <w:pPr>
              <w:rPr>
                <w:b/>
                <w:i/>
                <w:sz w:val="40"/>
                <w:szCs w:val="40"/>
                <w:u w:val="single"/>
              </w:rPr>
            </w:pPr>
            <w:r w:rsidRPr="00217FD1">
              <w:rPr>
                <w:b/>
                <w:i/>
                <w:sz w:val="40"/>
                <w:szCs w:val="40"/>
                <w:u w:val="single"/>
              </w:rPr>
              <w:t>Le Temps en secondes</w:t>
            </w:r>
          </w:p>
        </w:tc>
        <w:tc>
          <w:tcPr>
            <w:tcW w:w="993" w:type="dxa"/>
            <w:gridSpan w:val="2"/>
            <w:tcBorders>
              <w:top w:val="single" w:sz="4" w:space="0" w:color="auto"/>
              <w:left w:val="single" w:sz="4" w:space="0" w:color="auto"/>
              <w:bottom w:val="single" w:sz="4" w:space="0" w:color="auto"/>
            </w:tcBorders>
            <w:shd w:val="clear" w:color="auto" w:fill="auto"/>
          </w:tcPr>
          <w:p w:rsidR="00945489" w:rsidRPr="00936742" w:rsidRDefault="00945489" w:rsidP="00F810AE">
            <w:pPr>
              <w:rPr>
                <w:sz w:val="20"/>
                <w:szCs w:val="20"/>
              </w:rPr>
            </w:pPr>
            <w:r w:rsidRPr="00936742">
              <w:rPr>
                <w:sz w:val="20"/>
                <w:szCs w:val="20"/>
              </w:rPr>
              <w:t>Temps 1</w:t>
            </w:r>
          </w:p>
        </w:tc>
        <w:tc>
          <w:tcPr>
            <w:tcW w:w="1530" w:type="dxa"/>
          </w:tcPr>
          <w:p w:rsidR="00945489" w:rsidRPr="00936742" w:rsidRDefault="00097F10" w:rsidP="00F810AE">
            <w:pPr>
              <w:jc w:val="center"/>
            </w:pPr>
            <w:r>
              <w:rPr>
                <w:sz w:val="18"/>
              </w:rPr>
              <w:t>&lt;</w:t>
            </w:r>
            <w:r w:rsidR="00945489" w:rsidRPr="00936742">
              <w:t>2</w:t>
            </w:r>
          </w:p>
        </w:tc>
        <w:tc>
          <w:tcPr>
            <w:tcW w:w="1530" w:type="dxa"/>
          </w:tcPr>
          <w:p w:rsidR="00945489" w:rsidRPr="00936742" w:rsidRDefault="00097F10" w:rsidP="00F810AE">
            <w:pPr>
              <w:jc w:val="center"/>
            </w:pPr>
            <w:r>
              <w:t>&lt;</w:t>
            </w:r>
            <w:r w:rsidR="00945489" w:rsidRPr="00936742">
              <w:t>2</w:t>
            </w:r>
          </w:p>
        </w:tc>
        <w:tc>
          <w:tcPr>
            <w:tcW w:w="1533" w:type="dxa"/>
          </w:tcPr>
          <w:p w:rsidR="00945489" w:rsidRPr="00936742" w:rsidRDefault="00945489" w:rsidP="005E70F5">
            <w:pPr>
              <w:jc w:val="center"/>
            </w:pPr>
            <w:r w:rsidRPr="00936742">
              <w:t>8.3</w:t>
            </w:r>
          </w:p>
        </w:tc>
        <w:tc>
          <w:tcPr>
            <w:tcW w:w="1531" w:type="dxa"/>
          </w:tcPr>
          <w:p w:rsidR="00945489" w:rsidRPr="00936742" w:rsidRDefault="00097F10" w:rsidP="005E70F5">
            <w:pPr>
              <w:jc w:val="center"/>
            </w:pPr>
            <w:r>
              <w:t>&gt;</w:t>
            </w:r>
            <w:r w:rsidR="00945489" w:rsidRPr="00936742">
              <w:t>1200</w:t>
            </w:r>
          </w:p>
        </w:tc>
        <w:tc>
          <w:tcPr>
            <w:tcW w:w="1533" w:type="dxa"/>
          </w:tcPr>
          <w:p w:rsidR="00945489" w:rsidRPr="00936742" w:rsidRDefault="00097F10" w:rsidP="005E70F5">
            <w:pPr>
              <w:jc w:val="center"/>
            </w:pPr>
            <w:r>
              <w:t>&gt;</w:t>
            </w:r>
            <w:r w:rsidR="00945489" w:rsidRPr="00936742">
              <w:t>1200</w:t>
            </w:r>
          </w:p>
        </w:tc>
      </w:tr>
      <w:tr w:rsidR="00945489"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c>
          <w:tcPr>
            <w:tcW w:w="1722" w:type="dxa"/>
            <w:vMerge/>
            <w:tcBorders>
              <w:left w:val="single" w:sz="4" w:space="0" w:color="auto"/>
              <w:right w:val="single" w:sz="4" w:space="0" w:color="auto"/>
            </w:tcBorders>
            <w:shd w:val="clear" w:color="auto" w:fill="auto"/>
          </w:tcPr>
          <w:p w:rsidR="00945489" w:rsidRPr="00936742" w:rsidRDefault="00945489" w:rsidP="00F810AE">
            <w:pP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45489" w:rsidRPr="00936742" w:rsidRDefault="00945489" w:rsidP="00F810AE">
            <w:pPr>
              <w:rPr>
                <w:sz w:val="20"/>
                <w:szCs w:val="20"/>
              </w:rPr>
            </w:pPr>
            <w:r w:rsidRPr="00936742">
              <w:rPr>
                <w:sz w:val="20"/>
                <w:szCs w:val="20"/>
              </w:rPr>
              <w:t>Temps 2</w:t>
            </w:r>
          </w:p>
        </w:tc>
        <w:tc>
          <w:tcPr>
            <w:tcW w:w="1530" w:type="dxa"/>
            <w:tcBorders>
              <w:left w:val="single" w:sz="4" w:space="0" w:color="auto"/>
            </w:tcBorders>
          </w:tcPr>
          <w:p w:rsidR="00945489" w:rsidRPr="00936742" w:rsidRDefault="00097F10" w:rsidP="00F810AE">
            <w:pPr>
              <w:jc w:val="center"/>
            </w:pPr>
            <w:r>
              <w:t>&lt;</w:t>
            </w:r>
            <w:r w:rsidR="00945489" w:rsidRPr="00936742">
              <w:t>2</w:t>
            </w:r>
          </w:p>
        </w:tc>
        <w:tc>
          <w:tcPr>
            <w:tcW w:w="1530" w:type="dxa"/>
          </w:tcPr>
          <w:p w:rsidR="00945489" w:rsidRPr="00936742" w:rsidRDefault="00097F10" w:rsidP="005E70F5">
            <w:pPr>
              <w:jc w:val="center"/>
            </w:pPr>
            <w:r>
              <w:t>&lt;</w:t>
            </w:r>
            <w:r w:rsidR="00945489" w:rsidRPr="00936742">
              <w:t>2</w:t>
            </w:r>
          </w:p>
        </w:tc>
        <w:tc>
          <w:tcPr>
            <w:tcW w:w="1533" w:type="dxa"/>
          </w:tcPr>
          <w:p w:rsidR="00945489" w:rsidRPr="00936742" w:rsidRDefault="00945489" w:rsidP="005E70F5">
            <w:pPr>
              <w:jc w:val="center"/>
            </w:pPr>
            <w:r w:rsidRPr="00936742">
              <w:t>8.5</w:t>
            </w:r>
          </w:p>
        </w:tc>
        <w:tc>
          <w:tcPr>
            <w:tcW w:w="1531" w:type="dxa"/>
          </w:tcPr>
          <w:p w:rsidR="00945489" w:rsidRPr="00936742" w:rsidRDefault="00097F10" w:rsidP="005E70F5">
            <w:pPr>
              <w:jc w:val="center"/>
            </w:pPr>
            <w:r>
              <w:t>&gt;</w:t>
            </w:r>
            <w:r w:rsidR="00945489" w:rsidRPr="00936742">
              <w:t>1200</w:t>
            </w:r>
          </w:p>
        </w:tc>
        <w:tc>
          <w:tcPr>
            <w:tcW w:w="1533" w:type="dxa"/>
          </w:tcPr>
          <w:p w:rsidR="00945489" w:rsidRPr="00936742" w:rsidRDefault="00097F10" w:rsidP="00097F10">
            <w:pPr>
              <w:jc w:val="center"/>
            </w:pPr>
            <w:r>
              <w:t>&gt;</w:t>
            </w:r>
            <w:r w:rsidR="00945489" w:rsidRPr="00936742">
              <w:t>1200</w:t>
            </w:r>
          </w:p>
        </w:tc>
      </w:tr>
      <w:tr w:rsidR="00945489"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c>
          <w:tcPr>
            <w:tcW w:w="1722" w:type="dxa"/>
            <w:vMerge/>
            <w:tcBorders>
              <w:left w:val="single" w:sz="4" w:space="0" w:color="auto"/>
              <w:right w:val="single" w:sz="4" w:space="0" w:color="auto"/>
            </w:tcBorders>
            <w:shd w:val="clear" w:color="auto" w:fill="auto"/>
          </w:tcPr>
          <w:p w:rsidR="00945489" w:rsidRDefault="00945489" w:rsidP="00F810AE">
            <w:pP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45489" w:rsidRPr="00F810AE" w:rsidRDefault="00945489" w:rsidP="00F810AE">
            <w:pPr>
              <w:rPr>
                <w:sz w:val="20"/>
                <w:szCs w:val="20"/>
              </w:rPr>
            </w:pPr>
            <w:r>
              <w:rPr>
                <w:sz w:val="20"/>
                <w:szCs w:val="20"/>
              </w:rPr>
              <w:t>Temps 3</w:t>
            </w:r>
          </w:p>
        </w:tc>
        <w:tc>
          <w:tcPr>
            <w:tcW w:w="1530" w:type="dxa"/>
            <w:tcBorders>
              <w:left w:val="single" w:sz="4" w:space="0" w:color="auto"/>
              <w:bottom w:val="single" w:sz="4" w:space="0" w:color="auto"/>
            </w:tcBorders>
          </w:tcPr>
          <w:p w:rsidR="00945489" w:rsidRDefault="00097F10" w:rsidP="00F810AE">
            <w:pPr>
              <w:jc w:val="center"/>
            </w:pPr>
            <w:r>
              <w:t>&lt;</w:t>
            </w:r>
            <w:r w:rsidR="00945489">
              <w:t>2</w:t>
            </w:r>
          </w:p>
        </w:tc>
        <w:tc>
          <w:tcPr>
            <w:tcW w:w="1530" w:type="dxa"/>
            <w:tcBorders>
              <w:bottom w:val="single" w:sz="4" w:space="0" w:color="auto"/>
            </w:tcBorders>
          </w:tcPr>
          <w:p w:rsidR="00945489" w:rsidRDefault="00097F10" w:rsidP="005E70F5">
            <w:pPr>
              <w:jc w:val="center"/>
            </w:pPr>
            <w:r>
              <w:t>&lt;</w:t>
            </w:r>
            <w:r w:rsidR="00945489">
              <w:t>2</w:t>
            </w:r>
          </w:p>
        </w:tc>
        <w:tc>
          <w:tcPr>
            <w:tcW w:w="1533" w:type="dxa"/>
            <w:tcBorders>
              <w:bottom w:val="single" w:sz="4" w:space="0" w:color="auto"/>
            </w:tcBorders>
          </w:tcPr>
          <w:p w:rsidR="00945489" w:rsidRDefault="00945489" w:rsidP="005E70F5">
            <w:pPr>
              <w:jc w:val="center"/>
            </w:pPr>
            <w:r>
              <w:t>9.3</w:t>
            </w:r>
          </w:p>
        </w:tc>
        <w:tc>
          <w:tcPr>
            <w:tcW w:w="1531" w:type="dxa"/>
            <w:tcBorders>
              <w:bottom w:val="single" w:sz="4" w:space="0" w:color="auto"/>
            </w:tcBorders>
          </w:tcPr>
          <w:p w:rsidR="00945489" w:rsidRDefault="00097F10" w:rsidP="005E70F5">
            <w:pPr>
              <w:jc w:val="center"/>
            </w:pPr>
            <w:r>
              <w:t>&gt;</w:t>
            </w:r>
            <w:r w:rsidR="00945489">
              <w:t>1200</w:t>
            </w:r>
          </w:p>
        </w:tc>
        <w:tc>
          <w:tcPr>
            <w:tcW w:w="1533" w:type="dxa"/>
            <w:tcBorders>
              <w:bottom w:val="single" w:sz="4" w:space="0" w:color="auto"/>
            </w:tcBorders>
          </w:tcPr>
          <w:p w:rsidR="00945489" w:rsidRDefault="00097F10" w:rsidP="00097F10">
            <w:pPr>
              <w:jc w:val="center"/>
            </w:pPr>
            <w:r>
              <w:t>&gt;</w:t>
            </w:r>
            <w:r w:rsidR="00945489">
              <w:t>1200</w:t>
            </w:r>
          </w:p>
        </w:tc>
      </w:tr>
      <w:tr w:rsidR="00945489"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c>
          <w:tcPr>
            <w:tcW w:w="1722" w:type="dxa"/>
            <w:vMerge/>
            <w:tcBorders>
              <w:left w:val="single" w:sz="4" w:space="0" w:color="auto"/>
              <w:right w:val="single" w:sz="4" w:space="0" w:color="auto"/>
            </w:tcBorders>
            <w:shd w:val="clear" w:color="auto" w:fill="auto"/>
          </w:tcPr>
          <w:p w:rsidR="00945489" w:rsidRPr="00936742" w:rsidRDefault="00945489" w:rsidP="00F810AE">
            <w:pPr>
              <w:rPr>
                <w:sz w:val="20"/>
                <w:szCs w:val="20"/>
              </w:rPr>
            </w:pPr>
          </w:p>
        </w:tc>
        <w:tc>
          <w:tcPr>
            <w:tcW w:w="993" w:type="dxa"/>
            <w:gridSpan w:val="2"/>
            <w:tcBorders>
              <w:top w:val="nil"/>
              <w:left w:val="single" w:sz="4" w:space="0" w:color="auto"/>
              <w:bottom w:val="nil"/>
              <w:right w:val="single" w:sz="4" w:space="0" w:color="auto"/>
            </w:tcBorders>
            <w:shd w:val="clear" w:color="auto" w:fill="auto"/>
          </w:tcPr>
          <w:p w:rsidR="00945489" w:rsidRPr="00936742" w:rsidRDefault="00945489" w:rsidP="00F810AE">
            <w:pPr>
              <w:rPr>
                <w:sz w:val="20"/>
                <w:szCs w:val="20"/>
              </w:rPr>
            </w:pPr>
            <w:r w:rsidRPr="00936742">
              <w:rPr>
                <w:sz w:val="20"/>
                <w:szCs w:val="20"/>
              </w:rPr>
              <w:t>Moyenne</w:t>
            </w:r>
          </w:p>
        </w:tc>
        <w:tc>
          <w:tcPr>
            <w:tcW w:w="1530" w:type="dxa"/>
            <w:tcBorders>
              <w:left w:val="single" w:sz="4" w:space="0" w:color="auto"/>
              <w:right w:val="single" w:sz="4" w:space="0" w:color="auto"/>
            </w:tcBorders>
          </w:tcPr>
          <w:p w:rsidR="00945489" w:rsidRPr="00936742" w:rsidRDefault="00945489" w:rsidP="00F810AE">
            <w:pPr>
              <w:jc w:val="center"/>
            </w:pPr>
            <w:r w:rsidRPr="00936742">
              <w:t>2</w:t>
            </w:r>
          </w:p>
        </w:tc>
        <w:tc>
          <w:tcPr>
            <w:tcW w:w="1530" w:type="dxa"/>
            <w:tcBorders>
              <w:left w:val="single" w:sz="4" w:space="0" w:color="auto"/>
            </w:tcBorders>
          </w:tcPr>
          <w:p w:rsidR="00945489" w:rsidRPr="00936742" w:rsidRDefault="00945489" w:rsidP="005E70F5">
            <w:pPr>
              <w:jc w:val="center"/>
            </w:pPr>
            <w:r w:rsidRPr="00936742">
              <w:t>2</w:t>
            </w:r>
          </w:p>
        </w:tc>
        <w:tc>
          <w:tcPr>
            <w:tcW w:w="1533" w:type="dxa"/>
          </w:tcPr>
          <w:p w:rsidR="00945489" w:rsidRPr="00936742" w:rsidRDefault="00945489" w:rsidP="005E70F5">
            <w:pPr>
              <w:jc w:val="center"/>
            </w:pPr>
            <w:r w:rsidRPr="00936742">
              <w:t>8.7</w:t>
            </w:r>
          </w:p>
        </w:tc>
        <w:tc>
          <w:tcPr>
            <w:tcW w:w="1531" w:type="dxa"/>
          </w:tcPr>
          <w:p w:rsidR="00945489" w:rsidRPr="00936742" w:rsidRDefault="00945489" w:rsidP="005E70F5">
            <w:pPr>
              <w:jc w:val="center"/>
            </w:pPr>
            <w:r w:rsidRPr="00936742">
              <w:t>1200</w:t>
            </w:r>
          </w:p>
        </w:tc>
        <w:tc>
          <w:tcPr>
            <w:tcW w:w="1533" w:type="dxa"/>
          </w:tcPr>
          <w:p w:rsidR="00945489" w:rsidRDefault="00945489" w:rsidP="005E70F5">
            <w:pPr>
              <w:jc w:val="center"/>
            </w:pPr>
            <w:r w:rsidRPr="00936742">
              <w:t>1200</w:t>
            </w:r>
          </w:p>
        </w:tc>
      </w:tr>
      <w:tr w:rsidR="00945489"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c>
          <w:tcPr>
            <w:tcW w:w="1722" w:type="dxa"/>
            <w:vMerge/>
            <w:tcBorders>
              <w:left w:val="single" w:sz="4" w:space="0" w:color="auto"/>
              <w:right w:val="single" w:sz="4" w:space="0" w:color="auto"/>
            </w:tcBorders>
            <w:shd w:val="clear" w:color="auto" w:fill="auto"/>
          </w:tcPr>
          <w:p w:rsidR="00945489" w:rsidRPr="00F810AE" w:rsidRDefault="00945489" w:rsidP="00F810AE">
            <w:pPr>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945489" w:rsidRPr="00F810AE" w:rsidRDefault="00945489" w:rsidP="00F810AE">
            <w:pPr>
              <w:rPr>
                <w:sz w:val="20"/>
                <w:szCs w:val="20"/>
              </w:rPr>
            </w:pPr>
            <w:r w:rsidRPr="00F810AE">
              <w:rPr>
                <w:sz w:val="20"/>
                <w:szCs w:val="20"/>
              </w:rPr>
              <w:t>Ecart type</w:t>
            </w:r>
          </w:p>
        </w:tc>
        <w:tc>
          <w:tcPr>
            <w:tcW w:w="1530" w:type="dxa"/>
            <w:tcBorders>
              <w:left w:val="single" w:sz="4" w:space="0" w:color="auto"/>
            </w:tcBorders>
          </w:tcPr>
          <w:p w:rsidR="00945489" w:rsidRDefault="00945489" w:rsidP="00F810AE">
            <w:pPr>
              <w:jc w:val="center"/>
            </w:pPr>
            <w:r>
              <w:t>0</w:t>
            </w:r>
          </w:p>
        </w:tc>
        <w:tc>
          <w:tcPr>
            <w:tcW w:w="1530" w:type="dxa"/>
          </w:tcPr>
          <w:p w:rsidR="00945489" w:rsidRDefault="00945489" w:rsidP="005E70F5">
            <w:pPr>
              <w:jc w:val="center"/>
            </w:pPr>
            <w:r>
              <w:t>0</w:t>
            </w:r>
          </w:p>
        </w:tc>
        <w:tc>
          <w:tcPr>
            <w:tcW w:w="1533" w:type="dxa"/>
          </w:tcPr>
          <w:p w:rsidR="00945489" w:rsidRDefault="00945489" w:rsidP="00F810AE">
            <w:r>
              <w:t>0.529150262</w:t>
            </w:r>
          </w:p>
        </w:tc>
        <w:tc>
          <w:tcPr>
            <w:tcW w:w="1531" w:type="dxa"/>
          </w:tcPr>
          <w:p w:rsidR="00945489" w:rsidRDefault="00945489" w:rsidP="00F810AE">
            <w:r>
              <w:t>0</w:t>
            </w:r>
          </w:p>
        </w:tc>
        <w:tc>
          <w:tcPr>
            <w:tcW w:w="1533" w:type="dxa"/>
          </w:tcPr>
          <w:p w:rsidR="00945489" w:rsidRDefault="00945489" w:rsidP="00F810AE">
            <w:r>
              <w:t>0</w:t>
            </w:r>
          </w:p>
        </w:tc>
      </w:tr>
      <w:tr w:rsidR="00945489"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c>
          <w:tcPr>
            <w:tcW w:w="1722" w:type="dxa"/>
            <w:vMerge/>
            <w:tcBorders>
              <w:left w:val="single" w:sz="4" w:space="0" w:color="auto"/>
              <w:bottom w:val="single" w:sz="4" w:space="0" w:color="auto"/>
              <w:right w:val="single" w:sz="4" w:space="0" w:color="auto"/>
            </w:tcBorders>
            <w:shd w:val="clear" w:color="auto" w:fill="auto"/>
          </w:tcPr>
          <w:p w:rsidR="00945489" w:rsidRPr="00F810AE" w:rsidRDefault="00945489" w:rsidP="00F810AE">
            <w:pPr>
              <w:rPr>
                <w:sz w:val="20"/>
                <w:szCs w:val="20"/>
              </w:rPr>
            </w:pPr>
          </w:p>
        </w:tc>
        <w:tc>
          <w:tcPr>
            <w:tcW w:w="993" w:type="dxa"/>
            <w:gridSpan w:val="2"/>
            <w:tcBorders>
              <w:top w:val="nil"/>
              <w:left w:val="single" w:sz="4" w:space="0" w:color="auto"/>
              <w:bottom w:val="single" w:sz="4" w:space="0" w:color="auto"/>
            </w:tcBorders>
            <w:shd w:val="clear" w:color="auto" w:fill="auto"/>
          </w:tcPr>
          <w:p w:rsidR="00945489" w:rsidRPr="00F810AE" w:rsidRDefault="00945489" w:rsidP="00F810AE">
            <w:pPr>
              <w:rPr>
                <w:sz w:val="20"/>
                <w:szCs w:val="20"/>
              </w:rPr>
            </w:pPr>
            <w:r w:rsidRPr="00F810AE">
              <w:rPr>
                <w:sz w:val="20"/>
                <w:szCs w:val="20"/>
              </w:rPr>
              <w:t xml:space="preserve">Erreurs </w:t>
            </w:r>
          </w:p>
        </w:tc>
        <w:tc>
          <w:tcPr>
            <w:tcW w:w="1530" w:type="dxa"/>
            <w:tcBorders>
              <w:bottom w:val="single" w:sz="4" w:space="0" w:color="auto"/>
            </w:tcBorders>
          </w:tcPr>
          <w:p w:rsidR="00945489" w:rsidRDefault="00945489" w:rsidP="00F810AE">
            <w:pPr>
              <w:jc w:val="center"/>
            </w:pPr>
            <w:r>
              <w:t>0</w:t>
            </w:r>
          </w:p>
        </w:tc>
        <w:tc>
          <w:tcPr>
            <w:tcW w:w="1530" w:type="dxa"/>
            <w:tcBorders>
              <w:bottom w:val="single" w:sz="4" w:space="0" w:color="auto"/>
            </w:tcBorders>
          </w:tcPr>
          <w:p w:rsidR="00945489" w:rsidRDefault="00945489" w:rsidP="00BB6237">
            <w:pPr>
              <w:jc w:val="center"/>
            </w:pPr>
            <w:r>
              <w:t>0</w:t>
            </w:r>
          </w:p>
        </w:tc>
        <w:tc>
          <w:tcPr>
            <w:tcW w:w="1533" w:type="dxa"/>
            <w:tcBorders>
              <w:bottom w:val="single" w:sz="4" w:space="0" w:color="auto"/>
            </w:tcBorders>
          </w:tcPr>
          <w:p w:rsidR="00945489" w:rsidRDefault="00945489" w:rsidP="00BB6237">
            <w:r>
              <w:t>0.305505046</w:t>
            </w:r>
          </w:p>
        </w:tc>
        <w:tc>
          <w:tcPr>
            <w:tcW w:w="1531" w:type="dxa"/>
            <w:tcBorders>
              <w:bottom w:val="single" w:sz="4" w:space="0" w:color="auto"/>
            </w:tcBorders>
          </w:tcPr>
          <w:p w:rsidR="00945489" w:rsidRDefault="00945489" w:rsidP="00F810AE">
            <w:r>
              <w:t>0</w:t>
            </w:r>
          </w:p>
        </w:tc>
        <w:tc>
          <w:tcPr>
            <w:tcW w:w="1533" w:type="dxa"/>
            <w:tcBorders>
              <w:bottom w:val="single" w:sz="4" w:space="0" w:color="auto"/>
            </w:tcBorders>
          </w:tcPr>
          <w:p w:rsidR="00945489" w:rsidRDefault="00945489" w:rsidP="00F810AE">
            <w:r>
              <w:t>0</w:t>
            </w:r>
          </w:p>
        </w:tc>
      </w:tr>
      <w:tr w:rsidR="005E70F5" w:rsidTr="00217FD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Look w:val="04A0"/>
        </w:tblPrEx>
        <w:trPr>
          <w:gridBefore w:val="3"/>
          <w:wBefore w:w="2715" w:type="dxa"/>
        </w:trPr>
        <w:tc>
          <w:tcPr>
            <w:tcW w:w="1530" w:type="dxa"/>
          </w:tcPr>
          <w:p w:rsidR="005E70F5" w:rsidRDefault="005E70F5" w:rsidP="00F810AE">
            <w:r>
              <w:t>1.732051</w:t>
            </w:r>
          </w:p>
        </w:tc>
        <w:tc>
          <w:tcPr>
            <w:tcW w:w="1530" w:type="dxa"/>
          </w:tcPr>
          <w:p w:rsidR="005E70F5" w:rsidRDefault="005E70F5" w:rsidP="00F810AE">
            <w:r>
              <w:t>1.732051</w:t>
            </w:r>
          </w:p>
        </w:tc>
        <w:tc>
          <w:tcPr>
            <w:tcW w:w="1533" w:type="dxa"/>
          </w:tcPr>
          <w:p w:rsidR="005E70F5" w:rsidRDefault="005E70F5" w:rsidP="00F810AE">
            <w:r>
              <w:t>1.732050808</w:t>
            </w:r>
          </w:p>
        </w:tc>
        <w:tc>
          <w:tcPr>
            <w:tcW w:w="1531" w:type="dxa"/>
          </w:tcPr>
          <w:p w:rsidR="005E70F5" w:rsidRDefault="005E70F5" w:rsidP="00F810AE">
            <w:r>
              <w:t>1.732051</w:t>
            </w:r>
          </w:p>
        </w:tc>
        <w:tc>
          <w:tcPr>
            <w:tcW w:w="1533" w:type="dxa"/>
          </w:tcPr>
          <w:p w:rsidR="005E70F5" w:rsidRDefault="005E70F5" w:rsidP="00F810AE">
            <w:r>
              <w:t>1.73205081</w:t>
            </w:r>
          </w:p>
        </w:tc>
      </w:tr>
    </w:tbl>
    <w:p w:rsidR="004B635A" w:rsidRPr="009701C7" w:rsidRDefault="009701C7" w:rsidP="001F5CEC">
      <w:pPr>
        <w:rPr>
          <w:b/>
          <w:i/>
          <w:sz w:val="52"/>
          <w:szCs w:val="52"/>
          <w:u w:val="single"/>
        </w:rPr>
      </w:pPr>
      <w:proofErr w:type="gramStart"/>
      <w:r>
        <w:rPr>
          <w:b/>
          <w:i/>
          <w:sz w:val="52"/>
          <w:szCs w:val="52"/>
          <w:u w:val="single"/>
        </w:rPr>
        <w:t>Notes</w:t>
      </w:r>
      <w:proofErr w:type="gramEnd"/>
      <w:r w:rsidRPr="009701C7">
        <w:rPr>
          <w:b/>
          <w:i/>
          <w:sz w:val="52"/>
          <w:szCs w:val="52"/>
          <w:u w:val="single"/>
        </w:rPr>
        <w:t> :</w:t>
      </w:r>
    </w:p>
    <w:p w:rsidR="004B635A" w:rsidRDefault="00097F10" w:rsidP="00097F10">
      <w:pPr>
        <w:pStyle w:val="Paragraphedeliste"/>
        <w:numPr>
          <w:ilvl w:val="0"/>
          <w:numId w:val="1"/>
        </w:numPr>
      </w:pPr>
      <w:r>
        <w:t xml:space="preserve">Les solutés  (d’à gauche à droite, de numéro 1 à 5) sont placés en ordre croissant selon le temps qu’ils nécessitent pour atteindre une hémolyse. En </w:t>
      </w:r>
      <w:r w:rsidR="0010359E">
        <w:t>effet,</w:t>
      </w:r>
      <w:r>
        <w:t xml:space="preserve"> lorsque 75% des cellules sont </w:t>
      </w:r>
      <w:r w:rsidR="0010359E">
        <w:t>hémolysées,</w:t>
      </w:r>
      <w:r>
        <w:t xml:space="preserve"> les érythrocytes apparaissent transparents</w:t>
      </w:r>
      <w:r w:rsidR="0010359E">
        <w:t xml:space="preserve">. </w:t>
      </w:r>
    </w:p>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0359E"/>
    <w:p w:rsidR="0010359E" w:rsidRDefault="0010359E" w:rsidP="001F5CEC"/>
    <w:p w:rsidR="0010359E" w:rsidRPr="0010359E" w:rsidRDefault="0010359E" w:rsidP="001F5CEC">
      <w:pPr>
        <w:rPr>
          <w:b/>
          <w:i/>
          <w:sz w:val="28"/>
          <w:szCs w:val="28"/>
          <w:u w:val="single"/>
        </w:rPr>
      </w:pPr>
      <w:r w:rsidRPr="0010359E">
        <w:rPr>
          <w:b/>
          <w:i/>
          <w:sz w:val="28"/>
          <w:szCs w:val="28"/>
          <w:u w:val="single"/>
        </w:rPr>
        <w:t>Discussion :</w:t>
      </w:r>
    </w:p>
    <w:p w:rsidR="001F5CEC" w:rsidRDefault="0010359E" w:rsidP="001F5CEC">
      <w:pPr>
        <w:rPr>
          <w:u w:val="single"/>
        </w:rPr>
      </w:pPr>
      <w:r w:rsidRPr="0010359E">
        <w:rPr>
          <w:u w:val="single"/>
        </w:rPr>
        <w:t>1‐ Quels sont les facteurs qui affectent la diffusion des solutés testés aujourd’hui?</w:t>
      </w:r>
    </w:p>
    <w:p w:rsidR="0010359E" w:rsidRPr="0010359E" w:rsidRDefault="0010359E" w:rsidP="0010359E">
      <w:pPr>
        <w:pStyle w:val="Paragraphedeliste"/>
        <w:numPr>
          <w:ilvl w:val="0"/>
          <w:numId w:val="2"/>
        </w:numPr>
        <w:rPr>
          <w:u w:val="single"/>
        </w:rPr>
      </w:pPr>
      <w:r>
        <w:t>Ce qui peut affecter la diffusion c’est la solubilité du soluté utilisé, la dimension de la molécule et la différence de concentration intérieure et extérieure. La polarité et la charge de la solution ainsi que la composition de la membrane peuvent également influencer cette diffusion.</w:t>
      </w:r>
    </w:p>
    <w:p w:rsidR="0010359E" w:rsidRDefault="0010359E" w:rsidP="0010359E">
      <w:pPr>
        <w:rPr>
          <w:u w:val="single"/>
        </w:rPr>
      </w:pPr>
    </w:p>
    <w:p w:rsidR="0010359E" w:rsidRDefault="0010359E" w:rsidP="0010359E">
      <w:pPr>
        <w:rPr>
          <w:u w:val="single"/>
        </w:rPr>
      </w:pPr>
      <w:r w:rsidRPr="0010359E">
        <w:rPr>
          <w:u w:val="single"/>
        </w:rPr>
        <w:t>2‐ Comment les facteurs listés en (1) affectent ils la diffusion des solutés?</w:t>
      </w:r>
    </w:p>
    <w:p w:rsidR="0010359E" w:rsidRPr="0010359E" w:rsidRDefault="0010359E" w:rsidP="0010359E">
      <w:pPr>
        <w:pStyle w:val="Paragraphedeliste"/>
        <w:numPr>
          <w:ilvl w:val="0"/>
          <w:numId w:val="2"/>
        </w:numPr>
        <w:rPr>
          <w:u w:val="single"/>
        </w:rPr>
      </w:pPr>
      <w:r>
        <w:t xml:space="preserve">La vitesse à laquelle </w:t>
      </w:r>
      <w:r w:rsidR="00294547">
        <w:t xml:space="preserve">l’hémolyse est atteinte </w:t>
      </w:r>
      <w:r w:rsidR="004B66C7">
        <w:t xml:space="preserve">définit la perméabilité de l’érythrocyte face à certaines molécules. D’abord la grosseur des molécules affecte la diffusion de celles-ci car elle aura de la difficulté à entrer ou à sortir de la cellule. Par exemple dans le cas du saccharose, c’est une grosse molécule et cela l’a rend moins perméable à la membrane de sorte qu’elle doit avoir recourt au transport actif pour rentrer, ce qui ne se fait pas instantanément. Les molécules </w:t>
      </w:r>
      <w:r w:rsidR="00BA07F7">
        <w:t xml:space="preserve">plus grosses doivent passer </w:t>
      </w:r>
      <w:r w:rsidR="00464F49">
        <w:t xml:space="preserve">à travers la membrane à l’aide de la diffusion facilitée ou du transport actif qui nécessite de l’énergie. La polarité et la charge influencent aussi la diffusion. Les ions ont tendance à vouloir équilibrer les charges intérieures et extérieures et ces ions doivent passer par diffusion facilitée par l’entremise des canaux ioniques qui sont gérés par des protéines membranaires. Et ce qui influence encore la diffusion des solutés la solubilité, plus un soluté est soluble, plus il diffusera facilement à travers la membrane. Par exemple, l’Urée est très </w:t>
      </w:r>
      <w:r w:rsidR="009701C7">
        <w:t xml:space="preserve">soluble et de ce fait, il a diffusé au moins de 2s à travers la membrane du globule rouge. Le Glycol d’éthylène est également soluble mais visqueux ce qui explique qu’il ait prit plus de temps à diffuser. Le gradient de concentration influence aussi la diffusion, s’il ya une différence de concentration entre l’érythrocyte et la solution, l’osmose et la diffusion vont chercher à rétablir l’équilibre. L’environnement extérieur des érythrocytes était hypotonique dans les solutions étudiées car il y a eu une hémolyse, c'est-à-dire que l’environnement était plus concentré à l’intérieur ce qui a causé une entrée d’eau.  </w:t>
      </w:r>
      <w:r w:rsidR="00464F49">
        <w:t xml:space="preserve"> </w:t>
      </w:r>
    </w:p>
    <w:p w:rsidR="0010359E" w:rsidRDefault="0010359E" w:rsidP="001F5CEC"/>
    <w:sectPr w:rsidR="0010359E" w:rsidSect="007E380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C563B"/>
    <w:multiLevelType w:val="hybridMultilevel"/>
    <w:tmpl w:val="742C2C6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7D1126B"/>
    <w:multiLevelType w:val="hybridMultilevel"/>
    <w:tmpl w:val="618E1F58"/>
    <w:lvl w:ilvl="0" w:tplc="9438A62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387A12"/>
    <w:rsid w:val="00097F10"/>
    <w:rsid w:val="0010359E"/>
    <w:rsid w:val="001324E2"/>
    <w:rsid w:val="001F5CEC"/>
    <w:rsid w:val="00217FD1"/>
    <w:rsid w:val="00294547"/>
    <w:rsid w:val="00387A12"/>
    <w:rsid w:val="00464F49"/>
    <w:rsid w:val="004B635A"/>
    <w:rsid w:val="004B66C7"/>
    <w:rsid w:val="005E70F5"/>
    <w:rsid w:val="007E380B"/>
    <w:rsid w:val="00920627"/>
    <w:rsid w:val="00936742"/>
    <w:rsid w:val="00945489"/>
    <w:rsid w:val="009701C7"/>
    <w:rsid w:val="00BA07F7"/>
    <w:rsid w:val="00F810A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80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1F5C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097F1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D04DC-A4F8-4A63-845E-BBDE20EC6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481</Words>
  <Characters>2646</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2016-02-07T22:29:00Z</dcterms:created>
  <dcterms:modified xsi:type="dcterms:W3CDTF">2016-02-08T02:56:00Z</dcterms:modified>
</cp:coreProperties>
</file>