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E1" w:rsidRPr="0094386A" w:rsidRDefault="00B525FA">
      <w:pPr>
        <w:pStyle w:val="HeadingRed"/>
        <w:rPr>
          <w:color w:val="165778"/>
          <w:lang w:val="fr-FR"/>
        </w:rPr>
      </w:pPr>
      <w:r w:rsidRPr="0094386A">
        <w:rPr>
          <w:color w:val="165778"/>
          <w:lang w:val="fr-FR"/>
        </w:rPr>
        <w:t xml:space="preserve">Enjeux Macroéconomiques Contemporains — Révision </w:t>
      </w:r>
    </w:p>
    <w:p w:rsidR="00C762E1" w:rsidRPr="0094386A" w:rsidRDefault="00C762E1">
      <w:pPr>
        <w:pStyle w:val="Titre2"/>
        <w:rPr>
          <w:lang w:val="fr-FR"/>
        </w:rPr>
      </w:pPr>
    </w:p>
    <w:p w:rsidR="00C762E1" w:rsidRPr="0094386A" w:rsidRDefault="00B525FA">
      <w:pPr>
        <w:pStyle w:val="Titre2"/>
        <w:spacing w:line="288" w:lineRule="auto"/>
        <w:rPr>
          <w:lang w:val="fr-FR"/>
        </w:rPr>
      </w:pPr>
      <w:r w:rsidRPr="0094386A">
        <w:rPr>
          <w:lang w:val="fr-FR"/>
        </w:rPr>
        <w:t xml:space="preserve">1. Les acteurs économiques et le circuit économique </w:t>
      </w:r>
    </w:p>
    <w:p w:rsidR="00C762E1" w:rsidRPr="0094386A" w:rsidRDefault="00B525FA">
      <w:pPr>
        <w:pStyle w:val="Body"/>
        <w:numPr>
          <w:ilvl w:val="0"/>
          <w:numId w:val="2"/>
        </w:numPr>
        <w:spacing w:line="288" w:lineRule="auto"/>
        <w:rPr>
          <w:lang w:val="fr-FR"/>
        </w:rPr>
      </w:pPr>
      <w:r w:rsidRPr="0094386A">
        <w:rPr>
          <w:b/>
          <w:bCs/>
          <w:lang w:val="fr-FR"/>
        </w:rPr>
        <w:t xml:space="preserve">Analyse économique : </w:t>
      </w:r>
      <w:r w:rsidRPr="0094386A">
        <w:rPr>
          <w:lang w:val="fr-FR"/>
        </w:rPr>
        <w:t>Comprendre activités de production, consommation, répartition + relations; action économique des gouvernements et autorités monétaires et affecte (et comprendre) chômage, monnaie, inflation, épargne, investissement</w:t>
      </w:r>
    </w:p>
    <w:p w:rsidR="00C762E1" w:rsidRPr="0094386A" w:rsidRDefault="00B525FA">
      <w:pPr>
        <w:pStyle w:val="Body"/>
        <w:numPr>
          <w:ilvl w:val="0"/>
          <w:numId w:val="2"/>
        </w:numPr>
        <w:spacing w:line="288" w:lineRule="auto"/>
        <w:rPr>
          <w:lang w:val="fr-FR"/>
        </w:rPr>
      </w:pPr>
      <w:r w:rsidRPr="0094386A">
        <w:rPr>
          <w:b/>
          <w:bCs/>
          <w:lang w:val="fr-FR"/>
        </w:rPr>
        <w:t>Macro-économie</w:t>
      </w:r>
      <w:r w:rsidRPr="0094386A">
        <w:rPr>
          <w:lang w:val="fr-FR"/>
        </w:rPr>
        <w:t xml:space="preserve"> : fonctionnement </w:t>
      </w:r>
      <w:r w:rsidR="0094386A">
        <w:rPr>
          <w:lang w:val="fr-FR"/>
        </w:rPr>
        <w:t xml:space="preserve">ensemble </w:t>
      </w:r>
      <w:r w:rsidRPr="0094386A">
        <w:rPr>
          <w:lang w:val="fr-FR"/>
        </w:rPr>
        <w:t xml:space="preserve">du système économique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relations, écon. globale</w:t>
      </w:r>
    </w:p>
    <w:p w:rsidR="00C762E1" w:rsidRPr="0094386A" w:rsidRDefault="00C762E1">
      <w:pPr>
        <w:pStyle w:val="Body"/>
        <w:spacing w:line="288" w:lineRule="auto"/>
        <w:rPr>
          <w:b/>
          <w:bCs/>
          <w:lang w:val="fr-FR"/>
        </w:rPr>
      </w:pPr>
    </w:p>
    <w:p w:rsidR="00C762E1" w:rsidRDefault="00B525FA">
      <w:pPr>
        <w:pStyle w:val="Titre2"/>
        <w:spacing w:line="288" w:lineRule="auto"/>
        <w:rPr>
          <w:rFonts w:ascii="Helvetica Light" w:eastAsia="Helvetica Light" w:hAnsi="Helvetica Light" w:cs="Helvetica Light"/>
          <w:b w:val="0"/>
          <w:bCs w:val="0"/>
          <w:sz w:val="28"/>
          <w:szCs w:val="28"/>
        </w:rPr>
      </w:pPr>
      <w:r>
        <w:rPr>
          <w:rFonts w:ascii="Helvetica Light" w:hAnsi="Helvetica Light"/>
          <w:b w:val="0"/>
          <w:bCs w:val="0"/>
          <w:sz w:val="28"/>
          <w:szCs w:val="28"/>
        </w:rPr>
        <w:t>Raisonnement économique</w:t>
      </w:r>
    </w:p>
    <w:p w:rsidR="00C762E1" w:rsidRPr="0094386A" w:rsidRDefault="00B525FA">
      <w:pPr>
        <w:pStyle w:val="Body"/>
        <w:numPr>
          <w:ilvl w:val="0"/>
          <w:numId w:val="3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Structure économique crée rareté : biens sont coûteux à obtenir + disponibles en quantités limitées + besoins sont illimitées = choix </w:t>
      </w:r>
    </w:p>
    <w:p w:rsidR="00C762E1" w:rsidRDefault="00B525FA">
      <w:pPr>
        <w:pStyle w:val="Body"/>
        <w:numPr>
          <w:ilvl w:val="0"/>
          <w:numId w:val="5"/>
        </w:numPr>
        <w:spacing w:line="288" w:lineRule="auto"/>
        <w:rPr>
          <w:b/>
          <w:bCs/>
        </w:rPr>
      </w:pPr>
      <w:r>
        <w:rPr>
          <w:b/>
          <w:bCs/>
        </w:rPr>
        <w:t>La rareté et ses conséquences</w:t>
      </w:r>
    </w:p>
    <w:p w:rsidR="00C762E1" w:rsidRPr="0094386A" w:rsidRDefault="00B525FA">
      <w:pPr>
        <w:pStyle w:val="Body"/>
        <w:numPr>
          <w:ilvl w:val="1"/>
          <w:numId w:val="7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Rareté</w:t>
      </w:r>
      <w:r w:rsidRPr="0094386A">
        <w:rPr>
          <w:lang w:val="fr-FR"/>
        </w:rPr>
        <w:t xml:space="preserve"> : </w:t>
      </w:r>
      <w:r w:rsidRPr="0094386A">
        <w:rPr>
          <w:i/>
          <w:iCs/>
          <w:lang w:val="fr-FR"/>
        </w:rPr>
        <w:t xml:space="preserve">Production pour </w:t>
      </w:r>
      <w:r w:rsidR="0094386A">
        <w:rPr>
          <w:i/>
          <w:iCs/>
          <w:lang w:val="fr-FR"/>
        </w:rPr>
        <w:t>1</w:t>
      </w:r>
      <w:r w:rsidRPr="0094386A">
        <w:rPr>
          <w:i/>
          <w:iCs/>
          <w:lang w:val="fr-FR"/>
        </w:rPr>
        <w:t xml:space="preserve">consommation </w:t>
      </w:r>
      <w:r w:rsidRPr="0094386A">
        <w:rPr>
          <w:lang w:val="fr-FR"/>
        </w:rPr>
        <w:t xml:space="preserve">(appareil de production moins efficace, moins de capacité de consommation) vs </w:t>
      </w:r>
      <w:r w:rsidRPr="0094386A">
        <w:rPr>
          <w:i/>
          <w:iCs/>
          <w:lang w:val="fr-FR"/>
        </w:rPr>
        <w:t xml:space="preserve">production pour </w:t>
      </w:r>
      <w:r w:rsidR="0094386A">
        <w:rPr>
          <w:i/>
          <w:iCs/>
          <w:lang w:val="fr-FR"/>
        </w:rPr>
        <w:t>2</w:t>
      </w:r>
      <w:r w:rsidRPr="0094386A">
        <w:rPr>
          <w:i/>
          <w:iCs/>
          <w:lang w:val="fr-FR"/>
        </w:rPr>
        <w:t xml:space="preserve">investissement </w:t>
      </w:r>
      <w:r w:rsidRPr="0094386A">
        <w:rPr>
          <w:lang w:val="fr-FR"/>
        </w:rPr>
        <w:t xml:space="preserve">(moins de consommation mais gains à long-terme) </w:t>
      </w:r>
    </w:p>
    <w:p w:rsidR="00C762E1" w:rsidRPr="0094386A" w:rsidRDefault="00B525FA">
      <w:pPr>
        <w:pStyle w:val="Body"/>
        <w:numPr>
          <w:ilvl w:val="2"/>
          <w:numId w:val="3"/>
        </w:numPr>
        <w:spacing w:line="288" w:lineRule="auto"/>
        <w:rPr>
          <w:lang w:val="fr-FR"/>
        </w:rPr>
      </w:pPr>
      <w:r w:rsidRPr="0094386A">
        <w:rPr>
          <w:i/>
          <w:iCs/>
          <w:lang w:val="fr-FR"/>
        </w:rPr>
        <w:t xml:space="preserve">Revenu pour </w:t>
      </w:r>
      <w:r w:rsidR="0094386A">
        <w:rPr>
          <w:i/>
          <w:iCs/>
          <w:lang w:val="fr-FR"/>
        </w:rPr>
        <w:t>1</w:t>
      </w:r>
      <w:r w:rsidRPr="0094386A">
        <w:rPr>
          <w:i/>
          <w:iCs/>
          <w:lang w:val="fr-FR"/>
        </w:rPr>
        <w:t>consommation</w:t>
      </w:r>
      <w:r w:rsidRPr="0094386A">
        <w:rPr>
          <w:lang w:val="fr-FR"/>
        </w:rPr>
        <w:t xml:space="preserve"> vs</w:t>
      </w:r>
      <w:r w:rsidRPr="0094386A">
        <w:rPr>
          <w:i/>
          <w:iCs/>
          <w:lang w:val="fr-FR"/>
        </w:rPr>
        <w:t xml:space="preserve"> revenu pour </w:t>
      </w:r>
      <w:r w:rsidR="0094386A">
        <w:rPr>
          <w:i/>
          <w:iCs/>
          <w:lang w:val="fr-FR"/>
        </w:rPr>
        <w:t>2</w:t>
      </w:r>
      <w:r w:rsidRPr="0094386A">
        <w:rPr>
          <w:i/>
          <w:iCs/>
          <w:lang w:val="fr-FR"/>
        </w:rPr>
        <w:t xml:space="preserve">épargne </w:t>
      </w:r>
    </w:p>
    <w:p w:rsidR="00C762E1" w:rsidRPr="0094386A" w:rsidRDefault="00B525FA">
      <w:pPr>
        <w:pStyle w:val="Body"/>
        <w:numPr>
          <w:ilvl w:val="2"/>
          <w:numId w:val="3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Coût d’opportunité/renonciation : renoncer pour qq’chose d’autre (choix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</w:t>
      </w:r>
      <w:r w:rsidR="0094386A">
        <w:rPr>
          <w:lang w:val="fr-FR"/>
        </w:rPr>
        <w:t>incitations,</w:t>
      </w:r>
      <w:r w:rsidR="0094386A" w:rsidRPr="0094386A">
        <w:rPr>
          <w:lang w:val="fr-FR"/>
        </w:rPr>
        <w:t xml:space="preserve"> prix, actions</w:t>
      </w:r>
      <w:r w:rsidR="0094386A">
        <w:rPr>
          <w:lang w:val="fr-FR"/>
        </w:rPr>
        <w:t xml:space="preserve"> du gov</w:t>
      </w:r>
      <w:r w:rsidRPr="0094386A">
        <w:rPr>
          <w:lang w:val="fr-FR"/>
        </w:rPr>
        <w:t xml:space="preserve"> etc.)</w:t>
      </w:r>
    </w:p>
    <w:p w:rsidR="00C762E1" w:rsidRPr="0094386A" w:rsidRDefault="00B525FA">
      <w:pPr>
        <w:pStyle w:val="Body"/>
        <w:numPr>
          <w:ilvl w:val="1"/>
          <w:numId w:val="7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Division du travail</w:t>
      </w:r>
      <w:r w:rsidRPr="0094386A">
        <w:rPr>
          <w:lang w:val="fr-FR"/>
        </w:rPr>
        <w:t xml:space="preserve"> : spécialisation de travail et échanges internationaux</w:t>
      </w:r>
    </w:p>
    <w:p w:rsidR="00C762E1" w:rsidRPr="0094386A" w:rsidRDefault="00B525FA">
      <w:pPr>
        <w:pStyle w:val="Body"/>
        <w:numPr>
          <w:ilvl w:val="1"/>
          <w:numId w:val="7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Répartition des richesses</w:t>
      </w:r>
      <w:r w:rsidRPr="0094386A">
        <w:rPr>
          <w:lang w:val="fr-FR"/>
        </w:rPr>
        <w:t xml:space="preserve"> : inégalitaire (capitalisme); croissance d’inégalité des</w:t>
      </w:r>
      <w:r>
        <w:rPr>
          <w:noProof/>
          <w:lang w:val="fr-FR" w:eastAsia="fr-FR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5007333</wp:posOffset>
            </wp:positionH>
            <wp:positionV relativeFrom="line">
              <wp:posOffset>349215</wp:posOffset>
            </wp:positionV>
            <wp:extent cx="1561509" cy="1561509"/>
            <wp:effectExtent l="0" t="0" r="0" b="0"/>
            <wp:wrapThrough wrapText="bothSides" distL="152400" distR="152400">
              <wp:wrapPolygon edited="1">
                <wp:start x="270" y="270"/>
                <wp:lineTo x="270" y="11970"/>
                <wp:lineTo x="990" y="12150"/>
                <wp:lineTo x="810" y="12600"/>
                <wp:lineTo x="450" y="12600"/>
                <wp:lineTo x="270" y="12870"/>
                <wp:lineTo x="270" y="11970"/>
                <wp:lineTo x="270" y="270"/>
                <wp:lineTo x="630" y="270"/>
                <wp:lineTo x="630" y="2520"/>
                <wp:lineTo x="1080" y="2610"/>
                <wp:lineTo x="1080" y="3060"/>
                <wp:lineTo x="540" y="3150"/>
                <wp:lineTo x="630" y="2520"/>
                <wp:lineTo x="630" y="270"/>
                <wp:lineTo x="1350" y="270"/>
                <wp:lineTo x="1350" y="11970"/>
                <wp:lineTo x="1620" y="12420"/>
                <wp:lineTo x="1170" y="12420"/>
                <wp:lineTo x="1350" y="11970"/>
                <wp:lineTo x="1350" y="270"/>
                <wp:lineTo x="1800" y="270"/>
                <wp:lineTo x="2250" y="810"/>
                <wp:lineTo x="1980" y="900"/>
                <wp:lineTo x="2160" y="18090"/>
                <wp:lineTo x="9000" y="13860"/>
                <wp:lineTo x="10710" y="12420"/>
                <wp:lineTo x="10620" y="12060"/>
                <wp:lineTo x="7380" y="8820"/>
                <wp:lineTo x="4590" y="4590"/>
                <wp:lineTo x="3060" y="1260"/>
                <wp:lineTo x="6210" y="6930"/>
                <wp:lineTo x="9270" y="10620"/>
                <wp:lineTo x="10980" y="12060"/>
                <wp:lineTo x="11880" y="11610"/>
                <wp:lineTo x="15480" y="7740"/>
                <wp:lineTo x="18180" y="3330"/>
                <wp:lineTo x="18990" y="1800"/>
                <wp:lineTo x="16920" y="5853"/>
                <wp:lineTo x="16920" y="10620"/>
                <wp:lineTo x="17100" y="11250"/>
                <wp:lineTo x="17370" y="11340"/>
                <wp:lineTo x="16920" y="11250"/>
                <wp:lineTo x="16920" y="10620"/>
                <wp:lineTo x="16920" y="5853"/>
                <wp:lineTo x="16830" y="6030"/>
                <wp:lineTo x="15300" y="8023"/>
                <wp:lineTo x="15300" y="10440"/>
                <wp:lineTo x="15930" y="10530"/>
                <wp:lineTo x="15390" y="10530"/>
                <wp:lineTo x="15390" y="10800"/>
                <wp:lineTo x="15930" y="10890"/>
                <wp:lineTo x="15390" y="10890"/>
                <wp:lineTo x="15390" y="11250"/>
                <wp:lineTo x="15930" y="11340"/>
                <wp:lineTo x="15300" y="11340"/>
                <wp:lineTo x="15300" y="10440"/>
                <wp:lineTo x="15300" y="8023"/>
                <wp:lineTo x="13860" y="9900"/>
                <wp:lineTo x="11430" y="12150"/>
                <wp:lineTo x="11610" y="12690"/>
                <wp:lineTo x="15480" y="15210"/>
                <wp:lineTo x="20070" y="17370"/>
                <wp:lineTo x="15750" y="15570"/>
                <wp:lineTo x="11160" y="12690"/>
                <wp:lineTo x="10440" y="12960"/>
                <wp:lineTo x="5310" y="16470"/>
                <wp:lineTo x="1980" y="18360"/>
                <wp:lineTo x="2070" y="19350"/>
                <wp:lineTo x="10980" y="19350"/>
                <wp:lineTo x="11160" y="18990"/>
                <wp:lineTo x="11160" y="19350"/>
                <wp:lineTo x="20610" y="19350"/>
                <wp:lineTo x="20700" y="19080"/>
                <wp:lineTo x="21420" y="19530"/>
                <wp:lineTo x="20610" y="19890"/>
                <wp:lineTo x="20610" y="19530"/>
                <wp:lineTo x="20160" y="19530"/>
                <wp:lineTo x="20160" y="20160"/>
                <wp:lineTo x="20610" y="20250"/>
                <wp:lineTo x="20610" y="20520"/>
                <wp:lineTo x="19980" y="20700"/>
                <wp:lineTo x="20070" y="20430"/>
                <wp:lineTo x="20430" y="20340"/>
                <wp:lineTo x="20160" y="20160"/>
                <wp:lineTo x="20160" y="19530"/>
                <wp:lineTo x="19530" y="19530"/>
                <wp:lineTo x="19530" y="19980"/>
                <wp:lineTo x="19890" y="20250"/>
                <wp:lineTo x="19620" y="20250"/>
                <wp:lineTo x="19530" y="20790"/>
                <wp:lineTo x="19530" y="19980"/>
                <wp:lineTo x="19530" y="19530"/>
                <wp:lineTo x="18810" y="19530"/>
                <wp:lineTo x="18810" y="19980"/>
                <wp:lineTo x="19170" y="20250"/>
                <wp:lineTo x="18900" y="20250"/>
                <wp:lineTo x="18810" y="20790"/>
                <wp:lineTo x="18810" y="19980"/>
                <wp:lineTo x="18810" y="19530"/>
                <wp:lineTo x="18180" y="19530"/>
                <wp:lineTo x="18180" y="20160"/>
                <wp:lineTo x="18630" y="20250"/>
                <wp:lineTo x="18540" y="20880"/>
                <wp:lineTo x="18450" y="20250"/>
                <wp:lineTo x="18180" y="20160"/>
                <wp:lineTo x="18180" y="19530"/>
                <wp:lineTo x="17370" y="19530"/>
                <wp:lineTo x="17370" y="20160"/>
                <wp:lineTo x="17820" y="20250"/>
                <wp:lineTo x="17730" y="20790"/>
                <wp:lineTo x="17730" y="20520"/>
                <wp:lineTo x="17280" y="20790"/>
                <wp:lineTo x="17370" y="20430"/>
                <wp:lineTo x="17640" y="20340"/>
                <wp:lineTo x="17370" y="20160"/>
                <wp:lineTo x="17370" y="19530"/>
                <wp:lineTo x="16470" y="19530"/>
                <wp:lineTo x="16470" y="20160"/>
                <wp:lineTo x="16650" y="20790"/>
                <wp:lineTo x="16920" y="20880"/>
                <wp:lineTo x="16470" y="20790"/>
                <wp:lineTo x="16470" y="20160"/>
                <wp:lineTo x="16470" y="19530"/>
                <wp:lineTo x="16200" y="19530"/>
                <wp:lineTo x="16200" y="20340"/>
                <wp:lineTo x="16110" y="20970"/>
                <wp:lineTo x="15570" y="20610"/>
                <wp:lineTo x="16200" y="20610"/>
                <wp:lineTo x="16200" y="20340"/>
                <wp:lineTo x="16200" y="19530"/>
                <wp:lineTo x="11790" y="19530"/>
                <wp:lineTo x="11790" y="19890"/>
                <wp:lineTo x="12060" y="20340"/>
                <wp:lineTo x="11610" y="20340"/>
                <wp:lineTo x="11790" y="19890"/>
                <wp:lineTo x="11790" y="19530"/>
                <wp:lineTo x="11160" y="19530"/>
                <wp:lineTo x="11160" y="20070"/>
                <wp:lineTo x="11430" y="20160"/>
                <wp:lineTo x="11160" y="20970"/>
                <wp:lineTo x="10800" y="20700"/>
                <wp:lineTo x="11250" y="20520"/>
                <wp:lineTo x="11160" y="20070"/>
                <wp:lineTo x="11160" y="19530"/>
                <wp:lineTo x="1800" y="19530"/>
                <wp:lineTo x="1800" y="810"/>
                <wp:lineTo x="1620" y="720"/>
                <wp:lineTo x="1800" y="270"/>
                <wp:lineTo x="4770" y="270"/>
                <wp:lineTo x="4770" y="2430"/>
                <wp:lineTo x="5040" y="2520"/>
                <wp:lineTo x="4590" y="2700"/>
                <wp:lineTo x="4500" y="2970"/>
                <wp:lineTo x="4590" y="2520"/>
                <wp:lineTo x="4770" y="2430"/>
                <wp:lineTo x="4770" y="270"/>
                <wp:lineTo x="7020" y="270"/>
                <wp:lineTo x="7020" y="6300"/>
                <wp:lineTo x="7290" y="6390"/>
                <wp:lineTo x="6840" y="6570"/>
                <wp:lineTo x="6750" y="6840"/>
                <wp:lineTo x="6840" y="6390"/>
                <wp:lineTo x="7020" y="6300"/>
                <wp:lineTo x="7020" y="270"/>
                <wp:lineTo x="16110" y="270"/>
                <wp:lineTo x="16110" y="3870"/>
                <wp:lineTo x="16290" y="4050"/>
                <wp:lineTo x="16290" y="4410"/>
                <wp:lineTo x="16290" y="5130"/>
                <wp:lineTo x="16290" y="5580"/>
                <wp:lineTo x="15750" y="5490"/>
                <wp:lineTo x="16290" y="5400"/>
                <wp:lineTo x="16290" y="5130"/>
                <wp:lineTo x="16290" y="4410"/>
                <wp:lineTo x="15930" y="4500"/>
                <wp:lineTo x="16020" y="4140"/>
                <wp:lineTo x="16110" y="4320"/>
                <wp:lineTo x="16110" y="3870"/>
                <wp:lineTo x="16110" y="270"/>
                <wp:lineTo x="17100" y="270"/>
                <wp:lineTo x="17100" y="3240"/>
                <wp:lineTo x="16830" y="3690"/>
                <wp:lineTo x="16830" y="3510"/>
                <wp:lineTo x="17100" y="3240"/>
                <wp:lineTo x="17100" y="270"/>
                <wp:lineTo x="20520" y="270"/>
                <wp:lineTo x="20520" y="10620"/>
                <wp:lineTo x="20970" y="10710"/>
                <wp:lineTo x="20970" y="10980"/>
                <wp:lineTo x="20340" y="11160"/>
                <wp:lineTo x="20430" y="10890"/>
                <wp:lineTo x="20790" y="10800"/>
                <wp:lineTo x="20520" y="10620"/>
                <wp:lineTo x="20520" y="270"/>
                <wp:lineTo x="270" y="27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tiff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1509" cy="156150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94386A">
        <w:rPr>
          <w:lang w:val="fr-FR"/>
        </w:rPr>
        <w:t xml:space="preserve"> richesses = ralentissement de croissance économique </w:t>
      </w:r>
    </w:p>
    <w:p w:rsidR="00C762E1" w:rsidRDefault="00B525FA">
      <w:pPr>
        <w:pStyle w:val="Body"/>
        <w:numPr>
          <w:ilvl w:val="0"/>
          <w:numId w:val="5"/>
        </w:numPr>
        <w:spacing w:line="288" w:lineRule="auto"/>
        <w:rPr>
          <w:b/>
          <w:bCs/>
        </w:rPr>
      </w:pPr>
      <w:r>
        <w:rPr>
          <w:b/>
          <w:bCs/>
        </w:rPr>
        <w:t xml:space="preserve">Loi d’offre et demande : </w:t>
      </w:r>
    </w:p>
    <w:p w:rsidR="00C762E1" w:rsidRPr="0094386A" w:rsidRDefault="00B525FA">
      <w:pPr>
        <w:pStyle w:val="Body"/>
        <w:numPr>
          <w:ilvl w:val="1"/>
          <w:numId w:val="8"/>
        </w:numPr>
        <w:spacing w:line="288" w:lineRule="auto"/>
        <w:rPr>
          <w:lang w:val="fr-FR"/>
        </w:rPr>
      </w:pPr>
      <w:r w:rsidRPr="0094386A">
        <w:rPr>
          <w:lang w:val="fr-FR"/>
        </w:rPr>
        <w:t>+ prix = + offre (dans intérêt du producteur, + de profit), - demande ; - prix = - offre, + demande</w:t>
      </w:r>
    </w:p>
    <w:p w:rsidR="00C762E1" w:rsidRPr="0094386A" w:rsidRDefault="00B525FA">
      <w:pPr>
        <w:pStyle w:val="Body"/>
        <w:numPr>
          <w:ilvl w:val="1"/>
          <w:numId w:val="8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‘milieu’ optimal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équilibre entre offre et demande (quantité demandée = quantité produite) </w:t>
      </w:r>
    </w:p>
    <w:p w:rsidR="00C762E1" w:rsidRPr="0094386A" w:rsidRDefault="00B525FA">
      <w:pPr>
        <w:pStyle w:val="Body"/>
        <w:numPr>
          <w:ilvl w:val="2"/>
          <w:numId w:val="8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si qté demandée &lt; qté offerte </w:t>
      </w:r>
      <w:r w:rsidRPr="0094386A">
        <w:rPr>
          <w:rFonts w:ascii="Arial Unicode MS" w:hAnsi="Arial Unicode MS"/>
          <w:lang w:val="fr-FR"/>
        </w:rPr>
        <w:t>→</w:t>
      </w:r>
      <w:r w:rsidR="005F0270">
        <w:rPr>
          <w:lang w:val="fr-FR"/>
        </w:rPr>
        <w:t xml:space="preserve"> baisser le pr</w:t>
      </w:r>
      <w:r w:rsidRPr="0094386A">
        <w:rPr>
          <w:lang w:val="fr-FR"/>
        </w:rPr>
        <w:t>ix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Concurrence oblige entreprises à chercher coûts de production les + bas possibles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efficacité économique </w:t>
      </w:r>
    </w:p>
    <w:p w:rsidR="00C762E1" w:rsidRPr="0094386A" w:rsidRDefault="00B525FA">
      <w:pPr>
        <w:pStyle w:val="Body"/>
        <w:numPr>
          <w:ilvl w:val="1"/>
          <w:numId w:val="11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L’équilibre général</w:t>
      </w:r>
      <w:r w:rsidRPr="0094386A">
        <w:rPr>
          <w:lang w:val="fr-FR"/>
        </w:rPr>
        <w:t xml:space="preserve"> : aucun agent</w:t>
      </w:r>
      <w:r w:rsidR="005F0270">
        <w:rPr>
          <w:lang w:val="fr-FR"/>
        </w:rPr>
        <w:t xml:space="preserve"> ne peut améliorer sa situation</w:t>
      </w:r>
      <w:r w:rsidRPr="0094386A">
        <w:rPr>
          <w:lang w:val="fr-FR"/>
        </w:rPr>
        <w:t xml:space="preserve"> sans détériorer la situation d’un autre</w:t>
      </w:r>
    </w:p>
    <w:p w:rsidR="00C762E1" w:rsidRPr="0094386A" w:rsidRDefault="00B525FA">
      <w:pPr>
        <w:pStyle w:val="Body"/>
        <w:numPr>
          <w:ilvl w:val="2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Atomicité du marché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</w:t>
      </w:r>
      <w:r w:rsidR="005F0270" w:rsidRPr="0094386A">
        <w:rPr>
          <w:lang w:val="fr-FR"/>
        </w:rPr>
        <w:t>personne ne peut</w:t>
      </w:r>
      <w:r w:rsidRPr="0094386A">
        <w:rPr>
          <w:lang w:val="fr-FR"/>
        </w:rPr>
        <w:t xml:space="preserve"> poser prix </w:t>
      </w:r>
    </w:p>
    <w:p w:rsidR="00C762E1" w:rsidRPr="0094386A" w:rsidRDefault="00B525FA">
      <w:pPr>
        <w:pStyle w:val="Body"/>
        <w:numPr>
          <w:ilvl w:val="2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Homogénéité des produits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comparaison porte que sur prix</w:t>
      </w:r>
    </w:p>
    <w:p w:rsidR="00C762E1" w:rsidRPr="0094386A" w:rsidRDefault="00B525FA">
      <w:pPr>
        <w:pStyle w:val="Body"/>
        <w:numPr>
          <w:ilvl w:val="2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lastRenderedPageBreak/>
        <w:t xml:space="preserve">Fluidité des marchés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entrée + sortie libre des marchés si mod. des comportements, nouveau produits, progrès technique</w:t>
      </w:r>
    </w:p>
    <w:p w:rsidR="00C762E1" w:rsidRPr="0094386A" w:rsidRDefault="00B525FA">
      <w:pPr>
        <w:pStyle w:val="Body"/>
        <w:numPr>
          <w:ilvl w:val="2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Transparence du marché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information connue par tous</w:t>
      </w:r>
    </w:p>
    <w:p w:rsidR="00C762E1" w:rsidRPr="0094386A" w:rsidRDefault="00B525FA">
      <w:pPr>
        <w:pStyle w:val="Body"/>
        <w:numPr>
          <w:ilvl w:val="1"/>
          <w:numId w:val="12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Défaillances de marché</w:t>
      </w:r>
      <w:r w:rsidRPr="0094386A">
        <w:rPr>
          <w:lang w:val="fr-FR"/>
        </w:rPr>
        <w:t xml:space="preserve"> : marché ne parvient à allouer ressources de manière efficace </w:t>
      </w:r>
    </w:p>
    <w:p w:rsidR="00C762E1" w:rsidRPr="0094386A" w:rsidRDefault="00B525FA">
      <w:pPr>
        <w:pStyle w:val="Body"/>
        <w:numPr>
          <w:ilvl w:val="3"/>
          <w:numId w:val="9"/>
        </w:numPr>
        <w:spacing w:line="288" w:lineRule="auto"/>
        <w:rPr>
          <w:lang w:val="fr-FR"/>
        </w:rPr>
      </w:pPr>
      <w:r w:rsidRPr="0094386A">
        <w:rPr>
          <w:i/>
          <w:iCs/>
          <w:lang w:val="fr-FR"/>
        </w:rPr>
        <w:t>Pouvoir du marché</w:t>
      </w:r>
      <w:r w:rsidRPr="0094386A">
        <w:rPr>
          <w:lang w:val="fr-FR"/>
        </w:rPr>
        <w:t xml:space="preserve"> : capacité d’agent économique à influencer ++ prix du marché (ex., consommateurs sont salariers; + de demande, + de prod., - de chômeurs)</w:t>
      </w:r>
    </w:p>
    <w:p w:rsidR="00C762E1" w:rsidRPr="0094386A" w:rsidRDefault="00B525FA">
      <w:pPr>
        <w:pStyle w:val="Body"/>
        <w:numPr>
          <w:ilvl w:val="3"/>
          <w:numId w:val="9"/>
        </w:numPr>
        <w:spacing w:line="288" w:lineRule="auto"/>
        <w:rPr>
          <w:lang w:val="fr-FR"/>
        </w:rPr>
      </w:pPr>
      <w:r w:rsidRPr="0094386A">
        <w:rPr>
          <w:i/>
          <w:iCs/>
          <w:lang w:val="fr-FR"/>
        </w:rPr>
        <w:t>Externalité</w:t>
      </w:r>
      <w:r w:rsidRPr="0094386A">
        <w:rPr>
          <w:lang w:val="fr-FR"/>
        </w:rPr>
        <w:t xml:space="preserve"> : effet du comportement d’un agent sur bien-être d’un tiers </w:t>
      </w:r>
    </w:p>
    <w:p w:rsidR="00C762E1" w:rsidRPr="0094386A" w:rsidRDefault="00B525FA">
      <w:pPr>
        <w:pStyle w:val="Body"/>
        <w:numPr>
          <w:ilvl w:val="4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>négative : pollution ; positive = diffusion de connaissance</w:t>
      </w:r>
    </w:p>
    <w:p w:rsidR="001651F9" w:rsidRPr="0094386A" w:rsidRDefault="001651F9" w:rsidP="001651F9">
      <w:pPr>
        <w:pStyle w:val="Body"/>
        <w:spacing w:line="288" w:lineRule="auto"/>
        <w:ind w:left="1003"/>
        <w:rPr>
          <w:lang w:val="fr-FR"/>
        </w:rPr>
      </w:pPr>
      <w:bookmarkStart w:id="0" w:name="_GoBack"/>
      <w:bookmarkEnd w:id="0"/>
    </w:p>
    <w:p w:rsidR="00C762E1" w:rsidRPr="0094386A" w:rsidRDefault="00B525FA">
      <w:pPr>
        <w:pStyle w:val="Titre2"/>
        <w:spacing w:line="288" w:lineRule="auto"/>
        <w:rPr>
          <w:rFonts w:ascii="Helvetica Light" w:eastAsia="Helvetica Light" w:hAnsi="Helvetica Light" w:cs="Helvetica Light"/>
          <w:b w:val="0"/>
          <w:bCs w:val="0"/>
          <w:sz w:val="28"/>
          <w:szCs w:val="28"/>
          <w:lang w:val="fr-FR"/>
        </w:rPr>
      </w:pPr>
      <w:r w:rsidRPr="0094386A">
        <w:rPr>
          <w:rFonts w:ascii="Helvetica Light" w:hAnsi="Helvetica Light"/>
          <w:b w:val="0"/>
          <w:bCs w:val="0"/>
          <w:sz w:val="28"/>
          <w:szCs w:val="28"/>
          <w:lang w:val="fr-FR"/>
        </w:rPr>
        <w:t>Manière dont fonctionne économie</w:t>
      </w:r>
      <w:r>
        <w:rPr>
          <w:rFonts w:ascii="Helvetica Light" w:eastAsia="Helvetica Light" w:hAnsi="Helvetica Light" w:cs="Helvetica Light"/>
          <w:b w:val="0"/>
          <w:bCs w:val="0"/>
          <w:noProof/>
          <w:sz w:val="28"/>
          <w:szCs w:val="28"/>
          <w:lang w:val="fr-FR" w:eastAsia="fr-FR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3267308</wp:posOffset>
            </wp:positionH>
            <wp:positionV relativeFrom="page">
              <wp:posOffset>696738</wp:posOffset>
            </wp:positionV>
            <wp:extent cx="3491058" cy="201790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pdf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1058" cy="201790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94386A">
        <w:rPr>
          <w:rFonts w:ascii="Helvetica Light" w:hAnsi="Helvetica Light"/>
          <w:b w:val="0"/>
          <w:bCs w:val="0"/>
          <w:sz w:val="28"/>
          <w:szCs w:val="28"/>
          <w:lang w:val="fr-FR"/>
        </w:rPr>
        <w:t xml:space="preserve"> d’un pays </w:t>
      </w:r>
    </w:p>
    <w:p w:rsidR="00C762E1" w:rsidRPr="0094386A" w:rsidRDefault="00B525FA">
      <w:pPr>
        <w:pStyle w:val="Body"/>
        <w:numPr>
          <w:ilvl w:val="0"/>
          <w:numId w:val="13"/>
        </w:numPr>
        <w:spacing w:line="288" w:lineRule="auto"/>
        <w:rPr>
          <w:b/>
          <w:bCs/>
          <w:lang w:val="fr-FR"/>
        </w:rPr>
      </w:pPr>
      <w:r w:rsidRPr="0094386A">
        <w:rPr>
          <w:b/>
          <w:bCs/>
          <w:lang w:val="fr-FR"/>
        </w:rPr>
        <w:t>Circuit économique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marché de biens et services</w:t>
      </w:r>
    </w:p>
    <w:p w:rsidR="00C762E1" w:rsidRDefault="00B525FA">
      <w:pPr>
        <w:pStyle w:val="Body"/>
        <w:numPr>
          <w:ilvl w:val="0"/>
          <w:numId w:val="5"/>
        </w:numPr>
        <w:spacing w:line="288" w:lineRule="auto"/>
        <w:rPr>
          <w:b/>
          <w:bCs/>
        </w:rPr>
      </w:pPr>
      <w:r>
        <w:rPr>
          <w:b/>
          <w:bCs/>
        </w:rPr>
        <w:t>Acteurs de l’économie</w:t>
      </w:r>
    </w:p>
    <w:p w:rsidR="00C762E1" w:rsidRDefault="00B525FA">
      <w:pPr>
        <w:pStyle w:val="Body"/>
        <w:numPr>
          <w:ilvl w:val="1"/>
          <w:numId w:val="9"/>
        </w:numPr>
        <w:spacing w:line="288" w:lineRule="auto"/>
      </w:pPr>
      <w:r>
        <w:t>Producteurs : entreprises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>Consommateurs : ménages (pers./g. occupant même logement, domicile hab.)</w:t>
      </w:r>
    </w:p>
    <w:p w:rsidR="00C762E1" w:rsidRDefault="00B525FA">
      <w:pPr>
        <w:pStyle w:val="Body"/>
        <w:numPr>
          <w:ilvl w:val="1"/>
          <w:numId w:val="9"/>
        </w:numPr>
        <w:spacing w:line="288" w:lineRule="auto"/>
      </w:pPr>
      <w:r>
        <w:t>État : gouvernements</w:t>
      </w:r>
    </w:p>
    <w:p w:rsidR="00C762E1" w:rsidRDefault="00B525FA">
      <w:pPr>
        <w:pStyle w:val="Body"/>
        <w:numPr>
          <w:ilvl w:val="1"/>
          <w:numId w:val="9"/>
        </w:numPr>
        <w:spacing w:line="288" w:lineRule="auto"/>
      </w:pPr>
      <w:r>
        <w:t>Intermédiaires financiers : institutions financ.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>(Dans économie ouverte) : reste du monde</w:t>
      </w:r>
    </w:p>
    <w:p w:rsidR="00C762E1" w:rsidRDefault="00B525FA">
      <w:pPr>
        <w:pStyle w:val="Body"/>
        <w:numPr>
          <w:ilvl w:val="1"/>
          <w:numId w:val="9"/>
        </w:numPr>
        <w:spacing w:line="288" w:lineRule="auto"/>
      </w:pPr>
      <w:r>
        <w:t xml:space="preserve">Producteurs </w:t>
      </w:r>
    </w:p>
    <w:p w:rsidR="00C762E1" w:rsidRPr="0094386A" w:rsidRDefault="00B525FA">
      <w:pPr>
        <w:pStyle w:val="Body"/>
        <w:numPr>
          <w:ilvl w:val="0"/>
          <w:numId w:val="5"/>
        </w:numPr>
        <w:spacing w:line="288" w:lineRule="auto"/>
        <w:rPr>
          <w:b/>
          <w:bCs/>
          <w:lang w:val="fr-FR"/>
        </w:rPr>
      </w:pPr>
      <w:r w:rsidRPr="0094386A">
        <w:rPr>
          <w:b/>
          <w:bCs/>
          <w:lang w:val="fr-FR"/>
        </w:rPr>
        <w:t>Que produire</w:t>
      </w:r>
      <w:r w:rsidRPr="0094386A">
        <w:rPr>
          <w:lang w:val="fr-FR"/>
        </w:rPr>
        <w:t xml:space="preserve"> : choix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 investissement ou consommation 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i/>
          <w:iCs/>
          <w:lang w:val="fr-FR"/>
        </w:rPr>
        <w:t xml:space="preserve">Détour de production </w:t>
      </w:r>
      <w:r w:rsidRPr="0094386A">
        <w:rPr>
          <w:lang w:val="fr-FR"/>
        </w:rPr>
        <w:t>: améliore efficacité future au détriment de consommation immédiate</w:t>
      </w:r>
    </w:p>
    <w:p w:rsidR="00C762E1" w:rsidRDefault="00B525FA">
      <w:pPr>
        <w:pStyle w:val="Body"/>
        <w:numPr>
          <w:ilvl w:val="0"/>
          <w:numId w:val="5"/>
        </w:numPr>
        <w:spacing w:line="288" w:lineRule="auto"/>
        <w:rPr>
          <w:b/>
          <w:bCs/>
        </w:rPr>
      </w:pPr>
      <w:r>
        <w:rPr>
          <w:b/>
          <w:bCs/>
        </w:rPr>
        <w:t>Production et répartition des revenus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>Économie de marché : producteurs sont principalement entreprises privées; activités de production + distribution de revenus primaires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>Profits rémunèrent apporteurs de capitaux, salaires rénumèrent apporteurs de travail</w:t>
      </w:r>
    </w:p>
    <w:p w:rsidR="00C762E1" w:rsidRPr="0094386A" w:rsidRDefault="00B525FA">
      <w:pPr>
        <w:pStyle w:val="Body"/>
        <w:numPr>
          <w:ilvl w:val="0"/>
          <w:numId w:val="5"/>
        </w:numPr>
        <w:spacing w:line="288" w:lineRule="auto"/>
        <w:rPr>
          <w:b/>
          <w:bCs/>
          <w:lang w:val="fr-FR"/>
        </w:rPr>
      </w:pPr>
      <w:r w:rsidRPr="0094386A">
        <w:rPr>
          <w:b/>
          <w:bCs/>
          <w:lang w:val="fr-FR"/>
        </w:rPr>
        <w:t xml:space="preserve">Intermédiaires financiers : </w:t>
      </w:r>
      <w:r w:rsidRPr="0094386A">
        <w:rPr>
          <w:lang w:val="fr-FR"/>
        </w:rPr>
        <w:t xml:space="preserve">gèrent depots des agents économiques et facilitent rencontre épargnants/investisseurs </w:t>
      </w:r>
    </w:p>
    <w:p w:rsidR="00C762E1" w:rsidRDefault="00B525FA">
      <w:pPr>
        <w:pStyle w:val="Body"/>
        <w:numPr>
          <w:ilvl w:val="0"/>
          <w:numId w:val="5"/>
        </w:numPr>
        <w:spacing w:line="288" w:lineRule="auto"/>
        <w:rPr>
          <w:b/>
          <w:bCs/>
        </w:rPr>
      </w:pPr>
      <w:r>
        <w:rPr>
          <w:b/>
          <w:bCs/>
        </w:rPr>
        <w:t>Distinction épargne et consommation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>Propension à consommer : part de revenu consommé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>+ revenu = + consommation mais moindre (+ richesse = + épargne que consomme)</w:t>
      </w:r>
    </w:p>
    <w:p w:rsidR="00C762E1" w:rsidRDefault="00B525FA">
      <w:pPr>
        <w:pStyle w:val="Body"/>
        <w:numPr>
          <w:ilvl w:val="0"/>
          <w:numId w:val="5"/>
        </w:numPr>
        <w:spacing w:line="288" w:lineRule="auto"/>
        <w:rPr>
          <w:b/>
          <w:bCs/>
        </w:rPr>
      </w:pPr>
      <w:r>
        <w:rPr>
          <w:b/>
          <w:bCs/>
        </w:rPr>
        <w:lastRenderedPageBreak/>
        <w:t>Du revenu à l’épargne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Revenu primaire (somme avants impôts, de production) et prélèvements obligatoires (impôts, retraite, etc.) 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u w:val="single"/>
          <w:lang w:val="fr-FR"/>
        </w:rPr>
      </w:pPr>
      <w:r w:rsidRPr="0094386A">
        <w:rPr>
          <w:u w:val="single"/>
          <w:lang w:val="fr-FR"/>
        </w:rPr>
        <w:t>Revenu primaire - prélèvements obligatoires + transferts (</w:t>
      </w:r>
      <w:r w:rsidRPr="0094386A">
        <w:rPr>
          <w:rFonts w:ascii="Arial Unicode MS" w:hAnsi="Arial Unicode MS"/>
          <w:u w:val="single"/>
          <w:lang w:val="fr-FR"/>
        </w:rPr>
        <w:t>→</w:t>
      </w:r>
      <w:r w:rsidRPr="0094386A">
        <w:rPr>
          <w:u w:val="single"/>
          <w:lang w:val="fr-FR"/>
        </w:rPr>
        <w:t xml:space="preserve">ménages) = revenu disponible - consommation = épargne </w:t>
      </w:r>
    </w:p>
    <w:p w:rsidR="00C762E1" w:rsidRPr="0094386A" w:rsidRDefault="00C762E1">
      <w:pPr>
        <w:pStyle w:val="Body"/>
        <w:spacing w:line="288" w:lineRule="auto"/>
        <w:rPr>
          <w:lang w:val="fr-FR"/>
        </w:rPr>
      </w:pPr>
    </w:p>
    <w:p w:rsidR="00C762E1" w:rsidRPr="0094386A" w:rsidRDefault="00B525FA">
      <w:pPr>
        <w:pStyle w:val="Titre2"/>
        <w:spacing w:line="288" w:lineRule="auto"/>
        <w:rPr>
          <w:rFonts w:ascii="Helvetica Light" w:eastAsia="Helvetica Light" w:hAnsi="Helvetica Light" w:cs="Helvetica Light"/>
          <w:b w:val="0"/>
          <w:bCs w:val="0"/>
          <w:sz w:val="28"/>
          <w:szCs w:val="28"/>
          <w:lang w:val="fr-FR"/>
        </w:rPr>
      </w:pPr>
      <w:r w:rsidRPr="0094386A">
        <w:rPr>
          <w:rFonts w:ascii="Helvetica Light" w:hAnsi="Helvetica Light"/>
          <w:b w:val="0"/>
          <w:bCs w:val="0"/>
          <w:sz w:val="28"/>
          <w:szCs w:val="28"/>
          <w:lang w:val="fr-FR"/>
        </w:rPr>
        <w:t>Rôle du gouvernement et autorités monétaires</w:t>
      </w:r>
    </w:p>
    <w:p w:rsidR="00C762E1" w:rsidRPr="0094386A" w:rsidRDefault="00B525FA">
      <w:pPr>
        <w:pStyle w:val="Body"/>
        <w:numPr>
          <w:ilvl w:val="0"/>
          <w:numId w:val="14"/>
        </w:numPr>
        <w:spacing w:line="288" w:lineRule="auto"/>
        <w:rPr>
          <w:lang w:val="fr-FR"/>
        </w:rPr>
      </w:pPr>
      <w:r w:rsidRPr="0094386A">
        <w:rPr>
          <w:b/>
          <w:bCs/>
          <w:lang w:val="fr-FR"/>
        </w:rPr>
        <w:t>Gouvernement</w:t>
      </w:r>
      <w:r w:rsidRPr="0094386A">
        <w:rPr>
          <w:lang w:val="fr-FR"/>
        </w:rPr>
        <w:t xml:space="preserve"> : définition et application des règles du jeu économique (propriété), faire face aux défaillances du marché, dépenses du gouvernement, redistribution des revenus (équité vs. incitation; si pas ++ travail, ralentit activité économique)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Agir sur conjoncture économique : fonctionne pas à pleine capacités </w:t>
      </w:r>
    </w:p>
    <w:p w:rsidR="00C762E1" w:rsidRPr="0094386A" w:rsidRDefault="00B525FA">
      <w:pPr>
        <w:pStyle w:val="Body"/>
        <w:numPr>
          <w:ilvl w:val="0"/>
          <w:numId w:val="5"/>
        </w:numPr>
        <w:spacing w:line="288" w:lineRule="auto"/>
        <w:rPr>
          <w:lang w:val="fr-FR"/>
        </w:rPr>
      </w:pPr>
      <w:r w:rsidRPr="0094386A">
        <w:rPr>
          <w:b/>
          <w:bCs/>
          <w:lang w:val="fr-FR"/>
        </w:rPr>
        <w:t>Autorités monétaires</w:t>
      </w:r>
      <w:r w:rsidRPr="0094386A">
        <w:rPr>
          <w:lang w:val="fr-FR"/>
        </w:rPr>
        <w:t xml:space="preserve"> : banque centrale contrôle quantité de monnaie en circulation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pas assez = blocage, trop = inflation et + prix (trop de demande pour l’offre) 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si ne peuvent anticiper taux d’inflation futurs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perte de confiance, crise économique (Canada = 2%)</w:t>
      </w:r>
    </w:p>
    <w:p w:rsidR="00C762E1" w:rsidRPr="0094386A" w:rsidRDefault="00B525FA">
      <w:pPr>
        <w:pStyle w:val="Body"/>
        <w:numPr>
          <w:ilvl w:val="1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>Prix (P) x Quantité (Q) = Masse monétaire (M) V</w:t>
      </w:r>
    </w:p>
    <w:p w:rsidR="00C762E1" w:rsidRPr="0094386A" w:rsidRDefault="00B525FA">
      <w:pPr>
        <w:pStyle w:val="Body"/>
        <w:numPr>
          <w:ilvl w:val="2"/>
          <w:numId w:val="9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+ accès au crédit = + masse monétaire = + consommation totale = + de prix </w:t>
      </w:r>
    </w:p>
    <w:p w:rsidR="00C762E1" w:rsidRDefault="00B525FA">
      <w:pPr>
        <w:pStyle w:val="Titre2"/>
        <w:spacing w:line="288" w:lineRule="auto"/>
        <w:rPr>
          <w:rFonts w:ascii="Helvetica Light" w:eastAsia="Helvetica Light" w:hAnsi="Helvetica Light" w:cs="Helvetica Light"/>
          <w:b w:val="0"/>
          <w:bCs w:val="0"/>
          <w:sz w:val="28"/>
          <w:szCs w:val="28"/>
        </w:rPr>
      </w:pPr>
      <w:r>
        <w:rPr>
          <w:rFonts w:ascii="Helvetica Light" w:hAnsi="Helvetica Light"/>
          <w:b w:val="0"/>
          <w:bCs w:val="0"/>
          <w:sz w:val="28"/>
          <w:szCs w:val="28"/>
        </w:rPr>
        <w:t>Politiques monétaires</w:t>
      </w:r>
    </w:p>
    <w:p w:rsidR="00C762E1" w:rsidRPr="0094386A" w:rsidRDefault="00B525FA">
      <w:pPr>
        <w:pStyle w:val="Body"/>
        <w:numPr>
          <w:ilvl w:val="0"/>
          <w:numId w:val="15"/>
        </w:numPr>
        <w:spacing w:line="288" w:lineRule="auto"/>
        <w:rPr>
          <w:lang w:val="fr-FR"/>
        </w:rPr>
      </w:pPr>
      <w:r w:rsidRPr="0094386A">
        <w:rPr>
          <w:b/>
          <w:bCs/>
          <w:lang w:val="fr-FR"/>
        </w:rPr>
        <w:t>Selon monétaristes</w:t>
      </w:r>
      <w:r w:rsidRPr="0094386A">
        <w:rPr>
          <w:lang w:val="fr-FR"/>
        </w:rPr>
        <w:t xml:space="preserve"> : monnaie a pas d’effet sur économie réelle lT, inflation provient de création monétaire</w:t>
      </w:r>
    </w:p>
    <w:p w:rsidR="00C762E1" w:rsidRDefault="00B525FA">
      <w:pPr>
        <w:pStyle w:val="Body"/>
        <w:numPr>
          <w:ilvl w:val="1"/>
          <w:numId w:val="16"/>
        </w:numPr>
        <w:spacing w:line="288" w:lineRule="auto"/>
      </w:pPr>
      <w:r>
        <w:t xml:space="preserve">P x Q = M x V,   Δ </w:t>
      </w:r>
      <w:r>
        <w:rPr>
          <w:rFonts w:ascii="Arial Unicode MS" w:hAnsi="Arial Unicode MS"/>
        </w:rPr>
        <w:t>↑</w:t>
      </w:r>
      <w:r>
        <w:t xml:space="preserve"> M = Δ </w:t>
      </w:r>
      <w:r>
        <w:rPr>
          <w:rFonts w:ascii="Arial Unicode MS" w:hAnsi="Arial Unicode MS"/>
        </w:rPr>
        <w:t>↑</w:t>
      </w:r>
      <w:r>
        <w:t xml:space="preserve"> P</w:t>
      </w:r>
    </w:p>
    <w:p w:rsidR="00C762E1" w:rsidRPr="0094386A" w:rsidRDefault="00B525FA">
      <w:pPr>
        <w:pStyle w:val="Body"/>
        <w:numPr>
          <w:ilvl w:val="0"/>
          <w:numId w:val="5"/>
        </w:numPr>
        <w:spacing w:line="288" w:lineRule="auto"/>
        <w:rPr>
          <w:lang w:val="fr-FR"/>
        </w:rPr>
      </w:pPr>
      <w:r w:rsidRPr="0094386A">
        <w:rPr>
          <w:b/>
          <w:bCs/>
          <w:lang w:val="fr-FR"/>
        </w:rPr>
        <w:t xml:space="preserve">Selon keynésiens </w:t>
      </w:r>
      <w:r w:rsidRPr="0094386A">
        <w:rPr>
          <w:lang w:val="fr-FR"/>
        </w:rPr>
        <w:t>: création monétaire affecte économie réelle, baisse des taux d’intérêt encourage activité économique</w:t>
      </w:r>
    </w:p>
    <w:p w:rsidR="00C762E1" w:rsidRDefault="00B525FA">
      <w:pPr>
        <w:pStyle w:val="Body"/>
        <w:numPr>
          <w:ilvl w:val="1"/>
          <w:numId w:val="16"/>
        </w:numPr>
        <w:spacing w:line="288" w:lineRule="auto"/>
      </w:pPr>
      <w:r>
        <w:t xml:space="preserve">P x Q = M x V,   Δ </w:t>
      </w:r>
      <w:r>
        <w:rPr>
          <w:rFonts w:ascii="Arial Unicode MS" w:hAnsi="Arial Unicode MS"/>
        </w:rPr>
        <w:t>↑</w:t>
      </w:r>
      <w:r>
        <w:t xml:space="preserve"> M = Δ </w:t>
      </w:r>
      <w:r>
        <w:rPr>
          <w:rFonts w:ascii="Arial Unicode MS" w:hAnsi="Arial Unicode MS"/>
        </w:rPr>
        <w:t>↑</w:t>
      </w:r>
      <w:r>
        <w:t xml:space="preserve"> P</w:t>
      </w:r>
    </w:p>
    <w:p w:rsidR="00C762E1" w:rsidRDefault="00C762E1">
      <w:pPr>
        <w:pStyle w:val="Body"/>
        <w:spacing w:line="288" w:lineRule="auto"/>
      </w:pPr>
    </w:p>
    <w:p w:rsidR="00C762E1" w:rsidRPr="0094386A" w:rsidRDefault="00B525FA">
      <w:pPr>
        <w:pStyle w:val="Titre2"/>
        <w:spacing w:line="288" w:lineRule="auto"/>
        <w:rPr>
          <w:lang w:val="fr-FR"/>
        </w:rPr>
      </w:pPr>
      <w:r w:rsidRPr="0094386A">
        <w:rPr>
          <w:lang w:val="fr-FR"/>
        </w:rPr>
        <w:t>2. L’ouverture des frontières : enjeux et nouveaux acteurs</w:t>
      </w:r>
    </w:p>
    <w:p w:rsidR="00C762E1" w:rsidRDefault="00B525FA">
      <w:pPr>
        <w:pStyle w:val="Titre2"/>
        <w:spacing w:line="288" w:lineRule="auto"/>
        <w:rPr>
          <w:rFonts w:ascii="Helvetica Light" w:eastAsia="Helvetica Light" w:hAnsi="Helvetica Light" w:cs="Helvetica Light"/>
          <w:b w:val="0"/>
          <w:bCs w:val="0"/>
          <w:sz w:val="28"/>
          <w:szCs w:val="28"/>
        </w:rPr>
      </w:pPr>
      <w:r>
        <w:rPr>
          <w:rFonts w:ascii="Helvetica Light" w:hAnsi="Helvetica Light"/>
          <w:b w:val="0"/>
          <w:bCs w:val="0"/>
          <w:sz w:val="28"/>
          <w:szCs w:val="28"/>
        </w:rPr>
        <w:t xml:space="preserve">Introduction: les circulations aux frontières </w:t>
      </w:r>
    </w:p>
    <w:p w:rsidR="00C762E1" w:rsidRPr="0094386A" w:rsidRDefault="00B525FA">
      <w:pPr>
        <w:pStyle w:val="Body"/>
        <w:numPr>
          <w:ilvl w:val="0"/>
          <w:numId w:val="17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1er flux</w:t>
      </w:r>
      <w:r w:rsidRPr="0094386A">
        <w:rPr>
          <w:lang w:val="fr-FR"/>
        </w:rPr>
        <w:t xml:space="preserve"> : les biens et services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importations et exportations </w:t>
      </w:r>
    </w:p>
    <w:p w:rsidR="00C762E1" w:rsidRPr="0094386A" w:rsidRDefault="00B525FA">
      <w:pPr>
        <w:pStyle w:val="Body"/>
        <w:numPr>
          <w:ilvl w:val="0"/>
          <w:numId w:val="17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2ème flux</w:t>
      </w:r>
      <w:r w:rsidRPr="0094386A">
        <w:rPr>
          <w:lang w:val="fr-FR"/>
        </w:rPr>
        <w:t xml:space="preserve"> : les personnes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les flux migratoires (~difficile à gérer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réfugiés syriens)</w:t>
      </w:r>
    </w:p>
    <w:p w:rsidR="00C762E1" w:rsidRPr="0094386A" w:rsidRDefault="00B525FA">
      <w:pPr>
        <w:pStyle w:val="Body"/>
        <w:numPr>
          <w:ilvl w:val="0"/>
          <w:numId w:val="18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3ème flux</w:t>
      </w:r>
      <w:r w:rsidRPr="0094386A">
        <w:rPr>
          <w:lang w:val="fr-FR"/>
        </w:rPr>
        <w:t xml:space="preserve"> : les flux de capitaux </w:t>
      </w:r>
    </w:p>
    <w:p w:rsidR="00C762E1" w:rsidRDefault="00B525FA">
      <w:pPr>
        <w:pStyle w:val="Body"/>
        <w:numPr>
          <w:ilvl w:val="0"/>
          <w:numId w:val="18"/>
        </w:numPr>
        <w:spacing w:line="288" w:lineRule="auto"/>
      </w:pPr>
      <w:r>
        <w:rPr>
          <w:u w:val="single"/>
        </w:rPr>
        <w:t>4ème flux</w:t>
      </w:r>
      <w:r>
        <w:t xml:space="preserve"> : les flux monétaires</w:t>
      </w:r>
    </w:p>
    <w:p w:rsidR="00C762E1" w:rsidRDefault="00C762E1">
      <w:pPr>
        <w:pStyle w:val="Body"/>
        <w:spacing w:line="288" w:lineRule="auto"/>
      </w:pPr>
    </w:p>
    <w:p w:rsidR="00C762E1" w:rsidRDefault="00B525FA">
      <w:pPr>
        <w:pStyle w:val="Titre2"/>
        <w:spacing w:line="288" w:lineRule="auto"/>
        <w:rPr>
          <w:rFonts w:ascii="Helvetica Light" w:eastAsia="Helvetica Light" w:hAnsi="Helvetica Light" w:cs="Helvetica Light"/>
          <w:b w:val="0"/>
          <w:bCs w:val="0"/>
          <w:sz w:val="28"/>
          <w:szCs w:val="28"/>
        </w:rPr>
      </w:pPr>
      <w:r>
        <w:rPr>
          <w:rFonts w:ascii="Helvetica Light" w:hAnsi="Helvetica Light"/>
          <w:b w:val="0"/>
          <w:bCs w:val="0"/>
          <w:sz w:val="28"/>
          <w:szCs w:val="28"/>
        </w:rPr>
        <w:t>L’ouverture des frontières</w:t>
      </w:r>
    </w:p>
    <w:p w:rsidR="00C762E1" w:rsidRPr="0094386A" w:rsidRDefault="00B525FA">
      <w:pPr>
        <w:pStyle w:val="Body"/>
        <w:numPr>
          <w:ilvl w:val="0"/>
          <w:numId w:val="17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Économies nationales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multiplication des échanges internationaux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intégration économique mondiale : libre-échange, mobilité totale des capitaux, mobilité des individus</w:t>
      </w:r>
    </w:p>
    <w:p w:rsidR="00C762E1" w:rsidRPr="0094386A" w:rsidRDefault="00B525FA">
      <w:pPr>
        <w:pStyle w:val="Body"/>
        <w:numPr>
          <w:ilvl w:val="0"/>
          <w:numId w:val="17"/>
        </w:numPr>
        <w:spacing w:line="288" w:lineRule="auto"/>
        <w:rPr>
          <w:u w:val="single"/>
          <w:lang w:val="fr-FR"/>
        </w:rPr>
      </w:pPr>
      <w:r w:rsidRPr="0094386A">
        <w:rPr>
          <w:u w:val="single"/>
          <w:lang w:val="fr-FR"/>
        </w:rPr>
        <w:t>Régulations nationales</w:t>
      </w:r>
      <w:r w:rsidRPr="0094386A">
        <w:rPr>
          <w:lang w:val="fr-FR"/>
        </w:rPr>
        <w:t xml:space="preserve"> : gouvernements, accords entre pays (diminué)</w:t>
      </w:r>
    </w:p>
    <w:p w:rsidR="00C762E1" w:rsidRPr="0094386A" w:rsidRDefault="00B525FA">
      <w:pPr>
        <w:pStyle w:val="Body"/>
        <w:numPr>
          <w:ilvl w:val="0"/>
          <w:numId w:val="17"/>
        </w:numPr>
        <w:spacing w:line="288" w:lineRule="auto"/>
        <w:rPr>
          <w:u w:val="single"/>
          <w:lang w:val="fr-FR"/>
        </w:rPr>
      </w:pPr>
      <w:r w:rsidRPr="0094386A">
        <w:rPr>
          <w:u w:val="single"/>
          <w:lang w:val="fr-FR"/>
        </w:rPr>
        <w:t>Régulation par le marché</w:t>
      </w:r>
      <w:r w:rsidRPr="0094386A">
        <w:rPr>
          <w:lang w:val="fr-FR"/>
        </w:rPr>
        <w:t xml:space="preserve"> : FTN, investisseurs inst., régulateurs de marchés (agences /not.)</w:t>
      </w:r>
    </w:p>
    <w:p w:rsidR="00C762E1" w:rsidRPr="0094386A" w:rsidRDefault="00B525FA">
      <w:pPr>
        <w:pStyle w:val="Body"/>
        <w:numPr>
          <w:ilvl w:val="0"/>
          <w:numId w:val="17"/>
        </w:numPr>
        <w:spacing w:line="288" w:lineRule="auto"/>
        <w:rPr>
          <w:u w:val="single"/>
          <w:lang w:val="fr-FR"/>
        </w:rPr>
      </w:pPr>
      <w:r w:rsidRPr="0094386A">
        <w:rPr>
          <w:u w:val="single"/>
          <w:lang w:val="fr-FR"/>
        </w:rPr>
        <w:t>Régulation globale</w:t>
      </w:r>
      <w:r w:rsidRPr="0094386A">
        <w:rPr>
          <w:lang w:val="fr-FR"/>
        </w:rPr>
        <w:t xml:space="preserve"> : organismes internationaux, gouvernements (interventionnisme)</w:t>
      </w:r>
    </w:p>
    <w:p w:rsidR="00C762E1" w:rsidRPr="0094386A" w:rsidRDefault="00B525FA">
      <w:pPr>
        <w:pStyle w:val="Body"/>
        <w:numPr>
          <w:ilvl w:val="0"/>
          <w:numId w:val="17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ONG</w:t>
      </w:r>
      <w:r w:rsidRPr="0094386A">
        <w:rPr>
          <w:lang w:val="fr-FR"/>
        </w:rPr>
        <w:t xml:space="preserve"> : groupes de pression à conférences internationales </w:t>
      </w:r>
    </w:p>
    <w:p w:rsidR="00C762E1" w:rsidRDefault="00B525FA">
      <w:pPr>
        <w:pStyle w:val="Titre2"/>
        <w:spacing w:line="288" w:lineRule="auto"/>
        <w:rPr>
          <w:rFonts w:ascii="Helvetica Light" w:eastAsia="Helvetica Light" w:hAnsi="Helvetica Light" w:cs="Helvetica Light"/>
          <w:b w:val="0"/>
          <w:bCs w:val="0"/>
          <w:sz w:val="28"/>
          <w:szCs w:val="28"/>
        </w:rPr>
      </w:pPr>
      <w:r>
        <w:rPr>
          <w:rFonts w:ascii="Helvetica Light" w:hAnsi="Helvetica Light"/>
          <w:b w:val="0"/>
          <w:bCs w:val="0"/>
          <w:sz w:val="28"/>
          <w:szCs w:val="28"/>
        </w:rPr>
        <w:t xml:space="preserve">Acteurs sur marchés internationaux </w:t>
      </w:r>
    </w:p>
    <w:p w:rsidR="00C762E1" w:rsidRPr="0094386A" w:rsidRDefault="00B525FA">
      <w:pPr>
        <w:pStyle w:val="Body"/>
        <w:numPr>
          <w:ilvl w:val="0"/>
          <w:numId w:val="19"/>
        </w:numPr>
        <w:spacing w:line="288" w:lineRule="auto"/>
        <w:rPr>
          <w:b/>
          <w:bCs/>
          <w:lang w:val="fr-FR"/>
        </w:rPr>
      </w:pPr>
      <w:r w:rsidRPr="0094386A">
        <w:rPr>
          <w:b/>
          <w:bCs/>
          <w:lang w:val="fr-FR"/>
        </w:rPr>
        <w:t>Firmes multi/transnationales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entreprise contrôlant entreprises/filiales dans ++ pays</w:t>
      </w:r>
    </w:p>
    <w:p w:rsidR="00C762E1" w:rsidRPr="0094386A" w:rsidRDefault="00B525FA">
      <w:pPr>
        <w:pStyle w:val="Body"/>
        <w:numPr>
          <w:ilvl w:val="1"/>
          <w:numId w:val="17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Raisonnement stratégique de FTN </w:t>
      </w:r>
      <w:r w:rsidRPr="0094386A">
        <w:rPr>
          <w:i/>
          <w:iCs/>
          <w:lang w:val="fr-FR"/>
        </w:rPr>
        <w:t>dépasse cadre des frontières</w:t>
      </w:r>
    </w:p>
    <w:p w:rsidR="00C762E1" w:rsidRPr="0094386A" w:rsidRDefault="00B525FA">
      <w:pPr>
        <w:pStyle w:val="Body"/>
        <w:numPr>
          <w:ilvl w:val="1"/>
          <w:numId w:val="17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Mesurer poids économique</w:t>
      </w:r>
      <w:r w:rsidRPr="0094386A">
        <w:rPr>
          <w:lang w:val="fr-FR"/>
        </w:rPr>
        <w:t xml:space="preserve"> : capitalisation boursière, chiffre d’affaires, bénéfices, # d’employés, 25% du GDP mondial</w:t>
      </w:r>
    </w:p>
    <w:p w:rsidR="00C762E1" w:rsidRPr="0094386A" w:rsidRDefault="00B525FA">
      <w:pPr>
        <w:pStyle w:val="Body"/>
        <w:numPr>
          <w:ilvl w:val="1"/>
          <w:numId w:val="19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FTN vs. pays (poids)</w:t>
      </w:r>
      <w:r w:rsidRPr="0094386A">
        <w:rPr>
          <w:lang w:val="fr-FR"/>
        </w:rPr>
        <w:t xml:space="preserve"> : comparer # d’habitants vs PIB par pays et firmes</w:t>
      </w:r>
    </w:p>
    <w:p w:rsidR="00C762E1" w:rsidRPr="0094386A" w:rsidRDefault="00B525FA">
      <w:pPr>
        <w:pStyle w:val="Body"/>
        <w:numPr>
          <w:ilvl w:val="2"/>
          <w:numId w:val="17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pays endetté ne disparaît pas, firme oui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peut pas quantifier puissance relative (comparaison limitée)</w:t>
      </w:r>
    </w:p>
    <w:p w:rsidR="00C762E1" w:rsidRDefault="00B525FA">
      <w:pPr>
        <w:pStyle w:val="Body"/>
        <w:numPr>
          <w:ilvl w:val="2"/>
          <w:numId w:val="17"/>
        </w:numPr>
        <w:spacing w:line="288" w:lineRule="auto"/>
      </w:pPr>
      <w:r>
        <w:t>FTN échappent législations nationales</w:t>
      </w:r>
    </w:p>
    <w:p w:rsidR="00C762E1" w:rsidRPr="0094386A" w:rsidRDefault="00B525FA">
      <w:pPr>
        <w:pStyle w:val="Body"/>
        <w:numPr>
          <w:ilvl w:val="1"/>
          <w:numId w:val="19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Internationalisation des entreprises</w:t>
      </w:r>
      <w:r w:rsidRPr="0094386A">
        <w:rPr>
          <w:lang w:val="fr-FR"/>
        </w:rPr>
        <w:t xml:space="preserve">: commerce international (exportations), investissement direct (acheter part d’une entreprise dans autre territoire) </w:t>
      </w:r>
    </w:p>
    <w:p w:rsidR="00C762E1" w:rsidRPr="0094386A" w:rsidRDefault="00B525FA">
      <w:pPr>
        <w:pStyle w:val="Body"/>
        <w:numPr>
          <w:ilvl w:val="3"/>
          <w:numId w:val="17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IDE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lorsqu’entreprise obtient 10%+ d’une autre (pose sur </w:t>
      </w:r>
      <w:r w:rsidRPr="0094386A">
        <w:rPr>
          <w:i/>
          <w:iCs/>
          <w:lang w:val="fr-FR"/>
        </w:rPr>
        <w:t>volonté</w:t>
      </w:r>
      <w:r w:rsidRPr="0094386A">
        <w:rPr>
          <w:lang w:val="fr-FR"/>
        </w:rPr>
        <w:t xml:space="preserve">, pas juste investissement pour profits) </w:t>
      </w:r>
    </w:p>
    <w:p w:rsidR="00C762E1" w:rsidRPr="0094386A" w:rsidRDefault="00B525FA">
      <w:pPr>
        <w:pStyle w:val="Body"/>
        <w:numPr>
          <w:ilvl w:val="3"/>
          <w:numId w:val="17"/>
        </w:numPr>
        <w:spacing w:line="288" w:lineRule="auto"/>
        <w:rPr>
          <w:lang w:val="fr-FR"/>
        </w:rPr>
      </w:pPr>
      <w:r w:rsidRPr="0094386A">
        <w:rPr>
          <w:lang w:val="fr-FR"/>
        </w:rPr>
        <w:t>License (autorisation à produire), franchise (autorisation à dist. produits), impartition d’activités (firmes délocalisent comptabilité, moins cher)</w:t>
      </w:r>
    </w:p>
    <w:p w:rsidR="00C762E1" w:rsidRPr="0094386A" w:rsidRDefault="00B525FA">
      <w:pPr>
        <w:pStyle w:val="Body"/>
        <w:numPr>
          <w:ilvl w:val="3"/>
          <w:numId w:val="17"/>
        </w:numPr>
        <w:spacing w:line="288" w:lineRule="auto"/>
        <w:rPr>
          <w:lang w:val="fr-FR"/>
        </w:rPr>
      </w:pPr>
      <w:r w:rsidRPr="0094386A">
        <w:rPr>
          <w:lang w:val="fr-FR"/>
        </w:rPr>
        <w:t>Chaîne de valeur mondiale : fractionnement des activités autour du monde pour avoir la + grande valeur et profit</w:t>
      </w:r>
    </w:p>
    <w:p w:rsidR="00C762E1" w:rsidRPr="0094386A" w:rsidRDefault="00B525FA">
      <w:pPr>
        <w:pStyle w:val="Body"/>
        <w:numPr>
          <w:ilvl w:val="1"/>
          <w:numId w:val="19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 xml:space="preserve">Comment mesurer interdépendance des économies </w:t>
      </w:r>
      <w:r w:rsidRPr="0094386A">
        <w:rPr>
          <w:lang w:val="fr-FR"/>
        </w:rPr>
        <w:t xml:space="preserve">: ex., iPhones (lien de dépendance É-U—Chine?) décomposition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dépendance équilibrée entre pays </w:t>
      </w:r>
    </w:p>
    <w:p w:rsidR="00C762E1" w:rsidRDefault="00B525FA">
      <w:pPr>
        <w:pStyle w:val="Body"/>
        <w:numPr>
          <w:ilvl w:val="1"/>
          <w:numId w:val="19"/>
        </w:numPr>
        <w:spacing w:line="288" w:lineRule="auto"/>
        <w:rPr>
          <w:u w:val="single"/>
          <w:lang w:val="fr-FR"/>
        </w:rPr>
      </w:pPr>
      <w:r>
        <w:rPr>
          <w:u w:val="single"/>
          <w:lang w:val="fr-FR"/>
        </w:rPr>
        <w:t>Investissements internationaux et régulations étatiques (gouvernements se posant sur IDE)</w:t>
      </w:r>
    </w:p>
    <w:p w:rsidR="00C762E1" w:rsidRPr="0094386A" w:rsidRDefault="00B525FA">
      <w:pPr>
        <w:pStyle w:val="Body"/>
        <w:numPr>
          <w:ilvl w:val="3"/>
          <w:numId w:val="17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Mesures de limitation ou de libéralisation (84% aujourd’hui)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en faveur d’IDE</w:t>
      </w:r>
    </w:p>
    <w:p w:rsidR="00C762E1" w:rsidRPr="0094386A" w:rsidRDefault="00B525FA">
      <w:pPr>
        <w:pStyle w:val="Body"/>
        <w:numPr>
          <w:ilvl w:val="3"/>
          <w:numId w:val="17"/>
        </w:numPr>
        <w:spacing w:line="288" w:lineRule="auto"/>
        <w:rPr>
          <w:lang w:val="fr-FR"/>
        </w:rPr>
      </w:pPr>
      <w:r w:rsidRPr="0094386A">
        <w:rPr>
          <w:lang w:val="fr-FR"/>
        </w:rPr>
        <w:t>ex., de facilitation : Inde ouvre aux IDE secteur d’infrastructures ferroviaires</w:t>
      </w:r>
    </w:p>
    <w:p w:rsidR="00C762E1" w:rsidRPr="0094386A" w:rsidRDefault="00B525FA">
      <w:pPr>
        <w:pStyle w:val="Body"/>
        <w:numPr>
          <w:ilvl w:val="3"/>
          <w:numId w:val="17"/>
        </w:numPr>
        <w:spacing w:line="288" w:lineRule="auto"/>
        <w:rPr>
          <w:b/>
          <w:bCs/>
          <w:lang w:val="fr-FR"/>
        </w:rPr>
      </w:pPr>
      <w:r w:rsidRPr="0094386A">
        <w:rPr>
          <w:lang w:val="fr-FR"/>
        </w:rPr>
        <w:t>ex., de restriction : Russie étend contrôle sur investissements en transport</w:t>
      </w:r>
    </w:p>
    <w:p w:rsidR="00C762E1" w:rsidRDefault="00B525FA">
      <w:pPr>
        <w:pStyle w:val="Body"/>
        <w:numPr>
          <w:ilvl w:val="0"/>
          <w:numId w:val="19"/>
        </w:numPr>
        <w:spacing w:line="288" w:lineRule="auto"/>
        <w:rPr>
          <w:b/>
          <w:bCs/>
        </w:rPr>
      </w:pPr>
      <w:r>
        <w:rPr>
          <w:b/>
          <w:bCs/>
        </w:rPr>
        <w:t>Acteurs sur les marchés financiers</w:t>
      </w:r>
    </w:p>
    <w:p w:rsidR="00C762E1" w:rsidRPr="0094386A" w:rsidRDefault="00B525FA">
      <w:pPr>
        <w:pStyle w:val="Body"/>
        <w:numPr>
          <w:ilvl w:val="1"/>
          <w:numId w:val="20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Investisseurs institutionnels</w:t>
      </w:r>
      <w:r w:rsidRPr="0094386A">
        <w:rPr>
          <w:lang w:val="fr-FR"/>
        </w:rPr>
        <w:t xml:space="preserve"> : collectent épargne, mettent dans fond, achètent actions et produits financiers</w:t>
      </w:r>
    </w:p>
    <w:p w:rsidR="00C762E1" w:rsidRPr="0094386A" w:rsidRDefault="00B525FA">
      <w:pPr>
        <w:pStyle w:val="Body"/>
        <w:numPr>
          <w:ilvl w:val="3"/>
          <w:numId w:val="17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investir dans gouvernement n’est pas gros risque (ne fera pas faillite) </w:t>
      </w:r>
    </w:p>
    <w:p w:rsidR="00C762E1" w:rsidRDefault="00B525FA">
      <w:pPr>
        <w:pStyle w:val="Body"/>
        <w:numPr>
          <w:ilvl w:val="2"/>
          <w:numId w:val="11"/>
        </w:numPr>
        <w:spacing w:line="288" w:lineRule="auto"/>
      </w:pPr>
      <w:r w:rsidRPr="0094386A">
        <w:rPr>
          <w:i/>
          <w:iCs/>
          <w:lang w:val="fr-FR"/>
        </w:rPr>
        <w:t>Investisseurs privés</w:t>
      </w:r>
      <w:r w:rsidRPr="0094386A">
        <w:rPr>
          <w:lang w:val="fr-FR"/>
        </w:rPr>
        <w:t xml:space="preserve"> : banque d’affaires, fonds de pension, compagnies d’ass. </w:t>
      </w:r>
      <w:r>
        <w:t>(ont ++ d’argent)</w:t>
      </w:r>
    </w:p>
    <w:p w:rsidR="00C762E1" w:rsidRPr="0094386A" w:rsidRDefault="00B525FA">
      <w:pPr>
        <w:pStyle w:val="Body"/>
        <w:numPr>
          <w:ilvl w:val="2"/>
          <w:numId w:val="11"/>
        </w:numPr>
        <w:spacing w:line="288" w:lineRule="auto"/>
        <w:rPr>
          <w:lang w:val="fr-FR"/>
        </w:rPr>
      </w:pPr>
      <w:r w:rsidRPr="0094386A">
        <w:rPr>
          <w:i/>
          <w:iCs/>
          <w:lang w:val="fr-FR"/>
        </w:rPr>
        <w:t>Investisseurs publics</w:t>
      </w:r>
      <w:r w:rsidRPr="0094386A">
        <w:rPr>
          <w:lang w:val="fr-FR"/>
        </w:rPr>
        <w:t xml:space="preserve"> : fonds détenus par gouvernement (fonds souverains)</w:t>
      </w:r>
    </w:p>
    <w:p w:rsidR="00C762E1" w:rsidRDefault="00B525FA">
      <w:pPr>
        <w:pStyle w:val="Body"/>
        <w:numPr>
          <w:ilvl w:val="4"/>
          <w:numId w:val="17"/>
        </w:numPr>
        <w:spacing w:line="288" w:lineRule="auto"/>
      </w:pPr>
      <w:r>
        <w:t>Arabie Saoudite (Abu Dhabi Investment Authority), Chine (SAFE Investment Company, CIC), Alberta (Alberta Heritage Saving Trust Fund)</w:t>
      </w:r>
    </w:p>
    <w:p w:rsidR="00C762E1" w:rsidRPr="0094386A" w:rsidRDefault="00B525FA">
      <w:pPr>
        <w:pStyle w:val="Body"/>
        <w:numPr>
          <w:ilvl w:val="4"/>
          <w:numId w:val="17"/>
        </w:numPr>
        <w:spacing w:line="288" w:lineRule="auto"/>
        <w:rPr>
          <w:lang w:val="fr-FR"/>
        </w:rPr>
      </w:pPr>
      <w:r w:rsidRPr="0094386A">
        <w:rPr>
          <w:lang w:val="fr-FR"/>
        </w:rPr>
        <w:t xml:space="preserve">2014 </w:t>
      </w:r>
      <w:r w:rsidRPr="0094386A">
        <w:rPr>
          <w:rFonts w:ascii="Arial Unicode MS" w:hAnsi="Arial Unicode MS"/>
          <w:lang w:val="fr-FR"/>
        </w:rPr>
        <w:t>→</w:t>
      </w:r>
      <w:r w:rsidRPr="0094386A">
        <w:rPr>
          <w:lang w:val="fr-FR"/>
        </w:rPr>
        <w:t xml:space="preserve"> 1/10 des actifs privés, mais rôle marginal dans IDE mondiaux (1,1%)</w:t>
      </w:r>
    </w:p>
    <w:p w:rsidR="00C762E1" w:rsidRPr="0094386A" w:rsidRDefault="00B525FA">
      <w:pPr>
        <w:pStyle w:val="Body"/>
        <w:numPr>
          <w:ilvl w:val="1"/>
          <w:numId w:val="20"/>
        </w:numPr>
        <w:spacing w:line="288" w:lineRule="auto"/>
        <w:rPr>
          <w:lang w:val="fr-FR"/>
        </w:rPr>
      </w:pPr>
      <w:r w:rsidRPr="0094386A">
        <w:rPr>
          <w:u w:val="single"/>
          <w:lang w:val="fr-FR"/>
        </w:rPr>
        <w:t>Agences de notation</w:t>
      </w:r>
      <w:r w:rsidRPr="0094386A">
        <w:rPr>
          <w:lang w:val="fr-FR"/>
        </w:rPr>
        <w:t xml:space="preserve"> : notent entreprises/gouv./prod. financiers en fonction du risque qu’ils représentent (sont privés)</w:t>
      </w:r>
    </w:p>
    <w:p w:rsidR="00C762E1" w:rsidRDefault="00B525FA">
      <w:pPr>
        <w:pStyle w:val="Body"/>
        <w:numPr>
          <w:ilvl w:val="3"/>
          <w:numId w:val="21"/>
        </w:numPr>
        <w:spacing w:line="288" w:lineRule="auto"/>
      </w:pPr>
      <w:r>
        <w:t>+ risque important, + coûteux d’emprunter</w:t>
      </w:r>
    </w:p>
    <w:p w:rsidR="00C762E1" w:rsidRPr="0094386A" w:rsidRDefault="00B525FA">
      <w:pPr>
        <w:pStyle w:val="Body"/>
        <w:numPr>
          <w:ilvl w:val="3"/>
          <w:numId w:val="21"/>
        </w:numPr>
        <w:spacing w:line="288" w:lineRule="auto"/>
        <w:rPr>
          <w:lang w:val="fr-FR"/>
        </w:rPr>
      </w:pPr>
      <w:r w:rsidRPr="0094386A">
        <w:rPr>
          <w:lang w:val="fr-FR"/>
        </w:rPr>
        <w:t>si note bonne, investissements arrivent au pays (pas de risque, rembours. certain) = baisse de taux d’intérêt</w:t>
      </w:r>
    </w:p>
    <w:p w:rsidR="00C762E1" w:rsidRPr="0094386A" w:rsidRDefault="00B525FA">
      <w:pPr>
        <w:pStyle w:val="Body"/>
        <w:numPr>
          <w:ilvl w:val="3"/>
          <w:numId w:val="21"/>
        </w:numPr>
        <w:spacing w:line="288" w:lineRule="auto"/>
        <w:rPr>
          <w:lang w:val="fr-FR"/>
        </w:rPr>
      </w:pPr>
      <w:r w:rsidRPr="0094386A">
        <w:rPr>
          <w:lang w:val="fr-FR"/>
        </w:rPr>
        <w:t>détermine aussi politiques des gouv.</w:t>
      </w:r>
    </w:p>
    <w:p w:rsidR="00C762E1" w:rsidRDefault="00B525FA">
      <w:pPr>
        <w:pStyle w:val="Body"/>
        <w:numPr>
          <w:ilvl w:val="3"/>
          <w:numId w:val="21"/>
        </w:numPr>
        <w:spacing w:line="288" w:lineRule="auto"/>
      </w:pPr>
      <w:r>
        <w:t>Standard &amp; Poor, Moody’s, Fitch Rating</w:t>
      </w:r>
    </w:p>
    <w:p w:rsidR="00C762E1" w:rsidRDefault="00C762E1">
      <w:pPr>
        <w:pStyle w:val="Body"/>
        <w:spacing w:line="288" w:lineRule="auto"/>
      </w:pPr>
    </w:p>
    <w:p w:rsidR="00C762E1" w:rsidRDefault="00C762E1">
      <w:pPr>
        <w:pStyle w:val="Body"/>
        <w:spacing w:line="288" w:lineRule="auto"/>
      </w:pPr>
    </w:p>
    <w:p w:rsidR="00C762E1" w:rsidRDefault="00C762E1">
      <w:pPr>
        <w:pStyle w:val="Body"/>
        <w:spacing w:line="288" w:lineRule="auto"/>
      </w:pPr>
    </w:p>
    <w:p w:rsidR="00C762E1" w:rsidRDefault="00C762E1">
      <w:pPr>
        <w:pStyle w:val="Body"/>
        <w:spacing w:line="288" w:lineRule="auto"/>
      </w:pPr>
    </w:p>
    <w:p w:rsidR="00C762E1" w:rsidRDefault="00C762E1">
      <w:pPr>
        <w:pStyle w:val="Body"/>
        <w:spacing w:line="288" w:lineRule="auto"/>
      </w:pPr>
    </w:p>
    <w:sectPr w:rsidR="00C762E1" w:rsidSect="00425E51">
      <w:headerReference w:type="default" r:id="rId9"/>
      <w:footerReference w:type="default" r:id="rId10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E05" w:rsidRDefault="00ED2E05">
      <w:r>
        <w:separator/>
      </w:r>
    </w:p>
  </w:endnote>
  <w:endnote w:type="continuationSeparator" w:id="1">
    <w:p w:rsidR="00ED2E05" w:rsidRDefault="00ED2E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2E1" w:rsidRDefault="00B525FA">
    <w:pPr>
      <w:pStyle w:val="HeaderFooter"/>
      <w:tabs>
        <w:tab w:val="clear" w:pos="9020"/>
        <w:tab w:val="center" w:pos="4680"/>
        <w:tab w:val="right" w:pos="9360"/>
      </w:tabs>
    </w:pPr>
    <w:r>
      <w:tab/>
    </w:r>
    <w:r>
      <w:tab/>
    </w:r>
    <w:r w:rsidR="00425E51">
      <w:fldChar w:fldCharType="begin"/>
    </w:r>
    <w:r>
      <w:instrText xml:space="preserve"> PAGE </w:instrText>
    </w:r>
    <w:r w:rsidR="00425E51">
      <w:fldChar w:fldCharType="separate"/>
    </w:r>
    <w:r w:rsidR="00AB14A3">
      <w:rPr>
        <w:noProof/>
      </w:rPr>
      <w:t>1</w:t>
    </w:r>
    <w:r w:rsidR="00425E51">
      <w:fldChar w:fldCharType="end"/>
    </w:r>
    <w:r>
      <w:t xml:space="preserve"> of </w:t>
    </w:r>
    <w:r w:rsidR="00425E51">
      <w:fldChar w:fldCharType="begin"/>
    </w:r>
    <w:r>
      <w:instrText xml:space="preserve"> NUMPAGES </w:instrText>
    </w:r>
    <w:r w:rsidR="00425E51">
      <w:fldChar w:fldCharType="separate"/>
    </w:r>
    <w:r w:rsidR="00AB14A3">
      <w:rPr>
        <w:noProof/>
      </w:rPr>
      <w:t>3</w:t>
    </w:r>
    <w:r w:rsidR="00425E51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E05" w:rsidRDefault="00ED2E05">
      <w:r>
        <w:separator/>
      </w:r>
    </w:p>
  </w:footnote>
  <w:footnote w:type="continuationSeparator" w:id="1">
    <w:p w:rsidR="00ED2E05" w:rsidRDefault="00ED2E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2E1" w:rsidRDefault="00B525FA">
    <w:pPr>
      <w:pStyle w:val="HeaderFooter"/>
      <w:tabs>
        <w:tab w:val="clear" w:pos="9020"/>
        <w:tab w:val="center" w:pos="4680"/>
        <w:tab w:val="right" w:pos="9360"/>
      </w:tabs>
    </w:pPr>
    <w:r>
      <w:t xml:space="preserve">ECO 1702 </w:t>
    </w:r>
    <w:r>
      <w:tab/>
    </w:r>
    <w:r>
      <w:tab/>
      <w:t>Hiver 2016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648C7"/>
    <w:multiLevelType w:val="hybridMultilevel"/>
    <w:tmpl w:val="7E8A11B6"/>
    <w:styleLink w:val="Numbered"/>
    <w:lvl w:ilvl="0" w:tplc="F9F23AE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884DEC0">
      <w:start w:val="1"/>
      <w:numFmt w:val="lowerRoman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363AE0">
      <w:start w:val="1"/>
      <w:numFmt w:val="lowerRoman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73A4B06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986D05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2982380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48E01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0EDAD4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7AA6E1C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759725D"/>
    <w:multiLevelType w:val="hybridMultilevel"/>
    <w:tmpl w:val="796CA916"/>
    <w:styleLink w:val="NoteTaking"/>
    <w:lvl w:ilvl="0" w:tplc="65E8E32C">
      <w:start w:val="1"/>
      <w:numFmt w:val="bullet"/>
      <w:lvlText w:val="-"/>
      <w:lvlJc w:val="left"/>
      <w:pPr>
        <w:ind w:left="283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C1E28F04">
      <w:start w:val="1"/>
      <w:numFmt w:val="bullet"/>
      <w:lvlText w:val="•"/>
      <w:lvlJc w:val="left"/>
      <w:pPr>
        <w:ind w:left="460" w:hanging="2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2" w:tplc="0218D04A">
      <w:start w:val="1"/>
      <w:numFmt w:val="bullet"/>
      <w:lvlText w:val="-"/>
      <w:lvlJc w:val="left"/>
      <w:pPr>
        <w:ind w:left="700" w:hanging="2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5882DD68">
      <w:start w:val="1"/>
      <w:numFmt w:val="bullet"/>
      <w:lvlText w:val="•"/>
      <w:lvlJc w:val="left"/>
      <w:pPr>
        <w:ind w:left="940" w:hanging="2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4" w:tplc="9364F232">
      <w:start w:val="1"/>
      <w:numFmt w:val="bullet"/>
      <w:lvlText w:val="-"/>
      <w:lvlJc w:val="left"/>
      <w:pPr>
        <w:ind w:left="1180" w:hanging="2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1706A830">
      <w:start w:val="1"/>
      <w:numFmt w:val="bullet"/>
      <w:lvlText w:val="•"/>
      <w:lvlJc w:val="left"/>
      <w:pPr>
        <w:ind w:left="1420" w:hanging="2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6" w:tplc="B6C66234">
      <w:start w:val="1"/>
      <w:numFmt w:val="bullet"/>
      <w:lvlText w:val="-"/>
      <w:lvlJc w:val="left"/>
      <w:pPr>
        <w:ind w:left="1660" w:hanging="2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B9FEB962">
      <w:start w:val="1"/>
      <w:numFmt w:val="bullet"/>
      <w:lvlText w:val="•"/>
      <w:lvlJc w:val="left"/>
      <w:pPr>
        <w:ind w:left="1900" w:hanging="2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8" w:tplc="5B6A48C6">
      <w:start w:val="1"/>
      <w:numFmt w:val="bullet"/>
      <w:lvlText w:val="-"/>
      <w:lvlJc w:val="left"/>
      <w:pPr>
        <w:ind w:left="2140" w:hanging="2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2">
    <w:nsid w:val="1AFA2B2C"/>
    <w:multiLevelType w:val="hybridMultilevel"/>
    <w:tmpl w:val="542C74F2"/>
    <w:numStyleLink w:val="Lettered"/>
  </w:abstractNum>
  <w:abstractNum w:abstractNumId="3">
    <w:nsid w:val="3F8224ED"/>
    <w:multiLevelType w:val="hybridMultilevel"/>
    <w:tmpl w:val="796CA916"/>
    <w:numStyleLink w:val="NoteTaking"/>
  </w:abstractNum>
  <w:abstractNum w:abstractNumId="4">
    <w:nsid w:val="421B42E9"/>
    <w:multiLevelType w:val="hybridMultilevel"/>
    <w:tmpl w:val="542C74F2"/>
    <w:styleLink w:val="Lettered"/>
    <w:lvl w:ilvl="0" w:tplc="FA42440C">
      <w:start w:val="1"/>
      <w:numFmt w:val="upperLetter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79E444E">
      <w:start w:val="1"/>
      <w:numFmt w:val="upperLetter"/>
      <w:lvlText w:val="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410C298">
      <w:start w:val="1"/>
      <w:numFmt w:val="upperLetter"/>
      <w:lvlText w:val="%3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83C5DE4">
      <w:start w:val="1"/>
      <w:numFmt w:val="upperLetter"/>
      <w:lvlText w:val="%4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ADE1FAE">
      <w:start w:val="1"/>
      <w:numFmt w:val="upperLetter"/>
      <w:lvlText w:val="%5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0EC961E">
      <w:start w:val="1"/>
      <w:numFmt w:val="upperLetter"/>
      <w:lvlText w:val="%6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46092E8">
      <w:start w:val="1"/>
      <w:numFmt w:val="upperLetter"/>
      <w:lvlText w:val="%7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B7C004A">
      <w:start w:val="1"/>
      <w:numFmt w:val="upperLetter"/>
      <w:lvlText w:val="%8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D782452">
      <w:start w:val="1"/>
      <w:numFmt w:val="upperLetter"/>
      <w:lvlText w:val="%9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544350D1"/>
    <w:multiLevelType w:val="hybridMultilevel"/>
    <w:tmpl w:val="7E8A11B6"/>
    <w:numStyleLink w:val="Numbered"/>
  </w:abstractNum>
  <w:abstractNum w:abstractNumId="6">
    <w:nsid w:val="59683BED"/>
    <w:multiLevelType w:val="hybridMultilevel"/>
    <w:tmpl w:val="67E89538"/>
    <w:styleLink w:val="Harvard"/>
    <w:lvl w:ilvl="0" w:tplc="1024A990">
      <w:start w:val="1"/>
      <w:numFmt w:val="upperRoman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B08165C">
      <w:start w:val="1"/>
      <w:numFmt w:val="lowerRoman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D65F06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0E828B4">
      <w:start w:val="1"/>
      <w:numFmt w:val="lowerLetter"/>
      <w:lvlText w:val="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D3AB274">
      <w:start w:val="1"/>
      <w:numFmt w:val="decimal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C0CA4F2">
      <w:start w:val="1"/>
      <w:numFmt w:val="lowerLetter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DEC894">
      <w:start w:val="1"/>
      <w:numFmt w:val="lowerRoman"/>
      <w:lvlText w:val="%7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A78A1FE">
      <w:start w:val="1"/>
      <w:numFmt w:val="decimal"/>
      <w:lvlText w:val="(%8)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54E23C">
      <w:start w:val="1"/>
      <w:numFmt w:val="lowerLetter"/>
      <w:lvlText w:val="(%9)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733A4FDD"/>
    <w:multiLevelType w:val="hybridMultilevel"/>
    <w:tmpl w:val="67E89538"/>
    <w:numStyleLink w:val="Harvard"/>
  </w:abstractNum>
  <w:num w:numId="1">
    <w:abstractNumId w:val="1"/>
  </w:num>
  <w:num w:numId="2">
    <w:abstractNumId w:val="3"/>
  </w:num>
  <w:num w:numId="3">
    <w:abstractNumId w:val="3"/>
    <w:lvlOverride w:ilvl="0">
      <w:lvl w:ilvl="0" w:tplc="E5B4CFD8">
        <w:start w:val="1"/>
        <w:numFmt w:val="bullet"/>
        <w:lvlText w:val="-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 w:tplc="2536DD0C">
        <w:start w:val="1"/>
        <w:numFmt w:val="bullet"/>
        <w:lvlText w:val="•"/>
        <w:lvlJc w:val="left"/>
        <w:pPr>
          <w:ind w:left="567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2">
      <w:lvl w:ilvl="2" w:tplc="A3BCE15E">
        <w:start w:val="1"/>
        <w:numFmt w:val="bullet"/>
        <w:lvlText w:val="-"/>
        <w:lvlJc w:val="left"/>
        <w:pPr>
          <w:ind w:left="76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 w:tplc="8D6E395A">
        <w:start w:val="1"/>
        <w:numFmt w:val="bullet"/>
        <w:lvlText w:val="•"/>
        <w:lvlJc w:val="left"/>
        <w:pPr>
          <w:ind w:left="94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4">
      <w:lvl w:ilvl="4" w:tplc="96BC4890">
        <w:start w:val="1"/>
        <w:numFmt w:val="bullet"/>
        <w:lvlText w:val="-"/>
        <w:lvlJc w:val="left"/>
        <w:pPr>
          <w:ind w:left="118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 w:tplc="47EEE49A">
        <w:start w:val="1"/>
        <w:numFmt w:val="bullet"/>
        <w:lvlText w:val="•"/>
        <w:lvlJc w:val="left"/>
        <w:pPr>
          <w:ind w:left="142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6">
      <w:lvl w:ilvl="6" w:tplc="67B04B06">
        <w:start w:val="1"/>
        <w:numFmt w:val="bullet"/>
        <w:lvlText w:val="-"/>
        <w:lvlJc w:val="left"/>
        <w:pPr>
          <w:ind w:left="166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 w:tplc="9BE4FB64">
        <w:start w:val="1"/>
        <w:numFmt w:val="bullet"/>
        <w:lvlText w:val="•"/>
        <w:lvlJc w:val="left"/>
        <w:pPr>
          <w:ind w:left="190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8">
      <w:lvl w:ilvl="8" w:tplc="D90653C2">
        <w:start w:val="1"/>
        <w:numFmt w:val="bullet"/>
        <w:lvlText w:val="-"/>
        <w:lvlJc w:val="left"/>
        <w:pPr>
          <w:ind w:left="214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4">
    <w:abstractNumId w:val="4"/>
  </w:num>
  <w:num w:numId="5">
    <w:abstractNumId w:val="2"/>
  </w:num>
  <w:num w:numId="6">
    <w:abstractNumId w:val="6"/>
  </w:num>
  <w:num w:numId="7">
    <w:abstractNumId w:val="7"/>
  </w:num>
  <w:num w:numId="8">
    <w:abstractNumId w:val="3"/>
    <w:lvlOverride w:ilvl="0">
      <w:lvl w:ilvl="0" w:tplc="E5B4CFD8">
        <w:start w:val="1"/>
        <w:numFmt w:val="bullet"/>
        <w:lvlText w:val="-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 w:tplc="2536DD0C">
        <w:start w:val="1"/>
        <w:numFmt w:val="bullet"/>
        <w:lvlText w:val="•"/>
        <w:lvlJc w:val="left"/>
        <w:pPr>
          <w:ind w:left="567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2">
      <w:lvl w:ilvl="2" w:tplc="A3BCE15E">
        <w:start w:val="1"/>
        <w:numFmt w:val="bullet"/>
        <w:lvlText w:val="-"/>
        <w:lvlJc w:val="left"/>
        <w:pPr>
          <w:ind w:left="76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 w:tplc="8D6E395A">
        <w:start w:val="1"/>
        <w:numFmt w:val="bullet"/>
        <w:lvlText w:val="•"/>
        <w:lvlJc w:val="left"/>
        <w:pPr>
          <w:ind w:left="94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4">
      <w:lvl w:ilvl="4" w:tplc="96BC4890">
        <w:start w:val="1"/>
        <w:numFmt w:val="bullet"/>
        <w:lvlText w:val="-"/>
        <w:lvlJc w:val="left"/>
        <w:pPr>
          <w:ind w:left="118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 w:tplc="47EEE49A">
        <w:start w:val="1"/>
        <w:numFmt w:val="bullet"/>
        <w:lvlText w:val="•"/>
        <w:lvlJc w:val="left"/>
        <w:pPr>
          <w:ind w:left="142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6">
      <w:lvl w:ilvl="6" w:tplc="67B04B06">
        <w:start w:val="1"/>
        <w:numFmt w:val="bullet"/>
        <w:lvlText w:val="-"/>
        <w:lvlJc w:val="left"/>
        <w:pPr>
          <w:ind w:left="166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 w:tplc="9BE4FB64">
        <w:start w:val="1"/>
        <w:numFmt w:val="bullet"/>
        <w:lvlText w:val="•"/>
        <w:lvlJc w:val="left"/>
        <w:pPr>
          <w:ind w:left="190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8">
      <w:lvl w:ilvl="8" w:tplc="D90653C2">
        <w:start w:val="1"/>
        <w:numFmt w:val="bullet"/>
        <w:lvlText w:val="-"/>
        <w:lvlJc w:val="left"/>
        <w:pPr>
          <w:ind w:left="214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9">
    <w:abstractNumId w:val="3"/>
    <w:lvlOverride w:ilvl="0">
      <w:lvl w:ilvl="0" w:tplc="E5B4CFD8">
        <w:start w:val="1"/>
        <w:numFmt w:val="bullet"/>
        <w:lvlText w:val="-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 w:tplc="2536DD0C">
        <w:start w:val="1"/>
        <w:numFmt w:val="bullet"/>
        <w:lvlText w:val="•"/>
        <w:lvlJc w:val="left"/>
        <w:pPr>
          <w:ind w:left="567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2">
      <w:lvl w:ilvl="2" w:tplc="A3BCE15E">
        <w:start w:val="1"/>
        <w:numFmt w:val="bullet"/>
        <w:lvlText w:val="-"/>
        <w:lvlJc w:val="left"/>
        <w:pPr>
          <w:ind w:left="76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 w:tplc="8D6E395A">
        <w:start w:val="1"/>
        <w:numFmt w:val="bullet"/>
        <w:lvlText w:val="•"/>
        <w:lvlJc w:val="left"/>
        <w:pPr>
          <w:ind w:left="100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4">
      <w:lvl w:ilvl="4" w:tplc="96BC4890">
        <w:start w:val="1"/>
        <w:numFmt w:val="bullet"/>
        <w:lvlText w:val="-"/>
        <w:lvlJc w:val="left"/>
        <w:pPr>
          <w:ind w:left="124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 w:tplc="47EEE49A">
        <w:start w:val="1"/>
        <w:numFmt w:val="bullet"/>
        <w:lvlText w:val="•"/>
        <w:lvlJc w:val="left"/>
        <w:pPr>
          <w:ind w:left="142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6">
      <w:lvl w:ilvl="6" w:tplc="67B04B06">
        <w:start w:val="1"/>
        <w:numFmt w:val="bullet"/>
        <w:lvlText w:val="-"/>
        <w:lvlJc w:val="left"/>
        <w:pPr>
          <w:ind w:left="166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 w:tplc="9BE4FB64">
        <w:start w:val="1"/>
        <w:numFmt w:val="bullet"/>
        <w:lvlText w:val="•"/>
        <w:lvlJc w:val="left"/>
        <w:pPr>
          <w:ind w:left="190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8">
      <w:lvl w:ilvl="8" w:tplc="D90653C2">
        <w:start w:val="1"/>
        <w:numFmt w:val="bullet"/>
        <w:lvlText w:val="-"/>
        <w:lvlJc w:val="left"/>
        <w:pPr>
          <w:ind w:left="214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10">
    <w:abstractNumId w:val="0"/>
  </w:num>
  <w:num w:numId="11">
    <w:abstractNumId w:val="5"/>
  </w:num>
  <w:num w:numId="12">
    <w:abstractNumId w:val="7"/>
    <w:lvlOverride w:ilvl="0"/>
    <w:lvlOverride w:ilvl="1">
      <w:startOverride w:val="2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3"/>
    <w:lvlOverride w:ilvl="0">
      <w:lvl w:ilvl="0" w:tplc="E5B4CFD8">
        <w:start w:val="1"/>
        <w:numFmt w:val="bullet"/>
        <w:lvlText w:val="-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 w:tplc="2536DD0C">
        <w:start w:val="1"/>
        <w:numFmt w:val="bullet"/>
        <w:lvlText w:val="•"/>
        <w:lvlJc w:val="left"/>
        <w:pPr>
          <w:ind w:left="46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2">
      <w:lvl w:ilvl="2" w:tplc="A3BCE15E">
        <w:start w:val="1"/>
        <w:numFmt w:val="bullet"/>
        <w:lvlText w:val="-"/>
        <w:lvlJc w:val="left"/>
        <w:pPr>
          <w:ind w:left="70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 w:tplc="8D6E395A">
        <w:start w:val="1"/>
        <w:numFmt w:val="bullet"/>
        <w:lvlText w:val="•"/>
        <w:lvlJc w:val="left"/>
        <w:pPr>
          <w:ind w:left="94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4">
      <w:lvl w:ilvl="4" w:tplc="96BC4890">
        <w:start w:val="1"/>
        <w:numFmt w:val="bullet"/>
        <w:lvlText w:val="-"/>
        <w:lvlJc w:val="left"/>
        <w:pPr>
          <w:ind w:left="118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 w:tplc="47EEE49A">
        <w:start w:val="1"/>
        <w:numFmt w:val="bullet"/>
        <w:lvlText w:val="•"/>
        <w:lvlJc w:val="left"/>
        <w:pPr>
          <w:ind w:left="142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6">
      <w:lvl w:ilvl="6" w:tplc="67B04B06">
        <w:start w:val="1"/>
        <w:numFmt w:val="bullet"/>
        <w:lvlText w:val="-"/>
        <w:lvlJc w:val="left"/>
        <w:pPr>
          <w:ind w:left="166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 w:tplc="9BE4FB64">
        <w:start w:val="1"/>
        <w:numFmt w:val="bullet"/>
        <w:lvlText w:val="•"/>
        <w:lvlJc w:val="left"/>
        <w:pPr>
          <w:ind w:left="190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8">
      <w:lvl w:ilvl="8" w:tplc="D90653C2">
        <w:start w:val="1"/>
        <w:numFmt w:val="bullet"/>
        <w:lvlText w:val="-"/>
        <w:lvlJc w:val="left"/>
        <w:pPr>
          <w:ind w:left="214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17">
    <w:abstractNumId w:val="3"/>
    <w:lvlOverride w:ilvl="0">
      <w:lvl w:ilvl="0" w:tplc="E5B4CFD8">
        <w:start w:val="1"/>
        <w:numFmt w:val="bullet"/>
        <w:lvlText w:val="-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 w:tplc="2536DD0C">
        <w:start w:val="1"/>
        <w:numFmt w:val="bullet"/>
        <w:lvlText w:val="•"/>
        <w:lvlJc w:val="left"/>
        <w:pPr>
          <w:ind w:left="52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2">
      <w:lvl w:ilvl="2" w:tplc="A3BCE15E">
        <w:start w:val="1"/>
        <w:numFmt w:val="bullet"/>
        <w:lvlText w:val="-"/>
        <w:lvlJc w:val="left"/>
        <w:pPr>
          <w:ind w:left="76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 w:tplc="8D6E395A">
        <w:start w:val="1"/>
        <w:numFmt w:val="bullet"/>
        <w:lvlText w:val="•"/>
        <w:lvlJc w:val="left"/>
        <w:pPr>
          <w:ind w:left="100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4">
      <w:lvl w:ilvl="4" w:tplc="96BC4890">
        <w:start w:val="1"/>
        <w:numFmt w:val="bullet"/>
        <w:lvlText w:val="-"/>
        <w:lvlJc w:val="left"/>
        <w:pPr>
          <w:ind w:left="124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 w:tplc="47EEE49A">
        <w:start w:val="1"/>
        <w:numFmt w:val="bullet"/>
        <w:lvlText w:val="•"/>
        <w:lvlJc w:val="left"/>
        <w:pPr>
          <w:ind w:left="142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6">
      <w:lvl w:ilvl="6" w:tplc="67B04B06">
        <w:start w:val="1"/>
        <w:numFmt w:val="bullet"/>
        <w:lvlText w:val="-"/>
        <w:lvlJc w:val="left"/>
        <w:pPr>
          <w:ind w:left="166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 w:tplc="9BE4FB64">
        <w:start w:val="1"/>
        <w:numFmt w:val="bullet"/>
        <w:lvlText w:val="•"/>
        <w:lvlJc w:val="left"/>
        <w:pPr>
          <w:ind w:left="190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8">
      <w:lvl w:ilvl="8" w:tplc="D90653C2">
        <w:start w:val="1"/>
        <w:numFmt w:val="bullet"/>
        <w:lvlText w:val="-"/>
        <w:lvlJc w:val="left"/>
        <w:pPr>
          <w:ind w:left="214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18">
    <w:abstractNumId w:val="3"/>
    <w:lvlOverride w:ilvl="0">
      <w:lvl w:ilvl="0" w:tplc="E5B4CFD8">
        <w:start w:val="1"/>
        <w:numFmt w:val="bullet"/>
        <w:lvlText w:val="-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 w:tplc="2536DD0C">
        <w:start w:val="1"/>
        <w:numFmt w:val="bullet"/>
        <w:lvlText w:val="•"/>
        <w:lvlJc w:val="left"/>
        <w:pPr>
          <w:ind w:left="52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2">
      <w:lvl w:ilvl="2" w:tplc="A3BCE15E">
        <w:start w:val="1"/>
        <w:numFmt w:val="bullet"/>
        <w:lvlText w:val="-"/>
        <w:lvlJc w:val="left"/>
        <w:pPr>
          <w:ind w:left="70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 w:tplc="8D6E395A">
        <w:start w:val="1"/>
        <w:numFmt w:val="bullet"/>
        <w:lvlText w:val="•"/>
        <w:lvlJc w:val="left"/>
        <w:pPr>
          <w:ind w:left="94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4">
      <w:lvl w:ilvl="4" w:tplc="96BC4890">
        <w:start w:val="1"/>
        <w:numFmt w:val="bullet"/>
        <w:lvlText w:val="-"/>
        <w:lvlJc w:val="left"/>
        <w:pPr>
          <w:ind w:left="118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 w:tplc="47EEE49A">
        <w:start w:val="1"/>
        <w:numFmt w:val="bullet"/>
        <w:lvlText w:val="•"/>
        <w:lvlJc w:val="left"/>
        <w:pPr>
          <w:ind w:left="142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6">
      <w:lvl w:ilvl="6" w:tplc="67B04B06">
        <w:start w:val="1"/>
        <w:numFmt w:val="bullet"/>
        <w:lvlText w:val="-"/>
        <w:lvlJc w:val="left"/>
        <w:pPr>
          <w:ind w:left="166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 w:tplc="9BE4FB64">
        <w:start w:val="1"/>
        <w:numFmt w:val="bullet"/>
        <w:lvlText w:val="•"/>
        <w:lvlJc w:val="left"/>
        <w:pPr>
          <w:ind w:left="190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8">
      <w:lvl w:ilvl="8" w:tplc="D90653C2">
        <w:start w:val="1"/>
        <w:numFmt w:val="bullet"/>
        <w:lvlText w:val="-"/>
        <w:lvlJc w:val="left"/>
        <w:pPr>
          <w:ind w:left="214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19">
    <w:abstractNumId w:val="2"/>
    <w:lvlOverride w:ilvl="0">
      <w:startOverride w:val="1"/>
      <w:lvl w:ilvl="0" w:tplc="6492D022">
        <w:start w:val="1"/>
        <w:numFmt w:val="upperLetter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680ED12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4D2B4B6">
        <w:start w:val="1"/>
        <w:numFmt w:val="upperLetter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100D13E">
        <w:start w:val="1"/>
        <w:numFmt w:val="upperLetter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C183840">
        <w:start w:val="1"/>
        <w:numFmt w:val="upperLetter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2E2A6CA">
        <w:start w:val="1"/>
        <w:numFmt w:val="upperLetter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02EB2CE">
        <w:start w:val="1"/>
        <w:numFmt w:val="upperLetter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8B44314">
        <w:start w:val="1"/>
        <w:numFmt w:val="upperLetter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2242F3C">
        <w:start w:val="1"/>
        <w:numFmt w:val="upperLetter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>
    <w:abstractNumId w:val="2"/>
    <w:lvlOverride w:ilvl="0">
      <w:lvl w:ilvl="0" w:tplc="6492D022">
        <w:start w:val="1"/>
        <w:numFmt w:val="upperLetter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680ED12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4D2B4B6">
        <w:start w:val="1"/>
        <w:numFmt w:val="upperLetter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100D13E">
        <w:start w:val="1"/>
        <w:numFmt w:val="upperLetter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C183840">
        <w:start w:val="1"/>
        <w:numFmt w:val="upperLetter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2E2A6CA">
        <w:start w:val="1"/>
        <w:numFmt w:val="upperLetter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02EB2CE">
        <w:start w:val="1"/>
        <w:numFmt w:val="upperLetter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8B44314">
        <w:start w:val="1"/>
        <w:numFmt w:val="upperLetter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2242F3C">
        <w:start w:val="1"/>
        <w:numFmt w:val="upperLetter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>
    <w:abstractNumId w:val="3"/>
    <w:lvlOverride w:ilvl="0">
      <w:lvl w:ilvl="0" w:tplc="E5B4CFD8">
        <w:start w:val="1"/>
        <w:numFmt w:val="bullet"/>
        <w:lvlText w:val="-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 w:tplc="2536DD0C">
        <w:start w:val="1"/>
        <w:numFmt w:val="bullet"/>
        <w:lvlText w:val="•"/>
        <w:lvlJc w:val="left"/>
        <w:pPr>
          <w:ind w:left="52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2">
      <w:lvl w:ilvl="2" w:tplc="A3BCE15E">
        <w:start w:val="1"/>
        <w:numFmt w:val="bullet"/>
        <w:lvlText w:val="-"/>
        <w:lvlJc w:val="left"/>
        <w:pPr>
          <w:ind w:left="76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 w:tplc="8D6E395A">
        <w:start w:val="1"/>
        <w:numFmt w:val="bullet"/>
        <w:lvlText w:val="•"/>
        <w:lvlJc w:val="left"/>
        <w:pPr>
          <w:ind w:left="100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4">
      <w:lvl w:ilvl="4" w:tplc="96BC4890">
        <w:start w:val="1"/>
        <w:numFmt w:val="bullet"/>
        <w:lvlText w:val="-"/>
        <w:lvlJc w:val="left"/>
        <w:pPr>
          <w:ind w:left="124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 w:tplc="47EEE49A">
        <w:start w:val="1"/>
        <w:numFmt w:val="bullet"/>
        <w:lvlText w:val="•"/>
        <w:lvlJc w:val="left"/>
        <w:pPr>
          <w:ind w:left="142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6">
      <w:lvl w:ilvl="6" w:tplc="67B04B06">
        <w:start w:val="1"/>
        <w:numFmt w:val="bullet"/>
        <w:lvlText w:val="-"/>
        <w:lvlJc w:val="left"/>
        <w:pPr>
          <w:ind w:left="166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 w:tplc="9BE4FB64">
        <w:start w:val="1"/>
        <w:numFmt w:val="bullet"/>
        <w:lvlText w:val="•"/>
        <w:lvlJc w:val="left"/>
        <w:pPr>
          <w:ind w:left="190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8">
      <w:lvl w:ilvl="8" w:tplc="D90653C2">
        <w:start w:val="1"/>
        <w:numFmt w:val="bullet"/>
        <w:lvlText w:val="-"/>
        <w:lvlJc w:val="left"/>
        <w:pPr>
          <w:ind w:left="2140" w:hanging="2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762E1"/>
    <w:rsid w:val="001651F9"/>
    <w:rsid w:val="00425E51"/>
    <w:rsid w:val="005F0270"/>
    <w:rsid w:val="0094386A"/>
    <w:rsid w:val="00AB14A3"/>
    <w:rsid w:val="00B525FA"/>
    <w:rsid w:val="00C762E1"/>
    <w:rsid w:val="00E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25E51"/>
    <w:rPr>
      <w:sz w:val="24"/>
      <w:szCs w:val="24"/>
    </w:rPr>
  </w:style>
  <w:style w:type="paragraph" w:styleId="Titre2">
    <w:name w:val="heading 2"/>
    <w:next w:val="Body"/>
    <w:rsid w:val="00425E51"/>
    <w:pPr>
      <w:keepNext/>
      <w:outlineLvl w:val="1"/>
    </w:pPr>
    <w:rPr>
      <w:rFonts w:ascii="Helvetica" w:eastAsia="Helvetica" w:hAnsi="Helvetica" w:cs="Helvetica"/>
      <w:b/>
      <w:bCs/>
      <w:color w:val="000000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sid w:val="00425E51"/>
    <w:rPr>
      <w:u w:val="single"/>
    </w:rPr>
  </w:style>
  <w:style w:type="paragraph" w:customStyle="1" w:styleId="HeaderFooter">
    <w:name w:val="Header &amp; Footer"/>
    <w:rsid w:val="00425E51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HeadingRed">
    <w:name w:val="Heading Red"/>
    <w:next w:val="Body"/>
    <w:rsid w:val="00425E51"/>
    <w:pPr>
      <w:keepNext/>
      <w:outlineLvl w:val="1"/>
    </w:pPr>
    <w:rPr>
      <w:rFonts w:ascii="Helvetica" w:hAnsi="Helvetica" w:cs="Arial Unicode MS"/>
      <w:b/>
      <w:bCs/>
      <w:color w:val="C82505"/>
      <w:sz w:val="32"/>
      <w:szCs w:val="32"/>
    </w:rPr>
  </w:style>
  <w:style w:type="paragraph" w:customStyle="1" w:styleId="Body">
    <w:name w:val="Body"/>
    <w:rsid w:val="00425E51"/>
    <w:rPr>
      <w:rFonts w:ascii="Helvetica" w:hAnsi="Helvetica" w:cs="Arial Unicode MS"/>
      <w:color w:val="000000"/>
      <w:sz w:val="22"/>
      <w:szCs w:val="22"/>
    </w:rPr>
  </w:style>
  <w:style w:type="numbering" w:customStyle="1" w:styleId="NoteTaking">
    <w:name w:val="Note Taking"/>
    <w:rsid w:val="00425E51"/>
    <w:pPr>
      <w:numPr>
        <w:numId w:val="1"/>
      </w:numPr>
    </w:pPr>
  </w:style>
  <w:style w:type="numbering" w:customStyle="1" w:styleId="Lettered">
    <w:name w:val="Lettered"/>
    <w:rsid w:val="00425E51"/>
    <w:pPr>
      <w:numPr>
        <w:numId w:val="4"/>
      </w:numPr>
    </w:pPr>
  </w:style>
  <w:style w:type="numbering" w:customStyle="1" w:styleId="Harvard">
    <w:name w:val="Harvard"/>
    <w:rsid w:val="00425E51"/>
    <w:pPr>
      <w:numPr>
        <w:numId w:val="6"/>
      </w:numPr>
    </w:pPr>
  </w:style>
  <w:style w:type="numbering" w:customStyle="1" w:styleId="Numbered">
    <w:name w:val="Numbered"/>
    <w:rsid w:val="00425E51"/>
    <w:pPr>
      <w:numPr>
        <w:numId w:val="1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1220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2016-02-09T21:42:00Z</dcterms:created>
  <dcterms:modified xsi:type="dcterms:W3CDTF">2016-02-10T15:04:00Z</dcterms:modified>
</cp:coreProperties>
</file>