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071" w:rsidRDefault="009A2071" w:rsidP="009A2071">
      <w:pPr>
        <w:jc w:val="center"/>
        <w:rPr>
          <w:b/>
          <w:sz w:val="24"/>
          <w:lang w:val="en-US"/>
        </w:rPr>
      </w:pPr>
      <w:r w:rsidRPr="003D71DA">
        <w:rPr>
          <w:b/>
          <w:sz w:val="24"/>
          <w:lang w:val="en-US"/>
        </w:rPr>
        <w:t>The Political system in Italy: how business history keeps repeating through the centuries</w:t>
      </w:r>
    </w:p>
    <w:p w:rsidR="009A2071" w:rsidRPr="003D71DA" w:rsidRDefault="009A2071" w:rsidP="009A2071">
      <w:pPr>
        <w:jc w:val="center"/>
        <w:rPr>
          <w:b/>
          <w:sz w:val="24"/>
          <w:lang w:val="en-US"/>
        </w:rPr>
      </w:pPr>
    </w:p>
    <w:p w:rsidR="009A2071" w:rsidRDefault="009A2071" w:rsidP="009A2071">
      <w:pPr>
        <w:spacing w:line="360" w:lineRule="auto"/>
        <w:jc w:val="both"/>
        <w:rPr>
          <w:lang w:val="en-US"/>
        </w:rPr>
      </w:pPr>
      <w:r>
        <w:rPr>
          <w:lang w:val="en-US"/>
        </w:rPr>
        <w:tab/>
        <w:t xml:space="preserve">Do we really learn from the past? That question is worth thinking about. Italy’s replacement of the Medieval Age by the Renaissance has been made through a shift in social, </w:t>
      </w:r>
      <w:bookmarkStart w:id="0" w:name="_GoBack"/>
      <w:bookmarkEnd w:id="0"/>
      <w:r>
        <w:rPr>
          <w:lang w:val="en-US"/>
        </w:rPr>
        <w:t>economic and political structures and relationships. Padgett and Ansell describe this change in a truly analytical way, trying to figure out how the Medici’s have become the most influent people in Florence during the 14</w:t>
      </w:r>
      <w:r w:rsidRPr="00896B2A">
        <w:rPr>
          <w:vertAlign w:val="superscript"/>
          <w:lang w:val="en-US"/>
        </w:rPr>
        <w:t>th</w:t>
      </w:r>
      <w:r>
        <w:rPr>
          <w:vertAlign w:val="superscript"/>
          <w:lang w:val="en-US"/>
        </w:rPr>
        <w:t xml:space="preserve"> </w:t>
      </w:r>
      <w:r>
        <w:rPr>
          <w:lang w:val="en-US"/>
        </w:rPr>
        <w:t>an 15</w:t>
      </w:r>
      <w:r w:rsidRPr="00C36542">
        <w:rPr>
          <w:vertAlign w:val="superscript"/>
          <w:lang w:val="en-US"/>
        </w:rPr>
        <w:t>th</w:t>
      </w:r>
      <w:r>
        <w:rPr>
          <w:lang w:val="en-US"/>
        </w:rPr>
        <w:t xml:space="preserve"> century. Differently, Goldthwaite emphasized more on the connection between the </w:t>
      </w:r>
      <w:proofErr w:type="spellStart"/>
      <w:r>
        <w:rPr>
          <w:lang w:val="en-US"/>
        </w:rPr>
        <w:t>Medicean</w:t>
      </w:r>
      <w:proofErr w:type="spellEnd"/>
      <w:r>
        <w:rPr>
          <w:lang w:val="en-US"/>
        </w:rPr>
        <w:t xml:space="preserve"> period and what can happen in our capitalistic societies. That is why a third article about recent politic and economic issues in Italy seems interesting to round everything off.</w:t>
      </w:r>
    </w:p>
    <w:p w:rsidR="009A2071" w:rsidRDefault="009A2071" w:rsidP="009A2071">
      <w:pPr>
        <w:spacing w:line="360" w:lineRule="auto"/>
        <w:jc w:val="both"/>
        <w:rPr>
          <w:lang w:val="en-US"/>
        </w:rPr>
      </w:pPr>
    </w:p>
    <w:p w:rsidR="009A2071" w:rsidRDefault="009A2071" w:rsidP="009A2071">
      <w:pPr>
        <w:spacing w:line="360" w:lineRule="auto"/>
        <w:jc w:val="both"/>
        <w:rPr>
          <w:lang w:val="en-US"/>
        </w:rPr>
      </w:pPr>
      <w:r>
        <w:rPr>
          <w:lang w:val="en-US"/>
        </w:rPr>
        <w:tab/>
        <w:t xml:space="preserve">According to Padgett and Ansell the Medici’s rise is tightly linked with social relationships among the different social classes in Florence at the time. The Medici did not rise by themselves, although some of them like </w:t>
      </w:r>
      <w:proofErr w:type="spellStart"/>
      <w:r>
        <w:rPr>
          <w:lang w:val="en-US"/>
        </w:rPr>
        <w:t>Cosimo</w:t>
      </w:r>
      <w:proofErr w:type="spellEnd"/>
      <w:r>
        <w:rPr>
          <w:lang w:val="en-US"/>
        </w:rPr>
        <w:t xml:space="preserve"> de Medici had a particular influence, they were aided by many of their relatives. Early in the article of Padgett and Ansell a definition of the family is made as it was understood at that period. Family meant the whole clan. Through marriages, trade relationships and other links, clans at the Renaissance were very large. This is what gave the </w:t>
      </w:r>
      <w:proofErr w:type="spellStart"/>
      <w:r>
        <w:rPr>
          <w:lang w:val="en-US"/>
        </w:rPr>
        <w:t>Medicis</w:t>
      </w:r>
      <w:proofErr w:type="spellEnd"/>
      <w:r>
        <w:rPr>
          <w:lang w:val="en-US"/>
        </w:rPr>
        <w:t xml:space="preserve"> such power and the possibility to take the oligarchs’ place. Recent Italy has known a similar rise to power from someone helped by his business and people surrounding him to access power: Silvio Berlusconi. The review of Berlusconi’s life and legacy toward Italy by </w:t>
      </w:r>
      <w:proofErr w:type="spellStart"/>
      <w:r>
        <w:rPr>
          <w:lang w:val="en-US"/>
        </w:rPr>
        <w:t>Musso</w:t>
      </w:r>
      <w:proofErr w:type="spellEnd"/>
      <w:r>
        <w:rPr>
          <w:lang w:val="en-US"/>
        </w:rPr>
        <w:t xml:space="preserve"> confirms the meaning of family as it was in the fifteenth century. This meaning is deeply rooted in the Italian mind. When setting up a new party and entering the political life, Silvio Berlusconi asked his employees to be candidates. He trusted them enough to make them a part of his team. Such party is built upon trust and economic relationships. </w:t>
      </w:r>
    </w:p>
    <w:p w:rsidR="009A2071" w:rsidRDefault="009A2071" w:rsidP="009A2071">
      <w:pPr>
        <w:spacing w:line="360" w:lineRule="auto"/>
        <w:jc w:val="both"/>
        <w:rPr>
          <w:lang w:val="en-US"/>
        </w:rPr>
      </w:pPr>
    </w:p>
    <w:p w:rsidR="009A2071" w:rsidRDefault="009A2071" w:rsidP="009A2071">
      <w:pPr>
        <w:spacing w:line="360" w:lineRule="auto"/>
        <w:jc w:val="both"/>
        <w:rPr>
          <w:lang w:val="en-US"/>
        </w:rPr>
      </w:pPr>
      <w:r>
        <w:rPr>
          <w:lang w:val="en-US"/>
        </w:rPr>
        <w:tab/>
        <w:t xml:space="preserve">Another point highlighted by Goldthwaite is the use of power to increase the family business. The political power does not seem to interest the </w:t>
      </w:r>
      <w:proofErr w:type="spellStart"/>
      <w:r>
        <w:rPr>
          <w:lang w:val="en-US"/>
        </w:rPr>
        <w:t>Medicis</w:t>
      </w:r>
      <w:proofErr w:type="spellEnd"/>
      <w:r>
        <w:rPr>
          <w:lang w:val="en-US"/>
        </w:rPr>
        <w:t xml:space="preserve"> only because it meant power as a way to rule people and to pass a bill. At the Renaissance time, at least at the very beginning that we study, ruling means having more power on business and trading. This idea is even emphasized with the example of Giovanni di </w:t>
      </w:r>
      <w:proofErr w:type="spellStart"/>
      <w:r>
        <w:rPr>
          <w:lang w:val="en-US"/>
        </w:rPr>
        <w:t>Bicci</w:t>
      </w:r>
      <w:proofErr w:type="spellEnd"/>
      <w:r>
        <w:rPr>
          <w:lang w:val="en-US"/>
        </w:rPr>
        <w:t xml:space="preserve">, father of the great </w:t>
      </w:r>
      <w:proofErr w:type="spellStart"/>
      <w:r>
        <w:rPr>
          <w:lang w:val="en-US"/>
        </w:rPr>
        <w:t>Cosimo</w:t>
      </w:r>
      <w:proofErr w:type="spellEnd"/>
      <w:r>
        <w:rPr>
          <w:lang w:val="en-US"/>
        </w:rPr>
        <w:t xml:space="preserve"> de Medici, who thanks to his friend </w:t>
      </w:r>
      <w:proofErr w:type="spellStart"/>
      <w:r>
        <w:rPr>
          <w:lang w:val="en-US"/>
        </w:rPr>
        <w:t>Baldassare</w:t>
      </w:r>
      <w:proofErr w:type="spellEnd"/>
      <w:r>
        <w:rPr>
          <w:lang w:val="en-US"/>
        </w:rPr>
        <w:t xml:space="preserve"> </w:t>
      </w:r>
      <w:proofErr w:type="spellStart"/>
      <w:r>
        <w:rPr>
          <w:lang w:val="en-US"/>
        </w:rPr>
        <w:t>Cossa</w:t>
      </w:r>
      <w:proofErr w:type="spellEnd"/>
      <w:r>
        <w:rPr>
          <w:lang w:val="en-US"/>
        </w:rPr>
        <w:t xml:space="preserve"> who became Pope in 1410, has seen his bank business clearly growing over his competitors. Once again, when family at its broad meaning is involved as well as power – we assume that the Pope had a considerable amount of power at this era- business is greatly impacted. Like previously we could say that Berlusconi acted in quite the same manner than the </w:t>
      </w:r>
      <w:proofErr w:type="spellStart"/>
      <w:r>
        <w:rPr>
          <w:lang w:val="en-US"/>
        </w:rPr>
        <w:t>Medicis</w:t>
      </w:r>
      <w:proofErr w:type="spellEnd"/>
      <w:r>
        <w:rPr>
          <w:lang w:val="en-US"/>
        </w:rPr>
        <w:t xml:space="preserve">, even though it has to be put in our current context. After his election as Prime Minister he kept ruling his business in the media as </w:t>
      </w:r>
      <w:r>
        <w:rPr>
          <w:lang w:val="en-US"/>
        </w:rPr>
        <w:lastRenderedPageBreak/>
        <w:t>well as in the soccer industry. His position at the head of the political power allowed him to renew the way he was directing the media industry. He opposed public TV to commercial TV. That new strategy helped him to improve his benefits. Therefore the political power had a positive impact on what he was dealing with.</w:t>
      </w:r>
    </w:p>
    <w:p w:rsidR="009A2071" w:rsidRDefault="009A2071" w:rsidP="009A2071">
      <w:pPr>
        <w:spacing w:line="360" w:lineRule="auto"/>
        <w:jc w:val="both"/>
        <w:rPr>
          <w:lang w:val="en-US"/>
        </w:rPr>
      </w:pPr>
    </w:p>
    <w:p w:rsidR="009A2071" w:rsidRDefault="009A2071" w:rsidP="009A2071">
      <w:pPr>
        <w:spacing w:line="360" w:lineRule="auto"/>
        <w:jc w:val="both"/>
        <w:rPr>
          <w:lang w:val="en-US"/>
        </w:rPr>
      </w:pPr>
      <w:r>
        <w:rPr>
          <w:lang w:val="en-US"/>
        </w:rPr>
        <w:tab/>
        <w:t xml:space="preserve">As a conclusion we might refer to the first article from </w:t>
      </w:r>
      <w:proofErr w:type="spellStart"/>
      <w:r>
        <w:rPr>
          <w:lang w:val="en-US"/>
        </w:rPr>
        <w:t>Amatori</w:t>
      </w:r>
      <w:proofErr w:type="spellEnd"/>
      <w:r>
        <w:rPr>
          <w:lang w:val="en-US"/>
        </w:rPr>
        <w:t xml:space="preserve"> in which he insisted upon the fact that there is a certain limit to business history because of human nature. “H</w:t>
      </w:r>
      <w:r w:rsidRPr="004370EF">
        <w:rPr>
          <w:lang w:val="en-US"/>
        </w:rPr>
        <w:t>uman reactions are unpredictable, and human reactions are</w:t>
      </w:r>
      <w:r>
        <w:rPr>
          <w:lang w:val="en-US"/>
        </w:rPr>
        <w:t xml:space="preserve"> </w:t>
      </w:r>
      <w:r w:rsidRPr="004370EF">
        <w:rPr>
          <w:lang w:val="en-US"/>
        </w:rPr>
        <w:t>both individual as well as collective</w:t>
      </w:r>
      <w:r>
        <w:rPr>
          <w:lang w:val="en-US"/>
        </w:rPr>
        <w:t xml:space="preserve">.” which implies that we can’t always rely on history to guide us in the right direction. And sometimes we tend to forget history and just repeat what was done before. The actions of Berlusconi demonstrates this theory. </w:t>
      </w:r>
    </w:p>
    <w:p w:rsidR="009A2071" w:rsidRPr="00B67D34" w:rsidRDefault="009A2071" w:rsidP="009A2071">
      <w:pPr>
        <w:spacing w:line="360" w:lineRule="auto"/>
        <w:jc w:val="both"/>
        <w:rPr>
          <w:lang w:val="en-US"/>
        </w:rPr>
      </w:pPr>
    </w:p>
    <w:p w:rsidR="009A2071" w:rsidRPr="005E61E1" w:rsidRDefault="009A2071" w:rsidP="009A2071">
      <w:pPr>
        <w:jc w:val="both"/>
        <w:rPr>
          <w:lang w:val="en-US"/>
        </w:rPr>
      </w:pPr>
      <w:r w:rsidRPr="00424A60">
        <w:rPr>
          <w:b/>
          <w:u w:val="single"/>
          <w:lang w:val="en-US"/>
        </w:rPr>
        <w:t>Sources</w:t>
      </w:r>
      <w:r w:rsidRPr="005E61E1">
        <w:rPr>
          <w:lang w:val="en-US"/>
        </w:rPr>
        <w:t>:</w:t>
      </w:r>
    </w:p>
    <w:p w:rsidR="009A2071" w:rsidRPr="00F6498D" w:rsidRDefault="009A2071" w:rsidP="009A2071">
      <w:pPr>
        <w:pStyle w:val="Default"/>
        <w:jc w:val="both"/>
        <w:rPr>
          <w:sz w:val="22"/>
          <w:szCs w:val="22"/>
          <w:lang w:val="en-US"/>
        </w:rPr>
      </w:pPr>
      <w:r w:rsidRPr="005E61E1">
        <w:rPr>
          <w:sz w:val="22"/>
          <w:szCs w:val="22"/>
          <w:lang w:val="en-US"/>
        </w:rPr>
        <w:t xml:space="preserve">Goldthwaite, Richard A. (1987). The Medici bank and the world of Florentine Capitalism. </w:t>
      </w:r>
      <w:r w:rsidRPr="00F6498D">
        <w:rPr>
          <w:i/>
          <w:iCs/>
          <w:sz w:val="22"/>
          <w:szCs w:val="22"/>
          <w:lang w:val="en-US"/>
        </w:rPr>
        <w:t>Past and Present</w:t>
      </w:r>
      <w:r w:rsidRPr="00F6498D">
        <w:rPr>
          <w:sz w:val="22"/>
          <w:szCs w:val="22"/>
          <w:lang w:val="en-US"/>
        </w:rPr>
        <w:t xml:space="preserve">, 114: 3-31. </w:t>
      </w:r>
    </w:p>
    <w:p w:rsidR="009A2071" w:rsidRPr="00F6498D" w:rsidRDefault="009A2071" w:rsidP="009A2071">
      <w:pPr>
        <w:pStyle w:val="Default"/>
        <w:jc w:val="both"/>
        <w:rPr>
          <w:sz w:val="22"/>
          <w:szCs w:val="22"/>
          <w:lang w:val="en-US"/>
        </w:rPr>
      </w:pPr>
    </w:p>
    <w:p w:rsidR="009A2071" w:rsidRPr="009A2071" w:rsidRDefault="009A2071" w:rsidP="009A2071">
      <w:pPr>
        <w:jc w:val="both"/>
      </w:pPr>
      <w:r w:rsidRPr="005E61E1">
        <w:rPr>
          <w:lang w:val="en-US"/>
        </w:rPr>
        <w:t xml:space="preserve">Padgett, John F. and Christopher K. Ansell. (1993). Robust action and the rise of the Medici, 1400-1434. </w:t>
      </w:r>
      <w:r w:rsidRPr="009A2071">
        <w:rPr>
          <w:i/>
          <w:iCs/>
        </w:rPr>
        <w:t>American Journal of Sociology</w:t>
      </w:r>
      <w:r w:rsidRPr="009A2071">
        <w:t>, 98: 1259-1319.</w:t>
      </w:r>
    </w:p>
    <w:p w:rsidR="009A2071" w:rsidRPr="00640A2D" w:rsidRDefault="009A2071" w:rsidP="009A2071">
      <w:pPr>
        <w:jc w:val="both"/>
      </w:pPr>
      <w:proofErr w:type="spellStart"/>
      <w:r>
        <w:t>Musso</w:t>
      </w:r>
      <w:proofErr w:type="spellEnd"/>
      <w:r>
        <w:t xml:space="preserve">, P. (2003), </w:t>
      </w:r>
      <w:r w:rsidRPr="00640A2D">
        <w:t>Berlusconi, le nouveau prince</w:t>
      </w:r>
      <w:r>
        <w:t xml:space="preserve">, </w:t>
      </w:r>
      <w:r w:rsidRPr="00662E8E">
        <w:rPr>
          <w:i/>
        </w:rPr>
        <w:t>L’Aube</w:t>
      </w:r>
      <w:r>
        <w:t>.</w:t>
      </w:r>
    </w:p>
    <w:p w:rsidR="005E61E1" w:rsidRPr="009A2071" w:rsidRDefault="005E61E1" w:rsidP="009A2071"/>
    <w:sectPr w:rsidR="005E61E1" w:rsidRPr="009A2071">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AA6" w:rsidRDefault="00115AA6" w:rsidP="00424A60">
      <w:pPr>
        <w:spacing w:after="0" w:line="240" w:lineRule="auto"/>
      </w:pPr>
      <w:r>
        <w:separator/>
      </w:r>
    </w:p>
  </w:endnote>
  <w:endnote w:type="continuationSeparator" w:id="0">
    <w:p w:rsidR="00115AA6" w:rsidRDefault="00115AA6" w:rsidP="00424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AA6" w:rsidRDefault="00115AA6" w:rsidP="00424A60">
      <w:pPr>
        <w:spacing w:after="0" w:line="240" w:lineRule="auto"/>
      </w:pPr>
      <w:r>
        <w:separator/>
      </w:r>
    </w:p>
  </w:footnote>
  <w:footnote w:type="continuationSeparator" w:id="0">
    <w:p w:rsidR="00115AA6" w:rsidRDefault="00115AA6" w:rsidP="00424A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A60" w:rsidRDefault="00115AA6" w:rsidP="00E50441">
    <w:pPr>
      <w:pStyle w:val="En-tte"/>
      <w:jc w:val="center"/>
      <w:rPr>
        <w:color w:val="5B9BD5" w:themeColor="accent1"/>
      </w:rPr>
    </w:pPr>
    <w:sdt>
      <w:sdtPr>
        <w:rPr>
          <w:color w:val="5B9BD5" w:themeColor="accent1"/>
        </w:rPr>
        <w:alias w:val="Titre"/>
        <w:tag w:val=""/>
        <w:id w:val="664756013"/>
        <w:placeholder>
          <w:docPart w:val="21D8512F4A7C45F9B6E744AD286C2333"/>
        </w:placeholder>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3D71DA">
          <w:rPr>
            <w:color w:val="5B9BD5" w:themeColor="accent1"/>
          </w:rPr>
          <w:t>Comme</w:t>
        </w:r>
        <w:r w:rsidR="00424A60">
          <w:rPr>
            <w:color w:val="5B9BD5" w:themeColor="accent1"/>
          </w:rPr>
          <w:t>ntary</w:t>
        </w:r>
        <w:proofErr w:type="spellEnd"/>
        <w:r w:rsidR="00424A60">
          <w:rPr>
            <w:color w:val="5B9BD5" w:themeColor="accent1"/>
          </w:rPr>
          <w:t xml:space="preserve"> 2</w:t>
        </w:r>
      </w:sdtContent>
    </w:sdt>
    <w:r w:rsidR="00424A60">
      <w:rPr>
        <w:color w:val="5B9BD5" w:themeColor="accent1"/>
      </w:rPr>
      <w:t xml:space="preserve"> | </w:t>
    </w:r>
    <w:sdt>
      <w:sdtPr>
        <w:rPr>
          <w:color w:val="5B9BD5" w:themeColor="accent1"/>
        </w:rPr>
        <w:alias w:val="Auteur"/>
        <w:tag w:val=""/>
        <w:id w:val="-1677181147"/>
        <w:placeholder>
          <w:docPart w:val="2FF87F6104CC483E8BB5C1C6D18DCF65"/>
        </w:placeholder>
        <w:showingPlcHdr/>
        <w:dataBinding w:prefixMappings="xmlns:ns0='http://purl.org/dc/elements/1.1/' xmlns:ns1='http://schemas.openxmlformats.org/package/2006/metadata/core-properties' " w:xpath="/ns1:coreProperties[1]/ns0:creator[1]" w:storeItemID="{6C3C8BC8-F283-45AE-878A-BAB7291924A1}"/>
        <w:text/>
      </w:sdtPr>
      <w:sdtEndPr/>
      <w:sdtContent>
        <w:r w:rsidR="00E50441">
          <w:t>[Nom de l’auteur]</w:t>
        </w:r>
      </w:sdtContent>
    </w:sdt>
  </w:p>
  <w:p w:rsidR="00424A60" w:rsidRDefault="00424A60">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1E1"/>
    <w:rsid w:val="000F2C86"/>
    <w:rsid w:val="00115AA6"/>
    <w:rsid w:val="00245C54"/>
    <w:rsid w:val="00281474"/>
    <w:rsid w:val="00390E09"/>
    <w:rsid w:val="003A6D4E"/>
    <w:rsid w:val="003D71DA"/>
    <w:rsid w:val="00424A60"/>
    <w:rsid w:val="004370EF"/>
    <w:rsid w:val="0045069B"/>
    <w:rsid w:val="0046535F"/>
    <w:rsid w:val="0049031C"/>
    <w:rsid w:val="004C2B55"/>
    <w:rsid w:val="004F1B15"/>
    <w:rsid w:val="005350C2"/>
    <w:rsid w:val="005E3AC8"/>
    <w:rsid w:val="005E61E1"/>
    <w:rsid w:val="00640A2D"/>
    <w:rsid w:val="00662E8E"/>
    <w:rsid w:val="00786725"/>
    <w:rsid w:val="007A55FE"/>
    <w:rsid w:val="00896B2A"/>
    <w:rsid w:val="008B6D22"/>
    <w:rsid w:val="009128F9"/>
    <w:rsid w:val="00922A5D"/>
    <w:rsid w:val="00934578"/>
    <w:rsid w:val="009827D9"/>
    <w:rsid w:val="009A2071"/>
    <w:rsid w:val="00A550E4"/>
    <w:rsid w:val="00B67D34"/>
    <w:rsid w:val="00C32623"/>
    <w:rsid w:val="00C36542"/>
    <w:rsid w:val="00CA3469"/>
    <w:rsid w:val="00D62169"/>
    <w:rsid w:val="00E341C7"/>
    <w:rsid w:val="00E50441"/>
    <w:rsid w:val="00E63E52"/>
    <w:rsid w:val="00E70D1B"/>
    <w:rsid w:val="00F31E8B"/>
    <w:rsid w:val="00F6498D"/>
    <w:rsid w:val="00FA3B2E"/>
    <w:rsid w:val="00FD60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043982-346F-47BF-AEAD-CBD21DC95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07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5E61E1"/>
    <w:pPr>
      <w:autoSpaceDE w:val="0"/>
      <w:autoSpaceDN w:val="0"/>
      <w:adjustRightInd w:val="0"/>
      <w:spacing w:after="0" w:line="240" w:lineRule="auto"/>
    </w:pPr>
    <w:rPr>
      <w:rFonts w:ascii="Calibri" w:hAnsi="Calibri" w:cs="Calibri"/>
      <w:color w:val="000000"/>
      <w:sz w:val="24"/>
      <w:szCs w:val="24"/>
    </w:rPr>
  </w:style>
  <w:style w:type="paragraph" w:styleId="En-tte">
    <w:name w:val="header"/>
    <w:basedOn w:val="Normal"/>
    <w:link w:val="En-tteCar"/>
    <w:uiPriority w:val="99"/>
    <w:unhideWhenUsed/>
    <w:rsid w:val="00424A60"/>
    <w:pPr>
      <w:tabs>
        <w:tab w:val="center" w:pos="4536"/>
        <w:tab w:val="right" w:pos="9072"/>
      </w:tabs>
      <w:spacing w:after="0" w:line="240" w:lineRule="auto"/>
    </w:pPr>
  </w:style>
  <w:style w:type="character" w:customStyle="1" w:styleId="En-tteCar">
    <w:name w:val="En-tête Car"/>
    <w:basedOn w:val="Policepardfaut"/>
    <w:link w:val="En-tte"/>
    <w:uiPriority w:val="99"/>
    <w:rsid w:val="00424A60"/>
  </w:style>
  <w:style w:type="paragraph" w:styleId="Pieddepage">
    <w:name w:val="footer"/>
    <w:basedOn w:val="Normal"/>
    <w:link w:val="PieddepageCar"/>
    <w:uiPriority w:val="99"/>
    <w:unhideWhenUsed/>
    <w:rsid w:val="00424A6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24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1D8512F4A7C45F9B6E744AD286C2333"/>
        <w:category>
          <w:name w:val="Général"/>
          <w:gallery w:val="placeholder"/>
        </w:category>
        <w:types>
          <w:type w:val="bbPlcHdr"/>
        </w:types>
        <w:behaviors>
          <w:behavior w:val="content"/>
        </w:behaviors>
        <w:guid w:val="{12410B46-7380-4AB5-AEE6-B6AE1065145D}"/>
      </w:docPartPr>
      <w:docPartBody>
        <w:p w:rsidR="003D19E4" w:rsidRDefault="00310381" w:rsidP="00310381">
          <w:pPr>
            <w:pStyle w:val="21D8512F4A7C45F9B6E744AD286C2333"/>
          </w:pPr>
          <w:r>
            <w:rPr>
              <w:color w:val="5B9BD5" w:themeColor="accent1"/>
            </w:rPr>
            <w:t>[Titre du document]</w:t>
          </w:r>
        </w:p>
      </w:docPartBody>
    </w:docPart>
    <w:docPart>
      <w:docPartPr>
        <w:name w:val="2FF87F6104CC483E8BB5C1C6D18DCF65"/>
        <w:category>
          <w:name w:val="Général"/>
          <w:gallery w:val="placeholder"/>
        </w:category>
        <w:types>
          <w:type w:val="bbPlcHdr"/>
        </w:types>
        <w:behaviors>
          <w:behavior w:val="content"/>
        </w:behaviors>
        <w:guid w:val="{1A7BD36F-8DFD-4549-B425-E93080C8C69C}"/>
      </w:docPartPr>
      <w:docPartBody>
        <w:p w:rsidR="003D19E4" w:rsidRDefault="00310381" w:rsidP="00310381">
          <w:pPr>
            <w:pStyle w:val="2FF87F6104CC483E8BB5C1C6D18DCF65"/>
          </w:pPr>
          <w:r>
            <w:t>[Nom de l’auteur]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381"/>
    <w:rsid w:val="00031857"/>
    <w:rsid w:val="00310381"/>
    <w:rsid w:val="003D19E4"/>
    <w:rsid w:val="004775CF"/>
    <w:rsid w:val="004E3BFC"/>
    <w:rsid w:val="00712616"/>
    <w:rsid w:val="0084459F"/>
    <w:rsid w:val="00E414A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21D8512F4A7C45F9B6E744AD286C2333">
    <w:name w:val="21D8512F4A7C45F9B6E744AD286C2333"/>
    <w:rsid w:val="00310381"/>
  </w:style>
  <w:style w:type="paragraph" w:customStyle="1" w:styleId="2FF87F6104CC483E8BB5C1C6D18DCF65">
    <w:name w:val="2FF87F6104CC483E8BB5C1C6D18DCF65"/>
    <w:rsid w:val="003103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2C475-46D5-4478-A81D-E1BEF55CB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Pages>
  <Words>633</Words>
  <Characters>3487</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Commentary 2</vt:lpstr>
    </vt:vector>
  </TitlesOfParts>
  <Company/>
  <LinksUpToDate>false</LinksUpToDate>
  <CharactersWithSpaces>4112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Commentary 2</dc:title>
  <dc:subject/>
  <dc:creator/>
  <cp:keywords/>
  <dc:description/>
  <cp:lastModifiedBy>Julia CHENU</cp:lastModifiedBy>
  <cp:revision>24</cp:revision>
  <dcterms:created xsi:type="dcterms:W3CDTF">2016-01-26T03:31:00Z</dcterms:created>
  <dcterms:modified xsi:type="dcterms:W3CDTF">2016-02-03T23:25:00Z</dcterms:modified>
</cp:coreProperties>
</file>