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A2A" w:rsidRDefault="001F3822">
      <w:pPr>
        <w:rPr>
          <w:u w:val="single"/>
        </w:rPr>
      </w:pPr>
      <w:r>
        <w:rPr>
          <w:noProof/>
          <w:u w:val="single"/>
        </w:rPr>
        <w:drawing>
          <wp:anchor distT="0" distB="0" distL="114300" distR="114300" simplePos="0" relativeHeight="251657216" behindDoc="1" locked="0" layoutInCell="1" allowOverlap="1">
            <wp:simplePos x="0" y="0"/>
            <wp:positionH relativeFrom="column">
              <wp:posOffset>-228600</wp:posOffset>
            </wp:positionH>
            <wp:positionV relativeFrom="paragraph">
              <wp:posOffset>-914400</wp:posOffset>
            </wp:positionV>
            <wp:extent cx="6200775" cy="1924050"/>
            <wp:effectExtent l="0" t="0" r="0" b="0"/>
            <wp:wrapThrough wrapText="bothSides">
              <wp:wrapPolygon edited="0">
                <wp:start x="7078" y="3992"/>
                <wp:lineTo x="6459" y="5703"/>
                <wp:lineTo x="6282" y="6558"/>
                <wp:lineTo x="6282" y="11691"/>
                <wp:lineTo x="8317" y="13687"/>
                <wp:lineTo x="1593" y="14257"/>
                <wp:lineTo x="1681" y="16253"/>
                <wp:lineTo x="19819" y="16253"/>
                <wp:lineTo x="20085" y="14257"/>
                <wp:lineTo x="10794" y="13687"/>
                <wp:lineTo x="14953" y="11976"/>
                <wp:lineTo x="15218" y="11121"/>
                <wp:lineTo x="14599" y="9125"/>
                <wp:lineTo x="15218" y="5703"/>
                <wp:lineTo x="14688" y="5418"/>
                <wp:lineTo x="7875" y="3992"/>
                <wp:lineTo x="7078" y="3992"/>
              </wp:wrapPolygon>
            </wp:wrapThrough>
            <wp:docPr id="2" name="Picture 3" descr="Telfer_Tagline_Bil_Centered_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lfer_Tagline_Bil_Centered_K_RGB"/>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00775" cy="1924050"/>
                    </a:xfrm>
                    <a:prstGeom prst="rect">
                      <a:avLst/>
                    </a:prstGeom>
                    <a:noFill/>
                    <a:ln>
                      <a:noFill/>
                    </a:ln>
                  </pic:spPr>
                </pic:pic>
              </a:graphicData>
            </a:graphic>
          </wp:anchor>
        </w:drawing>
      </w:r>
    </w:p>
    <w:p w:rsidR="00820A2A" w:rsidRDefault="00820A2A">
      <w:pPr>
        <w:rPr>
          <w:u w:val="single"/>
        </w:rPr>
      </w:pPr>
    </w:p>
    <w:p w:rsidR="00820A2A" w:rsidRDefault="00820A2A">
      <w:pPr>
        <w:rPr>
          <w:u w:val="single"/>
        </w:rPr>
      </w:pPr>
    </w:p>
    <w:p w:rsidR="00820A2A" w:rsidRDefault="00CD6C74" w:rsidP="00820A2A">
      <w:r w:rsidRPr="00CD6C74">
        <w:rPr>
          <w:b/>
          <w:noProof/>
          <w:lang w:val="en-US" w:eastAsia="en-US"/>
        </w:rPr>
        <w:pict>
          <v:rect id="Rectangle 2" o:spid="_x0000_s1026" style="position:absolute;margin-left:9pt;margin-top:1.8pt;width:477pt;height:75.85pt;z-index:-2516582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"/>
        </w:pict>
      </w:r>
    </w:p>
    <w:p w:rsidR="00820A2A" w:rsidRDefault="00820A2A" w:rsidP="00820A2A">
      <w:pPr>
        <w:pStyle w:val="Title"/>
      </w:pPr>
      <w:r>
        <w:t>ADM4348 SPECIAL TOPICS IN FINANCIAL ACCOUNTING</w:t>
      </w:r>
    </w:p>
    <w:p w:rsidR="00820A2A" w:rsidRDefault="00820A2A" w:rsidP="00820A2A">
      <w:pPr>
        <w:pStyle w:val="Title"/>
      </w:pPr>
      <w:r>
        <w:t xml:space="preserve">Professor: Sheldon </w:t>
      </w:r>
      <w:proofErr w:type="spellStart"/>
      <w:r>
        <w:t>Weatherstone</w:t>
      </w:r>
      <w:proofErr w:type="spellEnd"/>
      <w:r w:rsidR="00FA2C19">
        <w:t xml:space="preserve"> and Kevin Petit-Fre</w:t>
      </w:r>
      <w:r w:rsidR="001F3822">
        <w:t xml:space="preserve">re – </w:t>
      </w:r>
      <w:r w:rsidR="009123EE">
        <w:t xml:space="preserve">FALL </w:t>
      </w:r>
      <w:r w:rsidR="001F3822">
        <w:t>2015</w:t>
      </w:r>
    </w:p>
    <w:p w:rsidR="00820A2A" w:rsidRDefault="00D620C6" w:rsidP="00820A2A">
      <w:pPr>
        <w:pStyle w:val="Heading1"/>
        <w:rPr>
          <w:lang w:val="en-CA"/>
        </w:rPr>
      </w:pPr>
      <w:r>
        <w:rPr>
          <w:lang w:val="en-CA"/>
        </w:rPr>
        <w:t>Assignment #2</w:t>
      </w:r>
      <w:r w:rsidR="00820A2A">
        <w:rPr>
          <w:lang w:val="en-CA"/>
        </w:rPr>
        <w:t xml:space="preserve"> </w:t>
      </w:r>
    </w:p>
    <w:p w:rsidR="00820A2A" w:rsidRPr="00692CF1" w:rsidRDefault="00820A2A" w:rsidP="00820A2A">
      <w:pPr>
        <w:jc w:val="center"/>
        <w:rPr>
          <w:b/>
        </w:rPr>
      </w:pPr>
      <w:r w:rsidRPr="00FA2C19">
        <w:rPr>
          <w:b/>
        </w:rPr>
        <w:t xml:space="preserve">A paper copy of the solution is due </w:t>
      </w:r>
      <w:r w:rsidR="001F3822" w:rsidRPr="00FA2C19">
        <w:rPr>
          <w:b/>
        </w:rPr>
        <w:t>in class</w:t>
      </w:r>
      <w:r w:rsidR="00FA2C19" w:rsidRPr="00FA2C19">
        <w:rPr>
          <w:b/>
        </w:rPr>
        <w:t xml:space="preserve"> on</w:t>
      </w:r>
      <w:r w:rsidR="00FA2C19">
        <w:rPr>
          <w:b/>
        </w:rPr>
        <w:t xml:space="preserve"> the date mentioned in the syllabus</w:t>
      </w:r>
    </w:p>
    <w:p w:rsidR="00820A2A" w:rsidRDefault="00820A2A" w:rsidP="00820A2A"/>
    <w:p w:rsidR="00820A2A" w:rsidRDefault="00820A2A" w:rsidP="00820A2A">
      <w:pPr>
        <w:pStyle w:val="BodyText"/>
      </w:pPr>
    </w:p>
    <w:p w:rsidR="006F1D95" w:rsidRPr="00FA2C19" w:rsidRDefault="00024110" w:rsidP="006F1D95">
      <w:pPr>
        <w:spacing w:before="120"/>
        <w:jc w:val="both"/>
        <w:rPr>
          <w:snapToGrid w:val="0"/>
          <w:szCs w:val="22"/>
        </w:rPr>
      </w:pPr>
      <w:r w:rsidRPr="00FA2C19">
        <w:rPr>
          <w:snapToGrid w:val="0"/>
          <w:szCs w:val="22"/>
        </w:rPr>
        <w:t>You started working at Coco ltd. and the controller (your boss) wants you to prepare</w:t>
      </w:r>
      <w:r w:rsidR="006F1D95" w:rsidRPr="00FA2C19">
        <w:rPr>
          <w:snapToGrid w:val="0"/>
          <w:szCs w:val="22"/>
        </w:rPr>
        <w:t xml:space="preserve"> both the income statement and the tax return</w:t>
      </w:r>
      <w:r w:rsidR="00744261" w:rsidRPr="00FA2C19">
        <w:rPr>
          <w:snapToGrid w:val="0"/>
          <w:szCs w:val="22"/>
        </w:rPr>
        <w:t xml:space="preserve"> for </w:t>
      </w:r>
      <w:r w:rsidRPr="00FA2C19">
        <w:rPr>
          <w:snapToGrid w:val="0"/>
          <w:szCs w:val="22"/>
        </w:rPr>
        <w:t>the year ended December 31, 2015. Knowing that you are a little green, she provides you with a</w:t>
      </w:r>
      <w:r w:rsidR="006F1D95" w:rsidRPr="00FA2C19">
        <w:rPr>
          <w:snapToGrid w:val="0"/>
          <w:szCs w:val="22"/>
        </w:rPr>
        <w:t xml:space="preserve"> list of items creating differences between accounting and taxable income:</w:t>
      </w:r>
    </w:p>
    <w:p w:rsidR="006F1D95" w:rsidRPr="00FA2C19" w:rsidRDefault="006F1D95" w:rsidP="006F1D95">
      <w:pPr>
        <w:spacing w:before="140"/>
        <w:ind w:left="360" w:hanging="360"/>
        <w:jc w:val="both"/>
        <w:rPr>
          <w:snapToGrid w:val="0"/>
          <w:szCs w:val="22"/>
        </w:rPr>
      </w:pPr>
      <w:r w:rsidRPr="00FA2C19">
        <w:rPr>
          <w:snapToGrid w:val="0"/>
          <w:szCs w:val="22"/>
        </w:rPr>
        <w:t>1.</w:t>
      </w:r>
      <w:r w:rsidRPr="00FA2C19">
        <w:rPr>
          <w:snapToGrid w:val="0"/>
          <w:szCs w:val="22"/>
        </w:rPr>
        <w:tab/>
      </w:r>
      <w:r w:rsidR="00CE49B9" w:rsidRPr="00FA2C19">
        <w:rPr>
          <w:snapToGrid w:val="0"/>
          <w:szCs w:val="22"/>
        </w:rPr>
        <w:t>Coco sold a tractor during the year for $300,000 that</w:t>
      </w:r>
      <w:r w:rsidR="005F6DE0">
        <w:rPr>
          <w:snapToGrid w:val="0"/>
          <w:szCs w:val="22"/>
        </w:rPr>
        <w:t xml:space="preserve"> had</w:t>
      </w:r>
      <w:r w:rsidR="00CE49B9" w:rsidRPr="00FA2C19">
        <w:rPr>
          <w:snapToGrid w:val="0"/>
          <w:szCs w:val="22"/>
        </w:rPr>
        <w:t xml:space="preserve"> cost</w:t>
      </w:r>
      <w:r w:rsidR="005F6DE0">
        <w:rPr>
          <w:snapToGrid w:val="0"/>
          <w:szCs w:val="22"/>
        </w:rPr>
        <w:t xml:space="preserve"> </w:t>
      </w:r>
      <w:r w:rsidR="00CE49B9" w:rsidRPr="00FA2C19">
        <w:rPr>
          <w:snapToGrid w:val="0"/>
          <w:szCs w:val="22"/>
        </w:rPr>
        <w:t>$150,000 to manufacture. For tax purposes, one-third of the profit on the sale of tractors is deferred until the year after the sale. The full profit is included in accounting income for 2015.</w:t>
      </w:r>
    </w:p>
    <w:p w:rsidR="006F1D95" w:rsidRPr="00FA2C19" w:rsidRDefault="006F1D95" w:rsidP="006F1D95">
      <w:pPr>
        <w:spacing w:before="140"/>
        <w:ind w:left="360" w:hanging="360"/>
        <w:jc w:val="both"/>
        <w:rPr>
          <w:snapToGrid w:val="0"/>
          <w:szCs w:val="22"/>
        </w:rPr>
      </w:pPr>
      <w:r w:rsidRPr="00FA2C19">
        <w:rPr>
          <w:snapToGrid w:val="0"/>
          <w:szCs w:val="22"/>
        </w:rPr>
        <w:t>2.</w:t>
      </w:r>
      <w:r w:rsidRPr="00FA2C19">
        <w:rPr>
          <w:snapToGrid w:val="0"/>
          <w:szCs w:val="22"/>
        </w:rPr>
        <w:tab/>
        <w:t>The company depreciates all of its property, plant and equipment using CCA for tax purposes and straight-line for accounting purposes. Thi</w:t>
      </w:r>
      <w:r w:rsidR="00024110" w:rsidRPr="00FA2C19">
        <w:rPr>
          <w:snapToGrid w:val="0"/>
          <w:szCs w:val="22"/>
        </w:rPr>
        <w:t>s resulted in $60</w:t>
      </w:r>
      <w:r w:rsidRPr="00FA2C19">
        <w:rPr>
          <w:snapToGrid w:val="0"/>
          <w:szCs w:val="22"/>
        </w:rPr>
        <w:t xml:space="preserve">,000 excess CCA over accounting depreciation. </w:t>
      </w:r>
    </w:p>
    <w:p w:rsidR="006F1D95" w:rsidRPr="00FA2C19" w:rsidRDefault="006F1D95" w:rsidP="006F1D95">
      <w:pPr>
        <w:spacing w:before="140"/>
        <w:ind w:left="360" w:hanging="360"/>
        <w:jc w:val="both"/>
        <w:rPr>
          <w:snapToGrid w:val="0"/>
          <w:szCs w:val="22"/>
        </w:rPr>
      </w:pPr>
      <w:r w:rsidRPr="00FA2C19">
        <w:rPr>
          <w:snapToGrid w:val="0"/>
          <w:szCs w:val="22"/>
        </w:rPr>
        <w:t>3.</w:t>
      </w:r>
      <w:r w:rsidRPr="00FA2C19">
        <w:rPr>
          <w:snapToGrid w:val="0"/>
          <w:szCs w:val="22"/>
        </w:rPr>
        <w:tab/>
      </w:r>
      <w:r w:rsidR="005E6D34" w:rsidRPr="00FA2C19">
        <w:rPr>
          <w:snapToGrid w:val="0"/>
          <w:szCs w:val="22"/>
        </w:rPr>
        <w:t>During the year, an accrual of $70,000 relating to clos</w:t>
      </w:r>
      <w:bookmarkStart w:id="0" w:name="_GoBack"/>
      <w:bookmarkEnd w:id="0"/>
      <w:r w:rsidR="005E6D34" w:rsidRPr="00FA2C19">
        <w:rPr>
          <w:snapToGrid w:val="0"/>
          <w:szCs w:val="22"/>
        </w:rPr>
        <w:t>ing costs is made for an operating segment that will be disposed of during the 2016 year. For tax purposes, these costs will only be deductible when they are paid out in 2016.</w:t>
      </w:r>
      <w:r w:rsidR="005E6D34" w:rsidRPr="00FA2C19">
        <w:rPr>
          <w:snapToGrid w:val="0"/>
          <w:szCs w:val="22"/>
        </w:rPr>
        <w:tab/>
      </w:r>
    </w:p>
    <w:p w:rsidR="006F1D95" w:rsidRPr="00FA2C19" w:rsidRDefault="006F1D95" w:rsidP="006F1D95">
      <w:pPr>
        <w:spacing w:before="140"/>
        <w:ind w:left="360" w:hanging="360"/>
        <w:jc w:val="both"/>
        <w:rPr>
          <w:snapToGrid w:val="0"/>
          <w:szCs w:val="22"/>
        </w:rPr>
      </w:pPr>
      <w:r w:rsidRPr="00FA2C19">
        <w:rPr>
          <w:snapToGrid w:val="0"/>
          <w:szCs w:val="22"/>
        </w:rPr>
        <w:t>4.</w:t>
      </w:r>
      <w:r w:rsidRPr="00FA2C19">
        <w:rPr>
          <w:snapToGrid w:val="0"/>
          <w:szCs w:val="22"/>
        </w:rPr>
        <w:tab/>
      </w:r>
      <w:r w:rsidR="00024110" w:rsidRPr="00FA2C19">
        <w:rPr>
          <w:snapToGrid w:val="0"/>
          <w:szCs w:val="22"/>
        </w:rPr>
        <w:t>A building was</w:t>
      </w:r>
      <w:r w:rsidRPr="00FA2C19">
        <w:rPr>
          <w:snapToGrid w:val="0"/>
          <w:szCs w:val="22"/>
        </w:rPr>
        <w:t xml:space="preserve"> sold</w:t>
      </w:r>
      <w:r w:rsidR="00024110" w:rsidRPr="00FA2C19">
        <w:rPr>
          <w:snapToGrid w:val="0"/>
          <w:szCs w:val="22"/>
        </w:rPr>
        <w:t xml:space="preserve"> for $200</w:t>
      </w:r>
      <w:r w:rsidRPr="00FA2C19">
        <w:rPr>
          <w:snapToGrid w:val="0"/>
          <w:szCs w:val="22"/>
        </w:rPr>
        <w:t>,000.</w:t>
      </w:r>
      <w:r w:rsidR="00024110" w:rsidRPr="00FA2C19">
        <w:rPr>
          <w:snapToGrid w:val="0"/>
          <w:szCs w:val="22"/>
        </w:rPr>
        <w:t xml:space="preserve"> A</w:t>
      </w:r>
      <w:r w:rsidR="005F6DE0">
        <w:rPr>
          <w:snapToGrid w:val="0"/>
          <w:szCs w:val="22"/>
        </w:rPr>
        <w:t xml:space="preserve"> relating</w:t>
      </w:r>
      <w:r w:rsidR="00024110" w:rsidRPr="00FA2C19">
        <w:rPr>
          <w:snapToGrid w:val="0"/>
          <w:szCs w:val="22"/>
        </w:rPr>
        <w:t xml:space="preserve"> gain of $10,000 was recorded in Coco’s book for the 2015 year. Only 50% of that gain is taxable</w:t>
      </w:r>
      <w:r w:rsidR="005F6DE0">
        <w:rPr>
          <w:snapToGrid w:val="0"/>
          <w:szCs w:val="22"/>
        </w:rPr>
        <w:t>.</w:t>
      </w:r>
      <w:r w:rsidRPr="00FA2C19">
        <w:rPr>
          <w:snapToGrid w:val="0"/>
          <w:szCs w:val="22"/>
        </w:rPr>
        <w:t xml:space="preserve"> </w:t>
      </w:r>
    </w:p>
    <w:p w:rsidR="006F1D95" w:rsidRDefault="006F1D95" w:rsidP="006F1D95">
      <w:pPr>
        <w:spacing w:before="140"/>
        <w:ind w:left="360" w:hanging="360"/>
        <w:jc w:val="both"/>
        <w:rPr>
          <w:snapToGrid w:val="0"/>
          <w:szCs w:val="22"/>
        </w:rPr>
      </w:pPr>
      <w:r w:rsidRPr="00FA2C19">
        <w:rPr>
          <w:snapToGrid w:val="0"/>
          <w:szCs w:val="22"/>
        </w:rPr>
        <w:t>5.</w:t>
      </w:r>
      <w:r w:rsidRPr="00FA2C19">
        <w:rPr>
          <w:snapToGrid w:val="0"/>
          <w:szCs w:val="22"/>
        </w:rPr>
        <w:tab/>
      </w:r>
      <w:r w:rsidR="005E6D34" w:rsidRPr="00FA2C19">
        <w:rPr>
          <w:snapToGrid w:val="0"/>
          <w:szCs w:val="22"/>
        </w:rPr>
        <w:t xml:space="preserve">During the year, meals and entertainment expenses of $50,000 were incurred. For tax purposes, only half of these costs are </w:t>
      </w:r>
      <w:r w:rsidR="00B614DC" w:rsidRPr="00FA2C19">
        <w:rPr>
          <w:snapToGrid w:val="0"/>
          <w:szCs w:val="22"/>
        </w:rPr>
        <w:t>deductible</w:t>
      </w:r>
      <w:r w:rsidR="005E6D34" w:rsidRPr="00FA2C19">
        <w:rPr>
          <w:snapToGrid w:val="0"/>
          <w:szCs w:val="22"/>
        </w:rPr>
        <w:t>.</w:t>
      </w:r>
    </w:p>
    <w:p w:rsidR="005F6DE0" w:rsidRPr="00FA2C19" w:rsidRDefault="005F6DE0" w:rsidP="006F1D95">
      <w:pPr>
        <w:spacing w:before="140"/>
        <w:ind w:left="360" w:hanging="360"/>
        <w:jc w:val="both"/>
        <w:rPr>
          <w:snapToGrid w:val="0"/>
          <w:szCs w:val="22"/>
        </w:rPr>
      </w:pPr>
      <w:r>
        <w:rPr>
          <w:snapToGrid w:val="0"/>
          <w:szCs w:val="22"/>
        </w:rPr>
        <w:t xml:space="preserve">6. </w:t>
      </w:r>
      <w:r w:rsidR="00287097">
        <w:rPr>
          <w:snapToGrid w:val="0"/>
          <w:szCs w:val="22"/>
        </w:rPr>
        <w:t xml:space="preserve"> </w:t>
      </w:r>
      <w:r>
        <w:rPr>
          <w:snapToGrid w:val="0"/>
          <w:szCs w:val="22"/>
        </w:rPr>
        <w:t>An ex-employee is suing Coco for wrongful dismissal and per consu</w:t>
      </w:r>
      <w:r w:rsidR="007E405E">
        <w:rPr>
          <w:snapToGrid w:val="0"/>
          <w:szCs w:val="22"/>
        </w:rPr>
        <w:t xml:space="preserve">ltation with Legal Counsel this amount is expected to be paid in 2016. As a result, </w:t>
      </w:r>
      <w:r>
        <w:rPr>
          <w:snapToGrid w:val="0"/>
          <w:szCs w:val="22"/>
        </w:rPr>
        <w:t>an accrual of $100,000 is made</w:t>
      </w:r>
      <w:r w:rsidR="007E405E">
        <w:rPr>
          <w:snapToGrid w:val="0"/>
          <w:szCs w:val="22"/>
        </w:rPr>
        <w:t xml:space="preserve"> in 2015</w:t>
      </w:r>
      <w:r>
        <w:rPr>
          <w:snapToGrid w:val="0"/>
          <w:szCs w:val="22"/>
        </w:rPr>
        <w:t xml:space="preserve">. For tax </w:t>
      </w:r>
      <w:r w:rsidR="00E341ED">
        <w:rPr>
          <w:snapToGrid w:val="0"/>
          <w:szCs w:val="22"/>
        </w:rPr>
        <w:t>purposes,</w:t>
      </w:r>
      <w:r>
        <w:rPr>
          <w:snapToGrid w:val="0"/>
          <w:szCs w:val="22"/>
        </w:rPr>
        <w:t xml:space="preserve"> these costs would o</w:t>
      </w:r>
      <w:r w:rsidR="007E405E">
        <w:rPr>
          <w:snapToGrid w:val="0"/>
          <w:szCs w:val="22"/>
        </w:rPr>
        <w:t>nly be deductible when paid out.</w:t>
      </w:r>
    </w:p>
    <w:p w:rsidR="006F1D95" w:rsidRPr="00FA2C19" w:rsidRDefault="006F1D95" w:rsidP="006F1D95">
      <w:pPr>
        <w:jc w:val="both"/>
        <w:rPr>
          <w:snapToGrid w:val="0"/>
          <w:szCs w:val="22"/>
        </w:rPr>
      </w:pPr>
    </w:p>
    <w:p w:rsidR="006F1D95" w:rsidRPr="00AE4213" w:rsidRDefault="00024110" w:rsidP="006F1D95">
      <w:pPr>
        <w:jc w:val="both"/>
        <w:rPr>
          <w:snapToGrid w:val="0"/>
          <w:szCs w:val="22"/>
        </w:rPr>
      </w:pPr>
      <w:r w:rsidRPr="00FA2C19">
        <w:rPr>
          <w:snapToGrid w:val="0"/>
          <w:szCs w:val="22"/>
        </w:rPr>
        <w:t xml:space="preserve">Coco is public and uses </w:t>
      </w:r>
      <w:r w:rsidR="006F1D95" w:rsidRPr="00FA2C19">
        <w:rPr>
          <w:snapToGrid w:val="0"/>
          <w:szCs w:val="22"/>
        </w:rPr>
        <w:t xml:space="preserve">IFRS. </w:t>
      </w:r>
      <w:r w:rsidR="00CE49B9" w:rsidRPr="00FA2C19">
        <w:rPr>
          <w:snapToGrid w:val="0"/>
          <w:szCs w:val="22"/>
        </w:rPr>
        <w:t xml:space="preserve">Per further discussion with the controller you find out that </w:t>
      </w:r>
      <w:r w:rsidR="006F1D95" w:rsidRPr="00FA2C19">
        <w:rPr>
          <w:snapToGrid w:val="0"/>
          <w:szCs w:val="22"/>
        </w:rPr>
        <w:t>I</w:t>
      </w:r>
      <w:r w:rsidR="00CE49B9" w:rsidRPr="00FA2C19">
        <w:rPr>
          <w:snapToGrid w:val="0"/>
          <w:szCs w:val="22"/>
        </w:rPr>
        <w:t>ncome before income taxes for the year is</w:t>
      </w:r>
      <w:r w:rsidRPr="00FA2C19">
        <w:rPr>
          <w:snapToGrid w:val="0"/>
          <w:szCs w:val="22"/>
        </w:rPr>
        <w:t xml:space="preserve"> $1,0</w:t>
      </w:r>
      <w:r w:rsidR="006F1D95" w:rsidRPr="00FA2C19">
        <w:rPr>
          <w:snapToGrid w:val="0"/>
          <w:szCs w:val="22"/>
        </w:rPr>
        <w:t>00,000.  The currently enacted income tax rate (and for the foreseeable future) is</w:t>
      </w:r>
      <w:r w:rsidRPr="00FA2C19">
        <w:rPr>
          <w:snapToGrid w:val="0"/>
          <w:szCs w:val="22"/>
        </w:rPr>
        <w:t xml:space="preserve"> 32</w:t>
      </w:r>
      <w:r w:rsidR="00D7124C">
        <w:rPr>
          <w:snapToGrid w:val="0"/>
          <w:szCs w:val="22"/>
        </w:rPr>
        <w:t xml:space="preserve">%. </w:t>
      </w:r>
      <w:r w:rsidR="006F1D95" w:rsidRPr="00FA2C19">
        <w:rPr>
          <w:snapToGrid w:val="0"/>
          <w:szCs w:val="22"/>
        </w:rPr>
        <w:t>Except for those items mentioned above, there are no other differences between book and taxable incomes.</w:t>
      </w:r>
      <w:r w:rsidR="006F1D95" w:rsidRPr="00AE4213">
        <w:rPr>
          <w:snapToGrid w:val="0"/>
          <w:szCs w:val="22"/>
        </w:rPr>
        <w:t xml:space="preserve"> </w:t>
      </w:r>
    </w:p>
    <w:p w:rsidR="006F1D95" w:rsidRDefault="006F1D95" w:rsidP="006F1D95">
      <w:pPr>
        <w:rPr>
          <w:snapToGrid w:val="0"/>
          <w:szCs w:val="22"/>
        </w:rPr>
      </w:pPr>
    </w:p>
    <w:p w:rsidR="007E405E" w:rsidRDefault="007E405E" w:rsidP="006F1D95">
      <w:pPr>
        <w:rPr>
          <w:snapToGrid w:val="0"/>
          <w:szCs w:val="22"/>
        </w:rPr>
      </w:pPr>
    </w:p>
    <w:p w:rsidR="006F1D95" w:rsidRPr="00AE4213" w:rsidRDefault="006F1D95" w:rsidP="006F1D95">
      <w:pPr>
        <w:rPr>
          <w:b/>
          <w:snapToGrid w:val="0"/>
          <w:szCs w:val="22"/>
        </w:rPr>
      </w:pPr>
      <w:r w:rsidRPr="00AE4213">
        <w:rPr>
          <w:b/>
          <w:snapToGrid w:val="0"/>
          <w:szCs w:val="22"/>
        </w:rPr>
        <w:t>Instructions</w:t>
      </w:r>
      <w:r w:rsidR="00D74E15">
        <w:rPr>
          <w:b/>
          <w:snapToGrid w:val="0"/>
          <w:szCs w:val="22"/>
        </w:rPr>
        <w:t xml:space="preserve"> </w:t>
      </w:r>
    </w:p>
    <w:p w:rsidR="006F1D95" w:rsidRPr="00AE4213" w:rsidRDefault="006F1D95" w:rsidP="006F1D95">
      <w:pPr>
        <w:spacing w:before="160"/>
        <w:ind w:left="504" w:hanging="504"/>
        <w:jc w:val="both"/>
        <w:rPr>
          <w:snapToGrid w:val="0"/>
          <w:szCs w:val="22"/>
        </w:rPr>
      </w:pPr>
      <w:r w:rsidRPr="00AE4213" w:rsidDel="00E26C63">
        <w:rPr>
          <w:snapToGrid w:val="0"/>
          <w:szCs w:val="22"/>
        </w:rPr>
        <w:t xml:space="preserve"> </w:t>
      </w:r>
      <w:r w:rsidRPr="00AE4213">
        <w:rPr>
          <w:snapToGrid w:val="0"/>
          <w:szCs w:val="22"/>
        </w:rPr>
        <w:t>(a)</w:t>
      </w:r>
      <w:r w:rsidRPr="00AE4213">
        <w:rPr>
          <w:snapToGrid w:val="0"/>
          <w:szCs w:val="22"/>
        </w:rPr>
        <w:tab/>
        <w:t xml:space="preserve">Calculate the </w:t>
      </w:r>
      <w:r w:rsidR="001F3822">
        <w:rPr>
          <w:snapToGrid w:val="0"/>
          <w:szCs w:val="22"/>
        </w:rPr>
        <w:t xml:space="preserve">taxable income and </w:t>
      </w:r>
      <w:r w:rsidRPr="00AE4213">
        <w:rPr>
          <w:snapToGrid w:val="0"/>
          <w:szCs w:val="22"/>
        </w:rPr>
        <w:t>income tax payable</w:t>
      </w:r>
      <w:r>
        <w:rPr>
          <w:snapToGrid w:val="0"/>
          <w:szCs w:val="22"/>
        </w:rPr>
        <w:t xml:space="preserve"> for </w:t>
      </w:r>
      <w:r w:rsidR="00024110">
        <w:rPr>
          <w:snapToGrid w:val="0"/>
          <w:szCs w:val="22"/>
        </w:rPr>
        <w:t>2015</w:t>
      </w:r>
      <w:r w:rsidR="00D74E15">
        <w:rPr>
          <w:snapToGrid w:val="0"/>
          <w:szCs w:val="22"/>
        </w:rPr>
        <w:t xml:space="preserve">. </w:t>
      </w:r>
    </w:p>
    <w:p w:rsidR="006F1D95" w:rsidRPr="00AE4213" w:rsidRDefault="00D74E15" w:rsidP="006F1D95">
      <w:pPr>
        <w:spacing w:before="160"/>
        <w:ind w:left="504" w:hanging="504"/>
        <w:jc w:val="both"/>
        <w:rPr>
          <w:snapToGrid w:val="0"/>
          <w:szCs w:val="22"/>
        </w:rPr>
      </w:pPr>
      <w:r>
        <w:rPr>
          <w:snapToGrid w:val="0"/>
          <w:szCs w:val="22"/>
        </w:rPr>
        <w:t>(b)</w:t>
      </w:r>
      <w:r>
        <w:rPr>
          <w:snapToGrid w:val="0"/>
          <w:szCs w:val="22"/>
        </w:rPr>
        <w:tab/>
        <w:t>Prepare a</w:t>
      </w:r>
      <w:r w:rsidR="001F3822">
        <w:rPr>
          <w:snapToGrid w:val="0"/>
          <w:szCs w:val="22"/>
        </w:rPr>
        <w:t xml:space="preserve"> </w:t>
      </w:r>
      <w:r w:rsidR="006F1D95" w:rsidRPr="00AE4213">
        <w:rPr>
          <w:snapToGrid w:val="0"/>
          <w:szCs w:val="22"/>
        </w:rPr>
        <w:t xml:space="preserve">schedule of </w:t>
      </w:r>
      <w:r w:rsidR="001F3822">
        <w:rPr>
          <w:snapToGrid w:val="0"/>
          <w:szCs w:val="22"/>
        </w:rPr>
        <w:t xml:space="preserve">any </w:t>
      </w:r>
      <w:r w:rsidR="006F1D95" w:rsidRPr="00AE4213">
        <w:rPr>
          <w:snapToGrid w:val="0"/>
          <w:szCs w:val="22"/>
        </w:rPr>
        <w:t>future taxable</w:t>
      </w:r>
      <w:r w:rsidR="006F1D95">
        <w:rPr>
          <w:snapToGrid w:val="0"/>
          <w:szCs w:val="22"/>
        </w:rPr>
        <w:t>/</w:t>
      </w:r>
      <w:r>
        <w:rPr>
          <w:snapToGrid w:val="0"/>
          <w:szCs w:val="22"/>
        </w:rPr>
        <w:t>deductible amounts</w:t>
      </w:r>
      <w:r w:rsidR="006F1D95" w:rsidRPr="00AE4213">
        <w:rPr>
          <w:snapToGrid w:val="0"/>
          <w:szCs w:val="22"/>
        </w:rPr>
        <w:t xml:space="preserve"> at the end of </w:t>
      </w:r>
      <w:r w:rsidR="00024110">
        <w:rPr>
          <w:snapToGrid w:val="0"/>
          <w:szCs w:val="22"/>
        </w:rPr>
        <w:t>2015</w:t>
      </w:r>
      <w:r w:rsidR="006F1D95" w:rsidRPr="00AE4213">
        <w:rPr>
          <w:snapToGrid w:val="0"/>
          <w:szCs w:val="22"/>
        </w:rPr>
        <w:t>.</w:t>
      </w:r>
      <w:r>
        <w:rPr>
          <w:snapToGrid w:val="0"/>
          <w:szCs w:val="22"/>
        </w:rPr>
        <w:t xml:space="preserve"> </w:t>
      </w:r>
    </w:p>
    <w:p w:rsidR="006F1D95" w:rsidRPr="00AE4213" w:rsidRDefault="006F1D95" w:rsidP="006F1D95">
      <w:pPr>
        <w:spacing w:before="160"/>
        <w:ind w:left="504" w:hanging="504"/>
        <w:jc w:val="both"/>
        <w:rPr>
          <w:snapToGrid w:val="0"/>
          <w:szCs w:val="22"/>
        </w:rPr>
      </w:pPr>
      <w:r w:rsidRPr="00AE4213">
        <w:rPr>
          <w:snapToGrid w:val="0"/>
          <w:szCs w:val="22"/>
        </w:rPr>
        <w:lastRenderedPageBreak/>
        <w:t>(c)</w:t>
      </w:r>
      <w:r w:rsidRPr="00AE4213">
        <w:rPr>
          <w:snapToGrid w:val="0"/>
          <w:szCs w:val="22"/>
        </w:rPr>
        <w:tab/>
        <w:t xml:space="preserve">Prepare a </w:t>
      </w:r>
      <w:r w:rsidR="00D74E15">
        <w:rPr>
          <w:snapToGrid w:val="0"/>
          <w:szCs w:val="22"/>
        </w:rPr>
        <w:t xml:space="preserve">continuity </w:t>
      </w:r>
      <w:r w:rsidRPr="00AE4213">
        <w:rPr>
          <w:snapToGrid w:val="0"/>
          <w:szCs w:val="22"/>
        </w:rPr>
        <w:t>schedule</w:t>
      </w:r>
      <w:r w:rsidR="00D74E15">
        <w:rPr>
          <w:snapToGrid w:val="0"/>
          <w:szCs w:val="22"/>
        </w:rPr>
        <w:t>(s)</w:t>
      </w:r>
      <w:r w:rsidRPr="00AE4213">
        <w:rPr>
          <w:snapToGrid w:val="0"/>
          <w:szCs w:val="22"/>
        </w:rPr>
        <w:t xml:space="preserve"> of </w:t>
      </w:r>
      <w:r w:rsidR="001F3822">
        <w:rPr>
          <w:snapToGrid w:val="0"/>
          <w:szCs w:val="22"/>
        </w:rPr>
        <w:t xml:space="preserve">the </w:t>
      </w:r>
      <w:r w:rsidRPr="00AE4213">
        <w:rPr>
          <w:snapToGrid w:val="0"/>
          <w:szCs w:val="22"/>
        </w:rPr>
        <w:t>future</w:t>
      </w:r>
      <w:r>
        <w:rPr>
          <w:snapToGrid w:val="0"/>
          <w:szCs w:val="22"/>
        </w:rPr>
        <w:t xml:space="preserve"> income</w:t>
      </w:r>
      <w:r w:rsidRPr="00AE4213">
        <w:rPr>
          <w:snapToGrid w:val="0"/>
          <w:szCs w:val="22"/>
        </w:rPr>
        <w:t xml:space="preserve"> tax asset and</w:t>
      </w:r>
      <w:r w:rsidR="001F3822">
        <w:rPr>
          <w:snapToGrid w:val="0"/>
          <w:szCs w:val="22"/>
        </w:rPr>
        <w:t>/or</w:t>
      </w:r>
      <w:r w:rsidRPr="00AE4213">
        <w:rPr>
          <w:snapToGrid w:val="0"/>
          <w:szCs w:val="22"/>
        </w:rPr>
        <w:t xml:space="preserve"> </w:t>
      </w:r>
      <w:r w:rsidR="001F3822">
        <w:rPr>
          <w:snapToGrid w:val="0"/>
          <w:szCs w:val="22"/>
        </w:rPr>
        <w:t>future</w:t>
      </w:r>
      <w:r>
        <w:rPr>
          <w:snapToGrid w:val="0"/>
          <w:szCs w:val="22"/>
        </w:rPr>
        <w:t xml:space="preserve"> income tax </w:t>
      </w:r>
      <w:r w:rsidRPr="00AE4213">
        <w:rPr>
          <w:snapToGrid w:val="0"/>
          <w:szCs w:val="22"/>
        </w:rPr>
        <w:t xml:space="preserve">liability at the end of </w:t>
      </w:r>
      <w:r w:rsidR="00024110">
        <w:rPr>
          <w:snapToGrid w:val="0"/>
          <w:szCs w:val="22"/>
        </w:rPr>
        <w:t>2015</w:t>
      </w:r>
      <w:r w:rsidRPr="00AE4213">
        <w:rPr>
          <w:snapToGrid w:val="0"/>
          <w:szCs w:val="22"/>
        </w:rPr>
        <w:t>.</w:t>
      </w:r>
      <w:r w:rsidR="00D74E15">
        <w:rPr>
          <w:snapToGrid w:val="0"/>
          <w:szCs w:val="22"/>
        </w:rPr>
        <w:t xml:space="preserve"> </w:t>
      </w:r>
    </w:p>
    <w:p w:rsidR="006F1D95" w:rsidRPr="00AE4213" w:rsidRDefault="001F3822" w:rsidP="006F1D95">
      <w:pPr>
        <w:spacing w:before="160"/>
        <w:ind w:left="504" w:hanging="504"/>
        <w:jc w:val="both"/>
        <w:rPr>
          <w:snapToGrid w:val="0"/>
          <w:szCs w:val="22"/>
        </w:rPr>
      </w:pPr>
      <w:r>
        <w:rPr>
          <w:snapToGrid w:val="0"/>
          <w:szCs w:val="22"/>
        </w:rPr>
        <w:t>(d)</w:t>
      </w:r>
      <w:r>
        <w:rPr>
          <w:snapToGrid w:val="0"/>
          <w:szCs w:val="22"/>
        </w:rPr>
        <w:tab/>
        <w:t>Calculate the</w:t>
      </w:r>
      <w:r w:rsidR="006F1D95" w:rsidRPr="00AE4213">
        <w:rPr>
          <w:snapToGrid w:val="0"/>
          <w:szCs w:val="22"/>
        </w:rPr>
        <w:t xml:space="preserve"> future </w:t>
      </w:r>
      <w:r>
        <w:rPr>
          <w:snapToGrid w:val="0"/>
          <w:szCs w:val="22"/>
        </w:rPr>
        <w:t xml:space="preserve">income </w:t>
      </w:r>
      <w:r w:rsidR="006F1D95" w:rsidRPr="00AE4213">
        <w:rPr>
          <w:snapToGrid w:val="0"/>
          <w:szCs w:val="22"/>
        </w:rPr>
        <w:t xml:space="preserve">tax expense (benefit) for </w:t>
      </w:r>
      <w:r w:rsidR="00024110">
        <w:rPr>
          <w:snapToGrid w:val="0"/>
          <w:szCs w:val="22"/>
        </w:rPr>
        <w:t>2015</w:t>
      </w:r>
      <w:r w:rsidR="00F23FBF">
        <w:rPr>
          <w:snapToGrid w:val="0"/>
          <w:szCs w:val="22"/>
        </w:rPr>
        <w:t>.</w:t>
      </w:r>
    </w:p>
    <w:p w:rsidR="006F1D95" w:rsidRPr="00AE4213" w:rsidRDefault="006F1D95" w:rsidP="006F1D95">
      <w:pPr>
        <w:spacing w:before="160"/>
        <w:ind w:left="504" w:hanging="504"/>
        <w:jc w:val="both"/>
        <w:rPr>
          <w:snapToGrid w:val="0"/>
          <w:szCs w:val="22"/>
        </w:rPr>
      </w:pPr>
      <w:r w:rsidRPr="00AE4213">
        <w:rPr>
          <w:snapToGrid w:val="0"/>
          <w:szCs w:val="22"/>
        </w:rPr>
        <w:t>(e)</w:t>
      </w:r>
      <w:r w:rsidRPr="00AE4213">
        <w:rPr>
          <w:snapToGrid w:val="0"/>
          <w:szCs w:val="22"/>
        </w:rPr>
        <w:tab/>
      </w:r>
      <w:r>
        <w:rPr>
          <w:snapToGrid w:val="0"/>
          <w:szCs w:val="22"/>
        </w:rPr>
        <w:t>Prepare the</w:t>
      </w:r>
      <w:r w:rsidRPr="00AE4213">
        <w:rPr>
          <w:snapToGrid w:val="0"/>
          <w:szCs w:val="22"/>
        </w:rPr>
        <w:t xml:space="preserve"> journal </w:t>
      </w:r>
      <w:r w:rsidR="00B614DC" w:rsidRPr="00AE4213">
        <w:rPr>
          <w:snapToGrid w:val="0"/>
          <w:szCs w:val="22"/>
        </w:rPr>
        <w:t>entry</w:t>
      </w:r>
      <w:r w:rsidR="00B614DC">
        <w:rPr>
          <w:snapToGrid w:val="0"/>
          <w:szCs w:val="22"/>
        </w:rPr>
        <w:t xml:space="preserve"> (</w:t>
      </w:r>
      <w:proofErr w:type="spellStart"/>
      <w:r>
        <w:rPr>
          <w:snapToGrid w:val="0"/>
          <w:szCs w:val="22"/>
        </w:rPr>
        <w:t>ies</w:t>
      </w:r>
      <w:proofErr w:type="spellEnd"/>
      <w:r>
        <w:rPr>
          <w:snapToGrid w:val="0"/>
          <w:szCs w:val="22"/>
        </w:rPr>
        <w:t>)</w:t>
      </w:r>
      <w:r w:rsidRPr="00AE4213">
        <w:rPr>
          <w:snapToGrid w:val="0"/>
          <w:szCs w:val="22"/>
        </w:rPr>
        <w:t xml:space="preserve"> recording income tax expense, income tax </w:t>
      </w:r>
      <w:r w:rsidR="00D20699" w:rsidRPr="00AE4213">
        <w:rPr>
          <w:snapToGrid w:val="0"/>
          <w:szCs w:val="22"/>
        </w:rPr>
        <w:t>payable</w:t>
      </w:r>
      <w:r w:rsidRPr="00AE4213">
        <w:rPr>
          <w:snapToGrid w:val="0"/>
          <w:szCs w:val="22"/>
        </w:rPr>
        <w:t xml:space="preserve"> and </w:t>
      </w:r>
      <w:r w:rsidR="001F3822">
        <w:rPr>
          <w:snapToGrid w:val="0"/>
          <w:szCs w:val="22"/>
        </w:rPr>
        <w:t>future</w:t>
      </w:r>
      <w:r w:rsidRPr="00AE4213">
        <w:rPr>
          <w:snapToGrid w:val="0"/>
          <w:szCs w:val="22"/>
        </w:rPr>
        <w:t xml:space="preserve"> income taxes for </w:t>
      </w:r>
      <w:r w:rsidR="00024110">
        <w:rPr>
          <w:snapToGrid w:val="0"/>
          <w:szCs w:val="22"/>
        </w:rPr>
        <w:t>2015</w:t>
      </w:r>
      <w:r w:rsidRPr="00AE4213">
        <w:rPr>
          <w:snapToGrid w:val="0"/>
          <w:szCs w:val="22"/>
        </w:rPr>
        <w:t>.</w:t>
      </w:r>
      <w:r w:rsidR="00D74E15">
        <w:rPr>
          <w:snapToGrid w:val="0"/>
          <w:szCs w:val="22"/>
        </w:rPr>
        <w:t xml:space="preserve"> </w:t>
      </w:r>
    </w:p>
    <w:p w:rsidR="006F1D95" w:rsidRDefault="006F1D95" w:rsidP="006F1D95">
      <w:pPr>
        <w:spacing w:before="160"/>
        <w:ind w:left="504" w:hanging="504"/>
        <w:jc w:val="both"/>
        <w:rPr>
          <w:snapToGrid w:val="0"/>
          <w:szCs w:val="22"/>
        </w:rPr>
      </w:pPr>
      <w:r w:rsidRPr="00AE4213">
        <w:rPr>
          <w:snapToGrid w:val="0"/>
          <w:szCs w:val="22"/>
        </w:rPr>
        <w:t>(f)</w:t>
      </w:r>
      <w:r w:rsidRPr="00AE4213">
        <w:rPr>
          <w:snapToGrid w:val="0"/>
          <w:szCs w:val="22"/>
        </w:rPr>
        <w:tab/>
      </w:r>
      <w:r>
        <w:rPr>
          <w:snapToGrid w:val="0"/>
          <w:szCs w:val="22"/>
        </w:rPr>
        <w:t xml:space="preserve">How would the </w:t>
      </w:r>
      <w:r w:rsidRPr="00AE4213">
        <w:rPr>
          <w:snapToGrid w:val="0"/>
          <w:szCs w:val="22"/>
        </w:rPr>
        <w:t xml:space="preserve">income tax expense and any </w:t>
      </w:r>
      <w:r w:rsidR="001F3822">
        <w:rPr>
          <w:snapToGrid w:val="0"/>
          <w:szCs w:val="22"/>
        </w:rPr>
        <w:t>future</w:t>
      </w:r>
      <w:r w:rsidRPr="00AE4213">
        <w:rPr>
          <w:snapToGrid w:val="0"/>
          <w:szCs w:val="22"/>
        </w:rPr>
        <w:t xml:space="preserve"> income taxes be disclosed on the financial statements</w:t>
      </w:r>
      <w:r w:rsidR="001F3822">
        <w:rPr>
          <w:snapToGrid w:val="0"/>
          <w:szCs w:val="22"/>
        </w:rPr>
        <w:t xml:space="preserve"> (i.e. the Statement of Comprehensive Income and the Statement of Financial Position)</w:t>
      </w:r>
      <w:r>
        <w:rPr>
          <w:snapToGrid w:val="0"/>
          <w:szCs w:val="22"/>
        </w:rPr>
        <w:t>?</w:t>
      </w:r>
      <w:r w:rsidR="00D74E15">
        <w:rPr>
          <w:snapToGrid w:val="0"/>
          <w:szCs w:val="22"/>
        </w:rPr>
        <w:t xml:space="preserve"> </w:t>
      </w:r>
    </w:p>
    <w:p w:rsidR="001F3822" w:rsidRPr="00AE4213" w:rsidRDefault="001F3822" w:rsidP="006F1D95">
      <w:pPr>
        <w:spacing w:before="160"/>
        <w:ind w:left="504" w:hanging="504"/>
        <w:jc w:val="both"/>
        <w:rPr>
          <w:snapToGrid w:val="0"/>
          <w:szCs w:val="22"/>
        </w:rPr>
      </w:pPr>
      <w:r>
        <w:rPr>
          <w:snapToGrid w:val="0"/>
          <w:szCs w:val="22"/>
        </w:rPr>
        <w:t>(g)</w:t>
      </w:r>
      <w:r>
        <w:rPr>
          <w:snapToGrid w:val="0"/>
          <w:szCs w:val="22"/>
        </w:rPr>
        <w:tab/>
        <w:t>Prepare the Eff</w:t>
      </w:r>
      <w:r w:rsidR="00024110">
        <w:rPr>
          <w:snapToGrid w:val="0"/>
          <w:szCs w:val="22"/>
        </w:rPr>
        <w:t>ective Tax Rate Note to the 2015</w:t>
      </w:r>
      <w:r>
        <w:rPr>
          <w:snapToGrid w:val="0"/>
          <w:szCs w:val="22"/>
        </w:rPr>
        <w:t xml:space="preserve"> financial statements.</w:t>
      </w:r>
      <w:r w:rsidR="00D74E15">
        <w:rPr>
          <w:snapToGrid w:val="0"/>
          <w:szCs w:val="22"/>
        </w:rPr>
        <w:t xml:space="preserve"> </w:t>
      </w:r>
    </w:p>
    <w:p w:rsidR="00820A2A" w:rsidRDefault="00820A2A">
      <w:pPr>
        <w:rPr>
          <w:u w:val="single"/>
        </w:rPr>
      </w:pPr>
    </w:p>
    <w:sectPr w:rsidR="00820A2A" w:rsidSect="00CD6C74">
      <w:headerReference w:type="first" r:id="rId8"/>
      <w:footerReference w:type="first" r:id="rId9"/>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7B9" w:rsidRDefault="000827B9">
      <w:r>
        <w:separator/>
      </w:r>
    </w:p>
  </w:endnote>
  <w:endnote w:type="continuationSeparator" w:id="0">
    <w:p w:rsidR="000827B9" w:rsidRDefault="000827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E15" w:rsidRPr="00AE3FD7" w:rsidRDefault="00D74E15" w:rsidP="00820A2A">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7B9" w:rsidRDefault="000827B9">
      <w:r>
        <w:separator/>
      </w:r>
    </w:p>
  </w:footnote>
  <w:footnote w:type="continuationSeparator" w:id="0">
    <w:p w:rsidR="000827B9" w:rsidRDefault="000827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E15" w:rsidRDefault="00D74E15" w:rsidP="00820A2A">
    <w:pPr>
      <w:pStyle w:val="Header"/>
      <w:ind w:hanging="360"/>
      <w:jc w:val="center"/>
    </w:pPr>
    <w:r>
      <w:rPr>
        <w:noProof/>
        <w:lang w:val="en-CA" w:eastAsia="en-CA"/>
      </w:rPr>
      <w:drawing>
        <wp:inline distT="0" distB="0" distL="0" distR="0">
          <wp:extent cx="7205345" cy="897255"/>
          <wp:effectExtent l="0" t="0" r="8255" b="0"/>
          <wp:docPr id="3" name="Picture 3"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052-TelferLheader"/>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05345" cy="89725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E333B"/>
    <w:multiLevelType w:val="hybridMultilevel"/>
    <w:tmpl w:val="543C163E"/>
    <w:lvl w:ilvl="0" w:tplc="AD24F142">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
    <w:nsid w:val="186214FF"/>
    <w:multiLevelType w:val="hybridMultilevel"/>
    <w:tmpl w:val="C5B672EE"/>
    <w:lvl w:ilvl="0" w:tplc="AD24F142">
      <w:start w:val="1"/>
      <w:numFmt w:val="lowerLetter"/>
      <w:lvlText w:val="(%1)"/>
      <w:lvlJc w:val="left"/>
      <w:pPr>
        <w:tabs>
          <w:tab w:val="num" w:pos="360"/>
        </w:tabs>
        <w:ind w:left="360" w:hanging="360"/>
      </w:pPr>
      <w:rPr>
        <w:rFonts w:hint="default"/>
      </w:rPr>
    </w:lvl>
    <w:lvl w:ilvl="1" w:tplc="10090019">
      <w:start w:val="1"/>
      <w:numFmt w:val="lowerLetter"/>
      <w:lvlText w:val="%2."/>
      <w:lvlJc w:val="left"/>
      <w:pPr>
        <w:tabs>
          <w:tab w:val="num" w:pos="1080"/>
        </w:tabs>
        <w:ind w:left="1080" w:hanging="360"/>
      </w:pPr>
    </w:lvl>
    <w:lvl w:ilvl="2" w:tplc="1009001B" w:tentative="1">
      <w:start w:val="1"/>
      <w:numFmt w:val="lowerRoman"/>
      <w:lvlText w:val="%3."/>
      <w:lvlJc w:val="right"/>
      <w:pPr>
        <w:tabs>
          <w:tab w:val="num" w:pos="1800"/>
        </w:tabs>
        <w:ind w:left="1800" w:hanging="180"/>
      </w:pPr>
    </w:lvl>
    <w:lvl w:ilvl="3" w:tplc="1009000F" w:tentative="1">
      <w:start w:val="1"/>
      <w:numFmt w:val="decimal"/>
      <w:lvlText w:val="%4."/>
      <w:lvlJc w:val="left"/>
      <w:pPr>
        <w:tabs>
          <w:tab w:val="num" w:pos="2520"/>
        </w:tabs>
        <w:ind w:left="2520" w:hanging="360"/>
      </w:pPr>
    </w:lvl>
    <w:lvl w:ilvl="4" w:tplc="10090019" w:tentative="1">
      <w:start w:val="1"/>
      <w:numFmt w:val="lowerLetter"/>
      <w:lvlText w:val="%5."/>
      <w:lvlJc w:val="left"/>
      <w:pPr>
        <w:tabs>
          <w:tab w:val="num" w:pos="3240"/>
        </w:tabs>
        <w:ind w:left="3240" w:hanging="360"/>
      </w:pPr>
    </w:lvl>
    <w:lvl w:ilvl="5" w:tplc="1009001B" w:tentative="1">
      <w:start w:val="1"/>
      <w:numFmt w:val="lowerRoman"/>
      <w:lvlText w:val="%6."/>
      <w:lvlJc w:val="right"/>
      <w:pPr>
        <w:tabs>
          <w:tab w:val="num" w:pos="3960"/>
        </w:tabs>
        <w:ind w:left="3960" w:hanging="180"/>
      </w:pPr>
    </w:lvl>
    <w:lvl w:ilvl="6" w:tplc="1009000F" w:tentative="1">
      <w:start w:val="1"/>
      <w:numFmt w:val="decimal"/>
      <w:lvlText w:val="%7."/>
      <w:lvlJc w:val="left"/>
      <w:pPr>
        <w:tabs>
          <w:tab w:val="num" w:pos="4680"/>
        </w:tabs>
        <w:ind w:left="4680" w:hanging="360"/>
      </w:pPr>
    </w:lvl>
    <w:lvl w:ilvl="7" w:tplc="10090019" w:tentative="1">
      <w:start w:val="1"/>
      <w:numFmt w:val="lowerLetter"/>
      <w:lvlText w:val="%8."/>
      <w:lvlJc w:val="left"/>
      <w:pPr>
        <w:tabs>
          <w:tab w:val="num" w:pos="5400"/>
        </w:tabs>
        <w:ind w:left="5400" w:hanging="360"/>
      </w:pPr>
    </w:lvl>
    <w:lvl w:ilvl="8" w:tplc="1009001B" w:tentative="1">
      <w:start w:val="1"/>
      <w:numFmt w:val="lowerRoman"/>
      <w:lvlText w:val="%9."/>
      <w:lvlJc w:val="right"/>
      <w:pPr>
        <w:tabs>
          <w:tab w:val="num" w:pos="6120"/>
        </w:tabs>
        <w:ind w:left="6120" w:hanging="180"/>
      </w:pPr>
    </w:lvl>
  </w:abstractNum>
  <w:abstractNum w:abstractNumId="2">
    <w:nsid w:val="37C954FA"/>
    <w:multiLevelType w:val="hybridMultilevel"/>
    <w:tmpl w:val="6B4A6F62"/>
    <w:lvl w:ilvl="0" w:tplc="0409000F">
      <w:start w:val="1"/>
      <w:numFmt w:val="decimal"/>
      <w:lvlText w:val="%1."/>
      <w:lvlJc w:val="left"/>
      <w:pPr>
        <w:ind w:left="1170" w:hanging="360"/>
      </w:pPr>
    </w:lvl>
    <w:lvl w:ilvl="1" w:tplc="10090019" w:tentative="1">
      <w:start w:val="1"/>
      <w:numFmt w:val="lowerLetter"/>
      <w:lvlText w:val="%2."/>
      <w:lvlJc w:val="left"/>
      <w:pPr>
        <w:ind w:left="1890" w:hanging="360"/>
      </w:pPr>
    </w:lvl>
    <w:lvl w:ilvl="2" w:tplc="1009001B" w:tentative="1">
      <w:start w:val="1"/>
      <w:numFmt w:val="lowerRoman"/>
      <w:lvlText w:val="%3."/>
      <w:lvlJc w:val="right"/>
      <w:pPr>
        <w:ind w:left="2610" w:hanging="180"/>
      </w:pPr>
    </w:lvl>
    <w:lvl w:ilvl="3" w:tplc="1009000F" w:tentative="1">
      <w:start w:val="1"/>
      <w:numFmt w:val="decimal"/>
      <w:lvlText w:val="%4."/>
      <w:lvlJc w:val="left"/>
      <w:pPr>
        <w:ind w:left="3330" w:hanging="360"/>
      </w:pPr>
    </w:lvl>
    <w:lvl w:ilvl="4" w:tplc="10090019" w:tentative="1">
      <w:start w:val="1"/>
      <w:numFmt w:val="lowerLetter"/>
      <w:lvlText w:val="%5."/>
      <w:lvlJc w:val="left"/>
      <w:pPr>
        <w:ind w:left="4050" w:hanging="360"/>
      </w:pPr>
    </w:lvl>
    <w:lvl w:ilvl="5" w:tplc="1009001B" w:tentative="1">
      <w:start w:val="1"/>
      <w:numFmt w:val="lowerRoman"/>
      <w:lvlText w:val="%6."/>
      <w:lvlJc w:val="right"/>
      <w:pPr>
        <w:ind w:left="4770" w:hanging="180"/>
      </w:pPr>
    </w:lvl>
    <w:lvl w:ilvl="6" w:tplc="1009000F" w:tentative="1">
      <w:start w:val="1"/>
      <w:numFmt w:val="decimal"/>
      <w:lvlText w:val="%7."/>
      <w:lvlJc w:val="left"/>
      <w:pPr>
        <w:ind w:left="5490" w:hanging="360"/>
      </w:pPr>
    </w:lvl>
    <w:lvl w:ilvl="7" w:tplc="10090019" w:tentative="1">
      <w:start w:val="1"/>
      <w:numFmt w:val="lowerLetter"/>
      <w:lvlText w:val="%8."/>
      <w:lvlJc w:val="left"/>
      <w:pPr>
        <w:ind w:left="6210" w:hanging="360"/>
      </w:pPr>
    </w:lvl>
    <w:lvl w:ilvl="8" w:tplc="1009001B" w:tentative="1">
      <w:start w:val="1"/>
      <w:numFmt w:val="lowerRoman"/>
      <w:lvlText w:val="%9."/>
      <w:lvlJc w:val="right"/>
      <w:pPr>
        <w:ind w:left="6930" w:hanging="180"/>
      </w:pPr>
    </w:lvl>
  </w:abstractNum>
  <w:abstractNum w:abstractNumId="3">
    <w:nsid w:val="4B4C63C4"/>
    <w:multiLevelType w:val="hybridMultilevel"/>
    <w:tmpl w:val="1088AEE4"/>
    <w:lvl w:ilvl="0" w:tplc="AD24F142">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4">
    <w:nsid w:val="5B1332AF"/>
    <w:multiLevelType w:val="hybridMultilevel"/>
    <w:tmpl w:val="29146758"/>
    <w:lvl w:ilvl="0" w:tplc="AD24F142">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
    <w:nsid w:val="7E37593E"/>
    <w:multiLevelType w:val="hybridMultilevel"/>
    <w:tmpl w:val="C89814D8"/>
    <w:lvl w:ilvl="0" w:tplc="04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1"/>
    <w:footnote w:id="0"/>
  </w:footnotePr>
  <w:endnotePr>
    <w:endnote w:id="-1"/>
    <w:endnote w:id="0"/>
  </w:endnotePr>
  <w:compat/>
  <w:rsids>
    <w:rsidRoot w:val="0088365A"/>
    <w:rsid w:val="00000D1C"/>
    <w:rsid w:val="00013543"/>
    <w:rsid w:val="00024110"/>
    <w:rsid w:val="00024625"/>
    <w:rsid w:val="000827B9"/>
    <w:rsid w:val="000D6D4A"/>
    <w:rsid w:val="000E71BF"/>
    <w:rsid w:val="00107AD3"/>
    <w:rsid w:val="00116D5D"/>
    <w:rsid w:val="001265D9"/>
    <w:rsid w:val="00126BA6"/>
    <w:rsid w:val="001313B4"/>
    <w:rsid w:val="00140730"/>
    <w:rsid w:val="00151DDF"/>
    <w:rsid w:val="001A657D"/>
    <w:rsid w:val="001B6201"/>
    <w:rsid w:val="001C01FA"/>
    <w:rsid w:val="001F3822"/>
    <w:rsid w:val="001F5EC2"/>
    <w:rsid w:val="00267405"/>
    <w:rsid w:val="00270E5B"/>
    <w:rsid w:val="00287097"/>
    <w:rsid w:val="002915B4"/>
    <w:rsid w:val="00297866"/>
    <w:rsid w:val="002F48C4"/>
    <w:rsid w:val="00300C57"/>
    <w:rsid w:val="00310DB4"/>
    <w:rsid w:val="0031105B"/>
    <w:rsid w:val="00341134"/>
    <w:rsid w:val="00375876"/>
    <w:rsid w:val="003924B5"/>
    <w:rsid w:val="003C1141"/>
    <w:rsid w:val="003C51AF"/>
    <w:rsid w:val="003F586A"/>
    <w:rsid w:val="00406981"/>
    <w:rsid w:val="00442440"/>
    <w:rsid w:val="00476806"/>
    <w:rsid w:val="00486B04"/>
    <w:rsid w:val="0048773D"/>
    <w:rsid w:val="0049480E"/>
    <w:rsid w:val="004B67D9"/>
    <w:rsid w:val="004D01CE"/>
    <w:rsid w:val="004D5C9D"/>
    <w:rsid w:val="005002B0"/>
    <w:rsid w:val="005052E9"/>
    <w:rsid w:val="00522192"/>
    <w:rsid w:val="0052262F"/>
    <w:rsid w:val="00533AC1"/>
    <w:rsid w:val="00534369"/>
    <w:rsid w:val="00534E8C"/>
    <w:rsid w:val="00557DA9"/>
    <w:rsid w:val="005752B2"/>
    <w:rsid w:val="00596EF9"/>
    <w:rsid w:val="005A6B24"/>
    <w:rsid w:val="005B54E9"/>
    <w:rsid w:val="005C630D"/>
    <w:rsid w:val="005D09F5"/>
    <w:rsid w:val="005D12A3"/>
    <w:rsid w:val="005D1A06"/>
    <w:rsid w:val="005E13B1"/>
    <w:rsid w:val="005E6D34"/>
    <w:rsid w:val="005F6DE0"/>
    <w:rsid w:val="006429C6"/>
    <w:rsid w:val="00671F50"/>
    <w:rsid w:val="00686F9C"/>
    <w:rsid w:val="006911D5"/>
    <w:rsid w:val="00696FFE"/>
    <w:rsid w:val="006A35BC"/>
    <w:rsid w:val="006C777E"/>
    <w:rsid w:val="006E6C19"/>
    <w:rsid w:val="006F1D95"/>
    <w:rsid w:val="0071510E"/>
    <w:rsid w:val="00722098"/>
    <w:rsid w:val="007249A6"/>
    <w:rsid w:val="00735D56"/>
    <w:rsid w:val="00740BC7"/>
    <w:rsid w:val="00744261"/>
    <w:rsid w:val="00755169"/>
    <w:rsid w:val="00776181"/>
    <w:rsid w:val="0077759A"/>
    <w:rsid w:val="007C26E5"/>
    <w:rsid w:val="007E2277"/>
    <w:rsid w:val="007E405E"/>
    <w:rsid w:val="007E4716"/>
    <w:rsid w:val="007F0C79"/>
    <w:rsid w:val="007F0DCA"/>
    <w:rsid w:val="00820A2A"/>
    <w:rsid w:val="00827095"/>
    <w:rsid w:val="008278B5"/>
    <w:rsid w:val="0084513B"/>
    <w:rsid w:val="0087162D"/>
    <w:rsid w:val="0087199B"/>
    <w:rsid w:val="0088365A"/>
    <w:rsid w:val="008C03F4"/>
    <w:rsid w:val="009123EE"/>
    <w:rsid w:val="00925D7B"/>
    <w:rsid w:val="00957E16"/>
    <w:rsid w:val="00963CDD"/>
    <w:rsid w:val="0099344E"/>
    <w:rsid w:val="009D06CD"/>
    <w:rsid w:val="00A23ABE"/>
    <w:rsid w:val="00A34B25"/>
    <w:rsid w:val="00AA2705"/>
    <w:rsid w:val="00AC496E"/>
    <w:rsid w:val="00AF0907"/>
    <w:rsid w:val="00AF5BF5"/>
    <w:rsid w:val="00B12887"/>
    <w:rsid w:val="00B3412A"/>
    <w:rsid w:val="00B407E1"/>
    <w:rsid w:val="00B542AD"/>
    <w:rsid w:val="00B614DC"/>
    <w:rsid w:val="00B94199"/>
    <w:rsid w:val="00BB3DCF"/>
    <w:rsid w:val="00BB44D3"/>
    <w:rsid w:val="00BC74CE"/>
    <w:rsid w:val="00BE41D5"/>
    <w:rsid w:val="00BF09AD"/>
    <w:rsid w:val="00C069CC"/>
    <w:rsid w:val="00C23CFD"/>
    <w:rsid w:val="00C27003"/>
    <w:rsid w:val="00C36403"/>
    <w:rsid w:val="00C43B80"/>
    <w:rsid w:val="00C52B51"/>
    <w:rsid w:val="00C97D02"/>
    <w:rsid w:val="00CC01C1"/>
    <w:rsid w:val="00CC14DB"/>
    <w:rsid w:val="00CC15EB"/>
    <w:rsid w:val="00CC2686"/>
    <w:rsid w:val="00CC4089"/>
    <w:rsid w:val="00CD6C74"/>
    <w:rsid w:val="00CE1D38"/>
    <w:rsid w:val="00CE49B9"/>
    <w:rsid w:val="00CF3A6E"/>
    <w:rsid w:val="00CF615C"/>
    <w:rsid w:val="00D20699"/>
    <w:rsid w:val="00D32BFA"/>
    <w:rsid w:val="00D41899"/>
    <w:rsid w:val="00D50B41"/>
    <w:rsid w:val="00D620C6"/>
    <w:rsid w:val="00D7124C"/>
    <w:rsid w:val="00D74E15"/>
    <w:rsid w:val="00D91D6A"/>
    <w:rsid w:val="00D9266E"/>
    <w:rsid w:val="00D97923"/>
    <w:rsid w:val="00DB05EF"/>
    <w:rsid w:val="00DC75A2"/>
    <w:rsid w:val="00DF2AEF"/>
    <w:rsid w:val="00DF6F4C"/>
    <w:rsid w:val="00E00CEB"/>
    <w:rsid w:val="00E02785"/>
    <w:rsid w:val="00E1770E"/>
    <w:rsid w:val="00E341ED"/>
    <w:rsid w:val="00E75972"/>
    <w:rsid w:val="00EB0497"/>
    <w:rsid w:val="00EC4434"/>
    <w:rsid w:val="00F071DF"/>
    <w:rsid w:val="00F16B2B"/>
    <w:rsid w:val="00F23FBF"/>
    <w:rsid w:val="00F434ED"/>
    <w:rsid w:val="00F55CE0"/>
    <w:rsid w:val="00F8228E"/>
    <w:rsid w:val="00FA2C19"/>
    <w:rsid w:val="00FC2B0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C74"/>
    <w:rPr>
      <w:sz w:val="24"/>
      <w:szCs w:val="24"/>
      <w:lang w:eastAsia="en-CA"/>
    </w:rPr>
  </w:style>
  <w:style w:type="paragraph" w:styleId="Heading1">
    <w:name w:val="heading 1"/>
    <w:basedOn w:val="Normal"/>
    <w:next w:val="Normal"/>
    <w:qFormat/>
    <w:rsid w:val="00820A2A"/>
    <w:pPr>
      <w:keepNext/>
      <w:tabs>
        <w:tab w:val="left" w:pos="284"/>
        <w:tab w:val="left" w:pos="567"/>
        <w:tab w:val="right" w:pos="6379"/>
        <w:tab w:val="left" w:pos="6521"/>
        <w:tab w:val="right" w:pos="8222"/>
        <w:tab w:val="left" w:pos="8364"/>
      </w:tabs>
      <w:jc w:val="center"/>
      <w:outlineLvl w:val="0"/>
    </w:pPr>
    <w:rPr>
      <w:b/>
      <w:szCs w:val="20"/>
      <w:lang w:val="fr-CA" w:eastAsia="fr-FR"/>
    </w:rPr>
  </w:style>
  <w:style w:type="paragraph" w:styleId="Heading3">
    <w:name w:val="heading 3"/>
    <w:basedOn w:val="Normal"/>
    <w:next w:val="Normal"/>
    <w:qFormat/>
    <w:rsid w:val="0052262F"/>
    <w:pPr>
      <w:keepNext/>
      <w:spacing w:before="240" w:after="60"/>
      <w:outlineLvl w:val="2"/>
    </w:pPr>
    <w:rPr>
      <w:rFonts w:ascii="Arial" w:hAnsi="Arial" w:cs="Arial"/>
      <w:b/>
      <w:bCs/>
      <w:sz w:val="26"/>
      <w:szCs w:val="26"/>
    </w:rPr>
  </w:style>
  <w:style w:type="paragraph" w:styleId="Heading6">
    <w:name w:val="heading 6"/>
    <w:basedOn w:val="Normal"/>
    <w:next w:val="Normal"/>
    <w:qFormat/>
    <w:rsid w:val="0052262F"/>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20A2A"/>
    <w:pPr>
      <w:tabs>
        <w:tab w:val="center" w:pos="4320"/>
        <w:tab w:val="right" w:pos="8640"/>
      </w:tabs>
    </w:pPr>
    <w:rPr>
      <w:lang w:val="en-US" w:eastAsia="en-US"/>
    </w:rPr>
  </w:style>
  <w:style w:type="paragraph" w:styleId="Footer">
    <w:name w:val="footer"/>
    <w:basedOn w:val="Normal"/>
    <w:rsid w:val="00820A2A"/>
    <w:pPr>
      <w:tabs>
        <w:tab w:val="center" w:pos="4320"/>
        <w:tab w:val="right" w:pos="8640"/>
      </w:tabs>
    </w:pPr>
    <w:rPr>
      <w:lang w:val="en-US" w:eastAsia="en-US"/>
    </w:rPr>
  </w:style>
  <w:style w:type="paragraph" w:styleId="BodyText">
    <w:name w:val="Body Text"/>
    <w:basedOn w:val="Normal"/>
    <w:rsid w:val="00820A2A"/>
    <w:pPr>
      <w:jc w:val="both"/>
    </w:pPr>
    <w:rPr>
      <w:lang w:eastAsia="fr-FR"/>
    </w:rPr>
  </w:style>
  <w:style w:type="paragraph" w:styleId="Title">
    <w:name w:val="Title"/>
    <w:basedOn w:val="Normal"/>
    <w:qFormat/>
    <w:rsid w:val="00820A2A"/>
    <w:pPr>
      <w:tabs>
        <w:tab w:val="right" w:pos="6300"/>
        <w:tab w:val="left" w:pos="6480"/>
        <w:tab w:val="right" w:pos="7740"/>
        <w:tab w:val="left" w:pos="7920"/>
      </w:tabs>
      <w:jc w:val="center"/>
    </w:pPr>
    <w:rPr>
      <w:b/>
      <w:bCs/>
      <w:lang w:eastAsia="fr-FR"/>
    </w:rPr>
  </w:style>
  <w:style w:type="paragraph" w:customStyle="1" w:styleId="BodyLarge">
    <w:name w:val="Body (Large)"/>
    <w:basedOn w:val="Normal"/>
    <w:rsid w:val="0052262F"/>
    <w:pPr>
      <w:spacing w:line="320" w:lineRule="exact"/>
    </w:pPr>
    <w:rPr>
      <w:rFonts w:ascii="Helvetica" w:hAnsi="Helvetica"/>
      <w:b/>
      <w:sz w:val="28"/>
      <w:szCs w:val="20"/>
      <w:lang w:val="en-US" w:eastAsia="en-US"/>
    </w:rPr>
  </w:style>
  <w:style w:type="paragraph" w:styleId="BalloonText">
    <w:name w:val="Balloon Text"/>
    <w:basedOn w:val="Normal"/>
    <w:link w:val="BalloonTextChar"/>
    <w:rsid w:val="009123EE"/>
    <w:rPr>
      <w:rFonts w:ascii="Tahoma" w:hAnsi="Tahoma" w:cs="Tahoma"/>
      <w:sz w:val="16"/>
      <w:szCs w:val="16"/>
    </w:rPr>
  </w:style>
  <w:style w:type="character" w:customStyle="1" w:styleId="BalloonTextChar">
    <w:name w:val="Balloon Text Char"/>
    <w:basedOn w:val="DefaultParagraphFont"/>
    <w:link w:val="BalloonText"/>
    <w:rsid w:val="009123EE"/>
    <w:rPr>
      <w:rFonts w:ascii="Tahoma" w:hAnsi="Tahoma" w:cs="Tahoma"/>
      <w:sz w:val="16"/>
      <w:szCs w:val="16"/>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CA"/>
    </w:rPr>
  </w:style>
  <w:style w:type="paragraph" w:styleId="Heading1">
    <w:name w:val="heading 1"/>
    <w:basedOn w:val="Normal"/>
    <w:next w:val="Normal"/>
    <w:qFormat/>
    <w:rsid w:val="00820A2A"/>
    <w:pPr>
      <w:keepNext/>
      <w:tabs>
        <w:tab w:val="left" w:pos="284"/>
        <w:tab w:val="left" w:pos="567"/>
        <w:tab w:val="right" w:pos="6379"/>
        <w:tab w:val="left" w:pos="6521"/>
        <w:tab w:val="right" w:pos="8222"/>
        <w:tab w:val="left" w:pos="8364"/>
      </w:tabs>
      <w:jc w:val="center"/>
      <w:outlineLvl w:val="0"/>
    </w:pPr>
    <w:rPr>
      <w:b/>
      <w:szCs w:val="20"/>
      <w:lang w:val="fr-CA" w:eastAsia="fr-FR"/>
    </w:rPr>
  </w:style>
  <w:style w:type="paragraph" w:styleId="Heading3">
    <w:name w:val="heading 3"/>
    <w:basedOn w:val="Normal"/>
    <w:next w:val="Normal"/>
    <w:qFormat/>
    <w:rsid w:val="0052262F"/>
    <w:pPr>
      <w:keepNext/>
      <w:spacing w:before="240" w:after="60"/>
      <w:outlineLvl w:val="2"/>
    </w:pPr>
    <w:rPr>
      <w:rFonts w:ascii="Arial" w:hAnsi="Arial" w:cs="Arial"/>
      <w:b/>
      <w:bCs/>
      <w:sz w:val="26"/>
      <w:szCs w:val="26"/>
    </w:rPr>
  </w:style>
  <w:style w:type="paragraph" w:styleId="Heading6">
    <w:name w:val="heading 6"/>
    <w:basedOn w:val="Normal"/>
    <w:next w:val="Normal"/>
    <w:qFormat/>
    <w:rsid w:val="0052262F"/>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20A2A"/>
    <w:pPr>
      <w:tabs>
        <w:tab w:val="center" w:pos="4320"/>
        <w:tab w:val="right" w:pos="8640"/>
      </w:tabs>
    </w:pPr>
    <w:rPr>
      <w:lang w:val="en-US" w:eastAsia="en-US"/>
    </w:rPr>
  </w:style>
  <w:style w:type="paragraph" w:styleId="Footer">
    <w:name w:val="footer"/>
    <w:basedOn w:val="Normal"/>
    <w:rsid w:val="00820A2A"/>
    <w:pPr>
      <w:tabs>
        <w:tab w:val="center" w:pos="4320"/>
        <w:tab w:val="right" w:pos="8640"/>
      </w:tabs>
    </w:pPr>
    <w:rPr>
      <w:lang w:val="en-US" w:eastAsia="en-US"/>
    </w:rPr>
  </w:style>
  <w:style w:type="paragraph" w:styleId="BodyText">
    <w:name w:val="Body Text"/>
    <w:basedOn w:val="Normal"/>
    <w:rsid w:val="00820A2A"/>
    <w:pPr>
      <w:jc w:val="both"/>
    </w:pPr>
    <w:rPr>
      <w:lang w:eastAsia="fr-FR"/>
    </w:rPr>
  </w:style>
  <w:style w:type="paragraph" w:styleId="Title">
    <w:name w:val="Title"/>
    <w:basedOn w:val="Normal"/>
    <w:qFormat/>
    <w:rsid w:val="00820A2A"/>
    <w:pPr>
      <w:tabs>
        <w:tab w:val="right" w:pos="6300"/>
        <w:tab w:val="left" w:pos="6480"/>
        <w:tab w:val="right" w:pos="7740"/>
        <w:tab w:val="left" w:pos="7920"/>
      </w:tabs>
      <w:jc w:val="center"/>
    </w:pPr>
    <w:rPr>
      <w:b/>
      <w:bCs/>
      <w:lang w:eastAsia="fr-FR"/>
    </w:rPr>
  </w:style>
  <w:style w:type="paragraph" w:customStyle="1" w:styleId="BodyLarge">
    <w:name w:val="Body (Large)"/>
    <w:basedOn w:val="Normal"/>
    <w:rsid w:val="0052262F"/>
    <w:pPr>
      <w:spacing w:line="320" w:lineRule="exact"/>
    </w:pPr>
    <w:rPr>
      <w:rFonts w:ascii="Helvetica" w:hAnsi="Helvetica"/>
      <w:b/>
      <w:sz w:val="28"/>
      <w:szCs w:val="20"/>
      <w:lang w:val="en-US" w:eastAsia="en-US"/>
    </w:rPr>
  </w:style>
  <w:style w:type="paragraph" w:styleId="BalloonText">
    <w:name w:val="Balloon Text"/>
    <w:basedOn w:val="Normal"/>
    <w:link w:val="BalloonTextChar"/>
    <w:rsid w:val="009123EE"/>
    <w:rPr>
      <w:rFonts w:ascii="Tahoma" w:hAnsi="Tahoma" w:cs="Tahoma"/>
      <w:sz w:val="16"/>
      <w:szCs w:val="16"/>
    </w:rPr>
  </w:style>
  <w:style w:type="character" w:customStyle="1" w:styleId="BalloonTextChar">
    <w:name w:val="Balloon Text Char"/>
    <w:basedOn w:val="DefaultParagraphFont"/>
    <w:link w:val="BalloonText"/>
    <w:rsid w:val="009123EE"/>
    <w:rPr>
      <w:rFonts w:ascii="Tahoma" w:hAnsi="Tahoma" w:cs="Tahoma"/>
      <w:sz w:val="16"/>
      <w:szCs w:val="16"/>
      <w:lang w:eastAsia="en-C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PART ONE</vt:lpstr>
    </vt:vector>
  </TitlesOfParts>
  <Company/>
  <LinksUpToDate>false</LinksUpToDate>
  <CharactersWithSpaces>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ONE</dc:title>
  <dc:creator>Sheldon</dc:creator>
  <cp:lastModifiedBy>georgia</cp:lastModifiedBy>
  <cp:revision>2</cp:revision>
  <dcterms:created xsi:type="dcterms:W3CDTF">2015-11-16T04:29:00Z</dcterms:created>
  <dcterms:modified xsi:type="dcterms:W3CDTF">2015-11-16T04:29:00Z</dcterms:modified>
</cp:coreProperties>
</file>