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A1B4F3" w14:textId="2EDE5E7A" w:rsidR="008925BD" w:rsidRPr="00DC3410" w:rsidRDefault="00585E2A" w:rsidP="005014EA">
      <w:pPr>
        <w:jc w:val="center"/>
        <w:rPr>
          <w:rFonts w:ascii="Cambria" w:hAnsi="Cambria"/>
          <w:szCs w:val="20"/>
          <w:u w:val="single"/>
        </w:rPr>
      </w:pPr>
      <w:r w:rsidRPr="00DC3410">
        <w:rPr>
          <w:rFonts w:ascii="Cambria" w:hAnsi="Cambria"/>
          <w:szCs w:val="20"/>
          <w:u w:val="single"/>
        </w:rPr>
        <w:t>Summaries of Learn</w:t>
      </w:r>
      <w:r w:rsidR="0002183B" w:rsidRPr="00DC3410">
        <w:rPr>
          <w:rFonts w:ascii="Cambria" w:hAnsi="Cambria"/>
          <w:szCs w:val="20"/>
          <w:u w:val="single"/>
        </w:rPr>
        <w:t>ing Objectives from Chapters 8-11</w:t>
      </w:r>
    </w:p>
    <w:p w14:paraId="72A7AEEF" w14:textId="0E6CC1AF" w:rsidR="005014EA" w:rsidRPr="00DC3410" w:rsidRDefault="00300B7B" w:rsidP="005014EA">
      <w:pPr>
        <w:spacing w:line="276" w:lineRule="auto"/>
        <w:rPr>
          <w:rFonts w:ascii="Cambria" w:hAnsi="Cambria"/>
          <w:b/>
          <w:color w:val="660066"/>
          <w:sz w:val="22"/>
          <w:szCs w:val="20"/>
          <w:u w:val="single"/>
        </w:rPr>
      </w:pPr>
      <w:r w:rsidRPr="00DC3410">
        <w:rPr>
          <w:rFonts w:ascii="Cambria" w:hAnsi="Cambria"/>
          <w:b/>
          <w:color w:val="660066"/>
          <w:sz w:val="22"/>
          <w:szCs w:val="20"/>
          <w:u w:val="single"/>
        </w:rPr>
        <w:t>Chapter 8</w:t>
      </w:r>
    </w:p>
    <w:p w14:paraId="25EEECCE" w14:textId="3DB18A89" w:rsidR="005014EA" w:rsidRPr="00DC3410" w:rsidRDefault="00300B7B"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Understand inventory from a business perspective</w:t>
      </w:r>
    </w:p>
    <w:p w14:paraId="33A85682" w14:textId="776FCB19" w:rsidR="005014EA" w:rsidRPr="00DC3410" w:rsidRDefault="00300B7B" w:rsidP="00AF0E8B">
      <w:pPr>
        <w:pStyle w:val="ListParagraph"/>
        <w:numPr>
          <w:ilvl w:val="0"/>
          <w:numId w:val="2"/>
        </w:numPr>
        <w:spacing w:line="276" w:lineRule="auto"/>
        <w:ind w:left="1080"/>
        <w:rPr>
          <w:rFonts w:ascii="Cambria" w:hAnsi="Cambria"/>
          <w:sz w:val="20"/>
          <w:szCs w:val="20"/>
        </w:rPr>
      </w:pPr>
      <w:r w:rsidRPr="00DC3410">
        <w:rPr>
          <w:rFonts w:ascii="Cambria" w:hAnsi="Cambria"/>
          <w:sz w:val="20"/>
          <w:szCs w:val="20"/>
        </w:rPr>
        <w:t xml:space="preserve">It is important to understand the nature of the various types of businesses that have significant inventory as well as the different types of inventory. </w:t>
      </w:r>
    </w:p>
    <w:p w14:paraId="313CC27F" w14:textId="42C14F44" w:rsidR="00300B7B" w:rsidRPr="00DC3410" w:rsidRDefault="00300B7B" w:rsidP="00300B7B">
      <w:pPr>
        <w:pStyle w:val="ListParagraph"/>
        <w:numPr>
          <w:ilvl w:val="0"/>
          <w:numId w:val="2"/>
        </w:numPr>
        <w:spacing w:line="276" w:lineRule="auto"/>
        <w:ind w:left="1080"/>
        <w:rPr>
          <w:rFonts w:ascii="Cambria" w:hAnsi="Cambria"/>
          <w:sz w:val="20"/>
          <w:szCs w:val="20"/>
        </w:rPr>
      </w:pPr>
      <w:r w:rsidRPr="00DC3410">
        <w:rPr>
          <w:rFonts w:ascii="Cambria" w:hAnsi="Cambria"/>
          <w:sz w:val="20"/>
          <w:szCs w:val="20"/>
        </w:rPr>
        <w:t>Retailers, manufacturers, and wholesalers generally carry significant amount of inventory, however, different companies have different business models</w:t>
      </w:r>
    </w:p>
    <w:p w14:paraId="38DAF3A2" w14:textId="0B16CCDA" w:rsidR="00300B7B" w:rsidRPr="00DC3410" w:rsidRDefault="00300B7B" w:rsidP="00300B7B">
      <w:pPr>
        <w:pStyle w:val="ListParagraph"/>
        <w:numPr>
          <w:ilvl w:val="1"/>
          <w:numId w:val="2"/>
        </w:numPr>
        <w:spacing w:line="276" w:lineRule="auto"/>
        <w:rPr>
          <w:rFonts w:ascii="Cambria" w:hAnsi="Cambria"/>
          <w:sz w:val="20"/>
          <w:szCs w:val="20"/>
        </w:rPr>
      </w:pPr>
      <w:r w:rsidRPr="00DC3410">
        <w:rPr>
          <w:rFonts w:ascii="Cambria" w:hAnsi="Cambria"/>
          <w:sz w:val="20"/>
          <w:szCs w:val="20"/>
        </w:rPr>
        <w:t>Example: some manufacturers follow a just-in-time strategy and carry very little inventory on hand. Only on inventory account, Merchandise Inventory, appears in the financial statements of a merchandising concern</w:t>
      </w:r>
    </w:p>
    <w:p w14:paraId="04BD7FFF" w14:textId="2719355A" w:rsidR="00300B7B" w:rsidRPr="00DC3410" w:rsidRDefault="00300B7B" w:rsidP="00300B7B">
      <w:pPr>
        <w:pStyle w:val="ListParagraph"/>
        <w:numPr>
          <w:ilvl w:val="0"/>
          <w:numId w:val="2"/>
        </w:numPr>
        <w:spacing w:line="276" w:lineRule="auto"/>
        <w:rPr>
          <w:rFonts w:ascii="Cambria" w:hAnsi="Cambria"/>
          <w:sz w:val="20"/>
          <w:szCs w:val="20"/>
        </w:rPr>
      </w:pPr>
      <w:r w:rsidRPr="00DC3410">
        <w:rPr>
          <w:rFonts w:ascii="Cambria" w:hAnsi="Cambria"/>
          <w:sz w:val="20"/>
          <w:szCs w:val="20"/>
        </w:rPr>
        <w:t>A manufacturer usually has three accounts: Raw Materials, Work in Process, and Finished Goods. There may also be an account for factory or manufacturing supplies</w:t>
      </w:r>
    </w:p>
    <w:p w14:paraId="31D3D82E" w14:textId="77678A1F" w:rsidR="00300B7B" w:rsidRPr="00DC3410" w:rsidRDefault="00300B7B" w:rsidP="00300B7B">
      <w:pPr>
        <w:pStyle w:val="ListParagraph"/>
        <w:numPr>
          <w:ilvl w:val="0"/>
          <w:numId w:val="2"/>
        </w:numPr>
        <w:spacing w:line="276" w:lineRule="auto"/>
        <w:rPr>
          <w:rFonts w:ascii="Cambria" w:hAnsi="Cambria"/>
          <w:sz w:val="20"/>
          <w:szCs w:val="20"/>
        </w:rPr>
      </w:pPr>
      <w:r w:rsidRPr="00DC3410">
        <w:rPr>
          <w:rFonts w:ascii="Cambria" w:hAnsi="Cambria"/>
          <w:sz w:val="20"/>
          <w:szCs w:val="20"/>
        </w:rPr>
        <w:t>Management must manage inventory levels in order to ensure sufficient choice and quantities to meet customer needs yet keep costs to a minimum</w:t>
      </w:r>
    </w:p>
    <w:p w14:paraId="6E601737" w14:textId="520C6FC5" w:rsidR="00300B7B" w:rsidRPr="00DC3410" w:rsidRDefault="00300B7B" w:rsidP="00300B7B">
      <w:pPr>
        <w:pStyle w:val="ListParagraph"/>
        <w:numPr>
          <w:ilvl w:val="0"/>
          <w:numId w:val="2"/>
        </w:numPr>
        <w:spacing w:line="276" w:lineRule="auto"/>
        <w:rPr>
          <w:rFonts w:ascii="Cambria" w:hAnsi="Cambria"/>
          <w:sz w:val="20"/>
          <w:szCs w:val="20"/>
        </w:rPr>
      </w:pPr>
      <w:r w:rsidRPr="00DC3410">
        <w:rPr>
          <w:rFonts w:ascii="Cambria" w:hAnsi="Cambria"/>
          <w:sz w:val="20"/>
          <w:szCs w:val="20"/>
        </w:rPr>
        <w:t>The financial statements need to provide information about all of this</w:t>
      </w:r>
    </w:p>
    <w:p w14:paraId="5C0B99A8" w14:textId="43D18A44" w:rsidR="005014EA" w:rsidRPr="00DC3410" w:rsidRDefault="00300B7B"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Define inventory from an accounting perspective</w:t>
      </w:r>
    </w:p>
    <w:p w14:paraId="0B89C317" w14:textId="74C4D84A" w:rsidR="004135A4" w:rsidRPr="00DC3410" w:rsidRDefault="00300B7B" w:rsidP="00300B7B">
      <w:pPr>
        <w:pStyle w:val="ListParagraph"/>
        <w:numPr>
          <w:ilvl w:val="0"/>
          <w:numId w:val="3"/>
        </w:numPr>
        <w:spacing w:line="276" w:lineRule="auto"/>
        <w:ind w:left="1080"/>
        <w:rPr>
          <w:rFonts w:ascii="Cambria" w:hAnsi="Cambria"/>
          <w:sz w:val="20"/>
          <w:szCs w:val="20"/>
        </w:rPr>
      </w:pPr>
      <w:r w:rsidRPr="00DC3410">
        <w:rPr>
          <w:rFonts w:ascii="Cambria" w:hAnsi="Cambria"/>
          <w:sz w:val="20"/>
          <w:szCs w:val="20"/>
        </w:rPr>
        <w:t>Differing companies have different types of inventories including securities, land for development, work in progress, grain, and other.</w:t>
      </w:r>
    </w:p>
    <w:p w14:paraId="54CA6D02" w14:textId="02166443" w:rsidR="00300B7B" w:rsidRPr="00DC3410" w:rsidRDefault="00300B7B" w:rsidP="00300B7B">
      <w:pPr>
        <w:pStyle w:val="ListParagraph"/>
        <w:numPr>
          <w:ilvl w:val="0"/>
          <w:numId w:val="3"/>
        </w:numPr>
        <w:spacing w:line="276" w:lineRule="auto"/>
        <w:ind w:left="1080"/>
        <w:rPr>
          <w:rFonts w:ascii="Cambria" w:hAnsi="Cambria"/>
          <w:sz w:val="20"/>
          <w:szCs w:val="20"/>
        </w:rPr>
      </w:pPr>
      <w:r w:rsidRPr="00DC3410">
        <w:rPr>
          <w:rFonts w:ascii="Cambria" w:hAnsi="Cambria"/>
          <w:sz w:val="20"/>
          <w:szCs w:val="20"/>
        </w:rPr>
        <w:t>For accounting purposes, inventory is defined as an asset that is held for sale in the ordinary course of business or for the production of such inventory (including raw materials, work in process, and supplies).</w:t>
      </w:r>
    </w:p>
    <w:p w14:paraId="48D38F5A" w14:textId="5F8406E3" w:rsidR="00300B7B" w:rsidRPr="00DC3410" w:rsidRDefault="00300B7B" w:rsidP="00300B7B">
      <w:pPr>
        <w:pStyle w:val="ListParagraph"/>
        <w:numPr>
          <w:ilvl w:val="0"/>
          <w:numId w:val="3"/>
        </w:numPr>
        <w:spacing w:line="276" w:lineRule="auto"/>
        <w:ind w:left="1080"/>
        <w:rPr>
          <w:rFonts w:ascii="Cambria" w:hAnsi="Cambria"/>
          <w:sz w:val="20"/>
          <w:szCs w:val="20"/>
        </w:rPr>
      </w:pPr>
      <w:r w:rsidRPr="00DC3410">
        <w:rPr>
          <w:rFonts w:ascii="Cambria" w:hAnsi="Cambria"/>
          <w:sz w:val="20"/>
          <w:szCs w:val="20"/>
        </w:rPr>
        <w:t>Special guidance and/or industry practice exists for inventories of financial instruments, construction in progress, biological assets, agricultural products, mineral products, inventories held by producers of agriculture and forest producers, and inventories held by commodity broker-traders</w:t>
      </w:r>
    </w:p>
    <w:p w14:paraId="5E606AFB" w14:textId="60788501" w:rsidR="00C43D49" w:rsidRPr="00DC3410" w:rsidRDefault="00300B7B"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Identify which inventory items should be included in ending inventory</w:t>
      </w:r>
    </w:p>
    <w:p w14:paraId="332E34A8" w14:textId="44754BB4" w:rsidR="00C43D49" w:rsidRPr="00DC3410" w:rsidRDefault="00300B7B" w:rsidP="00086E79">
      <w:pPr>
        <w:pStyle w:val="ListParagraph"/>
        <w:numPr>
          <w:ilvl w:val="0"/>
          <w:numId w:val="4"/>
        </w:numPr>
        <w:spacing w:line="276" w:lineRule="auto"/>
        <w:ind w:left="1080"/>
        <w:rPr>
          <w:rFonts w:ascii="Cambria" w:hAnsi="Cambria"/>
          <w:sz w:val="20"/>
          <w:szCs w:val="20"/>
        </w:rPr>
      </w:pPr>
      <w:r w:rsidRPr="00DC3410">
        <w:rPr>
          <w:rFonts w:ascii="Cambria" w:hAnsi="Cambria"/>
          <w:sz w:val="20"/>
          <w:szCs w:val="20"/>
        </w:rPr>
        <w:t>Inventory included on the SFP of the entity that has substantially all of risks and rewards of ownership, which is generally the company that has possession and legal title to the goods</w:t>
      </w:r>
    </w:p>
    <w:p w14:paraId="701082C2" w14:textId="2B795EED" w:rsidR="00300B7B" w:rsidRPr="00DC3410" w:rsidRDefault="00300B7B" w:rsidP="00086E79">
      <w:pPr>
        <w:pStyle w:val="ListParagraph"/>
        <w:numPr>
          <w:ilvl w:val="0"/>
          <w:numId w:val="4"/>
        </w:numPr>
        <w:spacing w:line="276" w:lineRule="auto"/>
        <w:ind w:left="1080"/>
        <w:rPr>
          <w:rFonts w:ascii="Cambria" w:hAnsi="Cambria"/>
          <w:sz w:val="20"/>
          <w:szCs w:val="20"/>
        </w:rPr>
      </w:pPr>
      <w:r w:rsidRPr="00DC3410">
        <w:rPr>
          <w:rFonts w:ascii="Cambria" w:hAnsi="Cambria"/>
          <w:b/>
          <w:sz w:val="20"/>
          <w:szCs w:val="20"/>
        </w:rPr>
        <w:t>Profess judgment</w:t>
      </w:r>
      <w:r w:rsidRPr="00DC3410">
        <w:rPr>
          <w:rFonts w:ascii="Cambria" w:hAnsi="Cambria"/>
          <w:sz w:val="20"/>
          <w:szCs w:val="20"/>
        </w:rPr>
        <w:t xml:space="preserve"> must be used to determine whether substantially all of the risks and rewards have passed.</w:t>
      </w:r>
    </w:p>
    <w:p w14:paraId="08687C68" w14:textId="3FFCFE2E" w:rsidR="00300B7B" w:rsidRPr="00DC3410" w:rsidRDefault="00300B7B" w:rsidP="00086E79">
      <w:pPr>
        <w:pStyle w:val="ListParagraph"/>
        <w:numPr>
          <w:ilvl w:val="1"/>
          <w:numId w:val="4"/>
        </w:numPr>
        <w:spacing w:line="276" w:lineRule="auto"/>
        <w:rPr>
          <w:rFonts w:ascii="Cambria" w:hAnsi="Cambria"/>
          <w:sz w:val="20"/>
          <w:szCs w:val="20"/>
        </w:rPr>
      </w:pPr>
      <w:r w:rsidRPr="00DC3410">
        <w:rPr>
          <w:rFonts w:ascii="Cambria" w:hAnsi="Cambria"/>
          <w:sz w:val="20"/>
          <w:szCs w:val="20"/>
        </w:rPr>
        <w:t>For instance, consigned goods remain the property of the consignor</w:t>
      </w:r>
    </w:p>
    <w:p w14:paraId="2B93B0AF" w14:textId="479C20D7" w:rsidR="00FA0B90" w:rsidRPr="00DC3410" w:rsidRDefault="00300B7B" w:rsidP="00086E79">
      <w:pPr>
        <w:pStyle w:val="ListParagraph"/>
        <w:numPr>
          <w:ilvl w:val="0"/>
          <w:numId w:val="4"/>
        </w:numPr>
        <w:spacing w:line="276" w:lineRule="auto"/>
        <w:rPr>
          <w:rFonts w:ascii="Cambria" w:hAnsi="Cambria"/>
          <w:sz w:val="20"/>
          <w:szCs w:val="20"/>
        </w:rPr>
      </w:pPr>
      <w:r w:rsidRPr="00DC3410">
        <w:rPr>
          <w:rFonts w:ascii="Cambria" w:hAnsi="Cambria"/>
          <w:sz w:val="20"/>
          <w:szCs w:val="20"/>
        </w:rPr>
        <w:t xml:space="preserve">Purchase commitments are generally not recognized unless </w:t>
      </w:r>
      <w:r w:rsidRPr="00DC3410">
        <w:rPr>
          <w:rFonts w:ascii="Cambria" w:hAnsi="Cambria"/>
          <w:b/>
          <w:sz w:val="20"/>
          <w:szCs w:val="20"/>
        </w:rPr>
        <w:t>onerous</w:t>
      </w:r>
    </w:p>
    <w:p w14:paraId="6AD4BB9E" w14:textId="57B7AB5F" w:rsidR="00DB6EFF" w:rsidRPr="00DC3410" w:rsidRDefault="00300B7B"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Identify the effects of inventory errors on the financial statements and adjust for them</w:t>
      </w:r>
    </w:p>
    <w:p w14:paraId="7371F77F" w14:textId="77777777" w:rsidR="00300B7B" w:rsidRPr="00DC3410" w:rsidRDefault="00300B7B" w:rsidP="00086E79">
      <w:pPr>
        <w:pStyle w:val="ListParagraph"/>
        <w:numPr>
          <w:ilvl w:val="0"/>
          <w:numId w:val="5"/>
        </w:numPr>
        <w:spacing w:line="276" w:lineRule="auto"/>
        <w:ind w:left="1080"/>
        <w:rPr>
          <w:rFonts w:ascii="Cambria" w:hAnsi="Cambria"/>
          <w:sz w:val="20"/>
          <w:szCs w:val="20"/>
        </w:rPr>
      </w:pPr>
      <w:r w:rsidRPr="00DC3410">
        <w:rPr>
          <w:rFonts w:ascii="Cambria" w:hAnsi="Cambria"/>
          <w:sz w:val="20"/>
          <w:szCs w:val="20"/>
        </w:rPr>
        <w:t>If the ending inventory is misstated:</w:t>
      </w:r>
    </w:p>
    <w:p w14:paraId="05C9691A" w14:textId="15F7B26D" w:rsidR="00300B7B" w:rsidRPr="00DC3410" w:rsidRDefault="00300B7B" w:rsidP="00086E79">
      <w:pPr>
        <w:pStyle w:val="ListParagraph"/>
        <w:numPr>
          <w:ilvl w:val="1"/>
          <w:numId w:val="5"/>
        </w:numPr>
        <w:spacing w:line="276" w:lineRule="auto"/>
        <w:rPr>
          <w:rFonts w:ascii="Cambria" w:hAnsi="Cambria"/>
          <w:sz w:val="20"/>
          <w:szCs w:val="20"/>
        </w:rPr>
      </w:pPr>
      <w:r w:rsidRPr="00DC3410">
        <w:rPr>
          <w:rFonts w:ascii="Cambria" w:hAnsi="Cambria"/>
          <w:sz w:val="20"/>
          <w:szCs w:val="20"/>
        </w:rPr>
        <w:t xml:space="preserve">The inventory, retained earnings, work in process, and </w:t>
      </w:r>
      <w:r w:rsidR="009714A7" w:rsidRPr="00DC3410">
        <w:rPr>
          <w:rFonts w:ascii="Cambria" w:hAnsi="Cambria"/>
          <w:sz w:val="20"/>
          <w:szCs w:val="20"/>
        </w:rPr>
        <w:t>current ratio in the SFP will be incorrect</w:t>
      </w:r>
    </w:p>
    <w:p w14:paraId="57C239AE" w14:textId="181B06FA" w:rsidR="009714A7" w:rsidRPr="00DC3410" w:rsidRDefault="009714A7" w:rsidP="00086E79">
      <w:pPr>
        <w:pStyle w:val="ListParagraph"/>
        <w:numPr>
          <w:ilvl w:val="1"/>
          <w:numId w:val="5"/>
        </w:numPr>
        <w:spacing w:line="276" w:lineRule="auto"/>
        <w:rPr>
          <w:rFonts w:ascii="Cambria" w:hAnsi="Cambria"/>
          <w:sz w:val="20"/>
          <w:szCs w:val="20"/>
        </w:rPr>
      </w:pPr>
      <w:r w:rsidRPr="00DC3410">
        <w:rPr>
          <w:rFonts w:ascii="Cambria" w:hAnsi="Cambria"/>
          <w:sz w:val="20"/>
          <w:szCs w:val="20"/>
        </w:rPr>
        <w:t>The cost of goods sold and net income in the income statement will be incorrect</w:t>
      </w:r>
    </w:p>
    <w:p w14:paraId="694992C3" w14:textId="697DB1D6" w:rsidR="003673AC" w:rsidRPr="00DC3410" w:rsidRDefault="009714A7" w:rsidP="00086E79">
      <w:pPr>
        <w:pStyle w:val="ListParagraph"/>
        <w:numPr>
          <w:ilvl w:val="0"/>
          <w:numId w:val="5"/>
        </w:numPr>
        <w:spacing w:line="276" w:lineRule="auto"/>
        <w:ind w:left="1080"/>
        <w:rPr>
          <w:rFonts w:ascii="Cambria" w:hAnsi="Cambria"/>
          <w:sz w:val="20"/>
          <w:szCs w:val="20"/>
        </w:rPr>
      </w:pPr>
      <w:r w:rsidRPr="00DC3410">
        <w:rPr>
          <w:rFonts w:ascii="Cambria" w:hAnsi="Cambria"/>
          <w:sz w:val="20"/>
          <w:szCs w:val="20"/>
        </w:rPr>
        <w:t>If purchases and inventory are misstated:</w:t>
      </w:r>
    </w:p>
    <w:p w14:paraId="483638A9" w14:textId="161C5DC0" w:rsidR="009714A7" w:rsidRPr="00DC3410" w:rsidRDefault="009714A7" w:rsidP="00086E79">
      <w:pPr>
        <w:pStyle w:val="ListParagraph"/>
        <w:numPr>
          <w:ilvl w:val="1"/>
          <w:numId w:val="5"/>
        </w:numPr>
        <w:spacing w:line="276" w:lineRule="auto"/>
        <w:rPr>
          <w:rFonts w:ascii="Cambria" w:hAnsi="Cambria"/>
          <w:sz w:val="20"/>
          <w:szCs w:val="20"/>
        </w:rPr>
      </w:pPr>
      <w:r w:rsidRPr="00DC3410">
        <w:rPr>
          <w:rFonts w:ascii="Cambria" w:hAnsi="Cambria"/>
          <w:sz w:val="20"/>
          <w:szCs w:val="20"/>
        </w:rPr>
        <w:t>The inventory, accounts payable, and current ratio will be incorrect</w:t>
      </w:r>
    </w:p>
    <w:p w14:paraId="59453DA7" w14:textId="10524DDC" w:rsidR="009714A7" w:rsidRPr="00DC3410" w:rsidRDefault="009714A7" w:rsidP="00086E79">
      <w:pPr>
        <w:pStyle w:val="ListParagraph"/>
        <w:numPr>
          <w:ilvl w:val="1"/>
          <w:numId w:val="5"/>
        </w:numPr>
        <w:spacing w:line="276" w:lineRule="auto"/>
        <w:rPr>
          <w:rFonts w:ascii="Cambria" w:hAnsi="Cambria"/>
          <w:sz w:val="20"/>
          <w:szCs w:val="20"/>
        </w:rPr>
      </w:pPr>
      <w:r w:rsidRPr="00DC3410">
        <w:rPr>
          <w:rFonts w:ascii="Cambria" w:hAnsi="Cambria"/>
          <w:sz w:val="20"/>
          <w:szCs w:val="20"/>
        </w:rPr>
        <w:t>Purchases and ending inventory will be incorrect</w:t>
      </w:r>
    </w:p>
    <w:p w14:paraId="16BC51CE" w14:textId="46E341DE" w:rsidR="003673AC" w:rsidRPr="00DC3410" w:rsidRDefault="009714A7"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Determine the components of inventory costs</w:t>
      </w:r>
    </w:p>
    <w:p w14:paraId="6B1D7E6F" w14:textId="4A43EAE5" w:rsidR="00B42EE6" w:rsidRPr="00DC3410" w:rsidRDefault="009714A7" w:rsidP="00086E79">
      <w:pPr>
        <w:pStyle w:val="ListParagraph"/>
        <w:numPr>
          <w:ilvl w:val="0"/>
          <w:numId w:val="6"/>
        </w:numPr>
        <w:spacing w:line="276" w:lineRule="auto"/>
        <w:ind w:left="1080"/>
        <w:rPr>
          <w:rFonts w:ascii="Cambria" w:hAnsi="Cambria"/>
          <w:sz w:val="20"/>
          <w:szCs w:val="20"/>
        </w:rPr>
      </w:pPr>
      <w:r w:rsidRPr="00DC3410">
        <w:rPr>
          <w:rFonts w:ascii="Cambria" w:hAnsi="Cambria"/>
          <w:sz w:val="20"/>
          <w:szCs w:val="20"/>
        </w:rPr>
        <w:t>Inventory costs include all costs of purchase, conversion, and other costs incurred in bringing the inventories to the present location and condition necessary for sale</w:t>
      </w:r>
    </w:p>
    <w:p w14:paraId="2A973247" w14:textId="15C20E9E" w:rsidR="009714A7" w:rsidRPr="00DC3410" w:rsidRDefault="009714A7" w:rsidP="00086E79">
      <w:pPr>
        <w:pStyle w:val="ListParagraph"/>
        <w:numPr>
          <w:ilvl w:val="0"/>
          <w:numId w:val="6"/>
        </w:numPr>
        <w:spacing w:line="276" w:lineRule="auto"/>
        <w:ind w:left="1080"/>
        <w:rPr>
          <w:rFonts w:ascii="Cambria" w:hAnsi="Cambria"/>
          <w:sz w:val="20"/>
          <w:szCs w:val="20"/>
        </w:rPr>
      </w:pPr>
      <w:r w:rsidRPr="00DC3410">
        <w:rPr>
          <w:rFonts w:ascii="Cambria" w:hAnsi="Cambria"/>
          <w:sz w:val="20"/>
          <w:szCs w:val="20"/>
        </w:rPr>
        <w:t>Such charges include freight charges on goods purchases, other direct costs of acquisition, and labor and other direct production costs incurred in processing the goods up to the time of sale</w:t>
      </w:r>
    </w:p>
    <w:p w14:paraId="34AA33DD" w14:textId="57788DBD" w:rsidR="009714A7" w:rsidRPr="00DC3410" w:rsidRDefault="009714A7" w:rsidP="00086E79">
      <w:pPr>
        <w:pStyle w:val="ListParagraph"/>
        <w:numPr>
          <w:ilvl w:val="0"/>
          <w:numId w:val="6"/>
        </w:numPr>
        <w:spacing w:line="276" w:lineRule="auto"/>
        <w:ind w:left="1080"/>
        <w:rPr>
          <w:rFonts w:ascii="Cambria" w:hAnsi="Cambria"/>
          <w:sz w:val="20"/>
          <w:szCs w:val="20"/>
        </w:rPr>
      </w:pPr>
      <w:r w:rsidRPr="00DC3410">
        <w:rPr>
          <w:rFonts w:ascii="Cambria" w:hAnsi="Cambria"/>
          <w:sz w:val="20"/>
          <w:szCs w:val="20"/>
        </w:rPr>
        <w:t>Manufacturing overhead costs are allocated to inventory based on the normal capacity of the production facilities</w:t>
      </w:r>
    </w:p>
    <w:p w14:paraId="46E27469" w14:textId="30D3CE18" w:rsidR="009714A7" w:rsidRPr="00DC3410" w:rsidRDefault="00FB7307" w:rsidP="00086E79">
      <w:pPr>
        <w:pStyle w:val="ListParagraph"/>
        <w:numPr>
          <w:ilvl w:val="0"/>
          <w:numId w:val="6"/>
        </w:numPr>
        <w:spacing w:line="276" w:lineRule="auto"/>
        <w:ind w:left="1080"/>
        <w:rPr>
          <w:rFonts w:ascii="Cambria" w:hAnsi="Cambria"/>
          <w:sz w:val="20"/>
          <w:szCs w:val="20"/>
        </w:rPr>
      </w:pPr>
      <w:r w:rsidRPr="00DC3410">
        <w:rPr>
          <w:rFonts w:ascii="Cambria" w:hAnsi="Cambria"/>
          <w:sz w:val="20"/>
          <w:szCs w:val="20"/>
        </w:rPr>
        <w:t>Interest and asset retirement costs may be included as part of the cost of inventory in some circumstances</w:t>
      </w:r>
    </w:p>
    <w:p w14:paraId="0523728F" w14:textId="77777777" w:rsidR="004F3ECD" w:rsidRPr="00DC3410" w:rsidRDefault="004F3ECD" w:rsidP="004F3ECD">
      <w:pPr>
        <w:pStyle w:val="ListParagraph"/>
        <w:spacing w:line="276" w:lineRule="auto"/>
        <w:ind w:left="1080"/>
        <w:rPr>
          <w:rFonts w:ascii="Cambria" w:hAnsi="Cambria"/>
          <w:sz w:val="20"/>
          <w:szCs w:val="20"/>
        </w:rPr>
      </w:pPr>
    </w:p>
    <w:p w14:paraId="64384D2E" w14:textId="2A3F70FE" w:rsidR="00B42EE6" w:rsidRPr="00DC3410" w:rsidRDefault="00334D6F"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 xml:space="preserve">Distinguish between perpetual and periodic inventory systems </w:t>
      </w:r>
      <w:r w:rsidR="005C1B7C" w:rsidRPr="00DC3410">
        <w:rPr>
          <w:rFonts w:ascii="Cambria" w:hAnsi="Cambria"/>
          <w:b/>
          <w:color w:val="E36C0A" w:themeColor="accent6" w:themeShade="BF"/>
          <w:sz w:val="20"/>
          <w:szCs w:val="20"/>
        </w:rPr>
        <w:t>and account for</w:t>
      </w:r>
      <w:r w:rsidR="00406B99" w:rsidRPr="00DC3410">
        <w:rPr>
          <w:rFonts w:ascii="Cambria" w:hAnsi="Cambria"/>
          <w:b/>
          <w:color w:val="E36C0A" w:themeColor="accent6" w:themeShade="BF"/>
          <w:sz w:val="20"/>
          <w:szCs w:val="20"/>
        </w:rPr>
        <w:t xml:space="preserve"> them</w:t>
      </w:r>
    </w:p>
    <w:p w14:paraId="0D496964" w14:textId="77777777" w:rsidR="00F55CD5" w:rsidRPr="00DC3410" w:rsidRDefault="00406B99" w:rsidP="00086E79">
      <w:pPr>
        <w:pStyle w:val="ListParagraph"/>
        <w:numPr>
          <w:ilvl w:val="0"/>
          <w:numId w:val="7"/>
        </w:numPr>
        <w:spacing w:line="276" w:lineRule="auto"/>
        <w:ind w:left="1080"/>
        <w:rPr>
          <w:rFonts w:ascii="Cambria" w:hAnsi="Cambria"/>
          <w:sz w:val="20"/>
          <w:szCs w:val="20"/>
        </w:rPr>
      </w:pPr>
      <w:r w:rsidRPr="00DC3410">
        <w:rPr>
          <w:rFonts w:ascii="Cambria" w:hAnsi="Cambria"/>
          <w:sz w:val="20"/>
          <w:szCs w:val="20"/>
        </w:rPr>
        <w:t xml:space="preserve">Under a perpetual inventory system, a continuous record of changes in inventory is maintained </w:t>
      </w:r>
      <w:r w:rsidR="00F55CD5" w:rsidRPr="00DC3410">
        <w:rPr>
          <w:rFonts w:ascii="Cambria" w:hAnsi="Cambria"/>
          <w:sz w:val="20"/>
          <w:szCs w:val="20"/>
        </w:rPr>
        <w:t>in the Inventory account; all purchases and transfers of goods out of the account are rerecorded directly in the Inventory account as they occur</w:t>
      </w:r>
    </w:p>
    <w:p w14:paraId="10A6D689" w14:textId="2A565A45" w:rsidR="00C04EAB" w:rsidRPr="00DC3410" w:rsidRDefault="00F55CD5" w:rsidP="00086E79">
      <w:pPr>
        <w:pStyle w:val="ListParagraph"/>
        <w:numPr>
          <w:ilvl w:val="0"/>
          <w:numId w:val="7"/>
        </w:numPr>
        <w:spacing w:line="276" w:lineRule="auto"/>
        <w:ind w:left="1080"/>
        <w:rPr>
          <w:rFonts w:ascii="Cambria" w:hAnsi="Cambria"/>
          <w:sz w:val="20"/>
          <w:szCs w:val="20"/>
        </w:rPr>
      </w:pPr>
      <w:r w:rsidRPr="00DC3410">
        <w:rPr>
          <w:rFonts w:ascii="Cambria" w:hAnsi="Cambria"/>
          <w:sz w:val="20"/>
          <w:szCs w:val="20"/>
        </w:rPr>
        <w:t>No such record is kept under a periodic inventory system; under the periodic system, year-end inventory is determined by a physical count, and the amount of ending inventory and cos</w:t>
      </w:r>
      <w:r w:rsidR="00DA4410" w:rsidRPr="00DC3410">
        <w:rPr>
          <w:rFonts w:ascii="Cambria" w:hAnsi="Cambria"/>
          <w:sz w:val="20"/>
          <w:szCs w:val="20"/>
        </w:rPr>
        <w:t>t of goods sold is based on this count</w:t>
      </w:r>
    </w:p>
    <w:p w14:paraId="320C6D2C" w14:textId="77777777" w:rsidR="003B3682" w:rsidRPr="00DC3410" w:rsidRDefault="00DA4410" w:rsidP="00086E79">
      <w:pPr>
        <w:pStyle w:val="ListParagraph"/>
        <w:numPr>
          <w:ilvl w:val="0"/>
          <w:numId w:val="7"/>
        </w:numPr>
        <w:spacing w:line="276" w:lineRule="auto"/>
        <w:ind w:left="1080"/>
        <w:rPr>
          <w:rFonts w:ascii="Cambria" w:hAnsi="Cambria"/>
          <w:sz w:val="20"/>
          <w:szCs w:val="20"/>
        </w:rPr>
      </w:pPr>
      <w:r w:rsidRPr="00DC3410">
        <w:rPr>
          <w:rFonts w:ascii="Cambria" w:hAnsi="Cambria"/>
          <w:sz w:val="20"/>
          <w:szCs w:val="20"/>
        </w:rPr>
        <w:t>Even under a perpetual system, an annual count is needed to test the accuracy of the records</w:t>
      </w:r>
    </w:p>
    <w:p w14:paraId="3DA42F07" w14:textId="5931ABC3" w:rsidR="00C04EAB" w:rsidRPr="00DC3410" w:rsidRDefault="009A5488" w:rsidP="00E06241">
      <w:pPr>
        <w:pStyle w:val="ListParagraph"/>
        <w:numPr>
          <w:ilvl w:val="0"/>
          <w:numId w:val="61"/>
        </w:numPr>
        <w:spacing w:line="276" w:lineRule="auto"/>
        <w:rPr>
          <w:rFonts w:ascii="Cambria" w:hAnsi="Cambria"/>
          <w:sz w:val="20"/>
          <w:szCs w:val="20"/>
        </w:rPr>
      </w:pPr>
      <w:r w:rsidRPr="00DC3410">
        <w:rPr>
          <w:rFonts w:ascii="Cambria" w:hAnsi="Cambria"/>
          <w:b/>
          <w:color w:val="E36C0A" w:themeColor="accent6" w:themeShade="BF"/>
          <w:sz w:val="20"/>
          <w:szCs w:val="20"/>
        </w:rPr>
        <w:t>Identify and apply GAA</w:t>
      </w:r>
      <w:r w:rsidR="00DA4410" w:rsidRPr="00DC3410">
        <w:rPr>
          <w:rFonts w:ascii="Cambria" w:hAnsi="Cambria"/>
          <w:b/>
          <w:color w:val="E36C0A" w:themeColor="accent6" w:themeShade="BF"/>
          <w:sz w:val="20"/>
          <w:szCs w:val="20"/>
        </w:rPr>
        <w:t>P cost formula options and indicate when each formula is appropriate</w:t>
      </w:r>
    </w:p>
    <w:p w14:paraId="3993C001" w14:textId="2222875F" w:rsidR="00051A77" w:rsidRPr="00DC3410" w:rsidRDefault="003B3682" w:rsidP="00086E79">
      <w:pPr>
        <w:pStyle w:val="ListParagraph"/>
        <w:numPr>
          <w:ilvl w:val="0"/>
          <w:numId w:val="8"/>
        </w:numPr>
        <w:spacing w:line="276" w:lineRule="auto"/>
        <w:rPr>
          <w:rFonts w:ascii="Cambria" w:hAnsi="Cambria"/>
          <w:sz w:val="20"/>
          <w:szCs w:val="20"/>
        </w:rPr>
      </w:pPr>
      <w:r w:rsidRPr="00DC3410">
        <w:rPr>
          <w:rFonts w:ascii="Cambria" w:hAnsi="Cambria"/>
          <w:sz w:val="20"/>
          <w:szCs w:val="20"/>
        </w:rPr>
        <w:lastRenderedPageBreak/>
        <w:t>The specific identification method</w:t>
      </w:r>
      <w:r w:rsidR="00C04EAB" w:rsidRPr="00DC3410">
        <w:rPr>
          <w:rFonts w:ascii="Cambria" w:hAnsi="Cambria"/>
          <w:sz w:val="20"/>
          <w:szCs w:val="20"/>
        </w:rPr>
        <w:t xml:space="preserve"> </w:t>
      </w:r>
      <w:r w:rsidRPr="00DC3410">
        <w:rPr>
          <w:rFonts w:ascii="Cambria" w:hAnsi="Cambria"/>
          <w:sz w:val="20"/>
          <w:szCs w:val="20"/>
        </w:rPr>
        <w:t>is used to assign costs for items of inventory that are not ordinarily interchangeable or that are produced for specific projects</w:t>
      </w:r>
    </w:p>
    <w:p w14:paraId="520B9A12" w14:textId="2DFF4241" w:rsidR="003B3682" w:rsidRPr="00DC3410" w:rsidRDefault="003B3682" w:rsidP="00086E79">
      <w:pPr>
        <w:pStyle w:val="ListParagraph"/>
        <w:numPr>
          <w:ilvl w:val="0"/>
          <w:numId w:val="8"/>
        </w:numPr>
        <w:spacing w:line="276" w:lineRule="auto"/>
        <w:rPr>
          <w:rFonts w:ascii="Cambria" w:hAnsi="Cambria"/>
          <w:sz w:val="20"/>
          <w:szCs w:val="20"/>
        </w:rPr>
      </w:pPr>
      <w:r w:rsidRPr="00DC3410">
        <w:rPr>
          <w:rFonts w:ascii="Cambria" w:hAnsi="Cambria"/>
          <w:sz w:val="20"/>
          <w:szCs w:val="20"/>
        </w:rPr>
        <w:t>The weighted-average or first-in, first-out cost formula is used to assign other costs to other types of inventory</w:t>
      </w:r>
    </w:p>
    <w:p w14:paraId="42F78D94" w14:textId="0B8A5231" w:rsidR="003B3682" w:rsidRPr="00DC3410" w:rsidRDefault="003B3682" w:rsidP="00086E79">
      <w:pPr>
        <w:pStyle w:val="ListParagraph"/>
        <w:numPr>
          <w:ilvl w:val="0"/>
          <w:numId w:val="8"/>
        </w:numPr>
        <w:spacing w:line="276" w:lineRule="auto"/>
        <w:rPr>
          <w:rFonts w:ascii="Cambria" w:hAnsi="Cambria"/>
          <w:sz w:val="20"/>
          <w:szCs w:val="20"/>
        </w:rPr>
      </w:pPr>
      <w:r w:rsidRPr="00DC3410">
        <w:rPr>
          <w:rFonts w:ascii="Cambria" w:hAnsi="Cambria"/>
          <w:sz w:val="20"/>
          <w:szCs w:val="20"/>
        </w:rPr>
        <w:t xml:space="preserve">All inventory items that have a similar nature and use to the entity apply the same cost formula </w:t>
      </w:r>
    </w:p>
    <w:p w14:paraId="61974A7A" w14:textId="58B5DA4E" w:rsidR="009A5488" w:rsidRPr="00DC3410" w:rsidRDefault="009A5488"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 xml:space="preserve">Explain why inventory is measured at the lower of cost and market, and apply the lower of cost and </w:t>
      </w:r>
      <w:r w:rsidR="00702FDC" w:rsidRPr="00DC3410">
        <w:rPr>
          <w:rFonts w:ascii="Cambria" w:hAnsi="Cambria"/>
          <w:b/>
          <w:color w:val="E36C0A" w:themeColor="accent6" w:themeShade="BF"/>
          <w:sz w:val="20"/>
          <w:szCs w:val="20"/>
        </w:rPr>
        <w:t>net realizable value standard</w:t>
      </w:r>
    </w:p>
    <w:p w14:paraId="5384C551" w14:textId="48A2DF0E" w:rsidR="00702FDC" w:rsidRPr="00DC3410" w:rsidRDefault="00702FDC" w:rsidP="00ED0C73">
      <w:pPr>
        <w:pStyle w:val="ListParagraph"/>
        <w:numPr>
          <w:ilvl w:val="0"/>
          <w:numId w:val="45"/>
        </w:numPr>
        <w:spacing w:line="276" w:lineRule="auto"/>
        <w:rPr>
          <w:rFonts w:ascii="Cambria" w:hAnsi="Cambria"/>
          <w:b/>
          <w:color w:val="E36C0A" w:themeColor="accent6" w:themeShade="BF"/>
          <w:sz w:val="20"/>
          <w:szCs w:val="20"/>
        </w:rPr>
      </w:pPr>
      <w:r w:rsidRPr="00DC3410">
        <w:rPr>
          <w:rFonts w:ascii="Cambria" w:hAnsi="Cambria"/>
          <w:sz w:val="20"/>
          <w:szCs w:val="20"/>
        </w:rPr>
        <w:t>Current assets should not be reported on the SFP at a higher amount than the net cash that is expected to be generated from their use or sale</w:t>
      </w:r>
    </w:p>
    <w:p w14:paraId="2B540450" w14:textId="65F940C7" w:rsidR="00702FDC" w:rsidRPr="00DC3410" w:rsidRDefault="00702FDC" w:rsidP="00ED0C73">
      <w:pPr>
        <w:pStyle w:val="ListParagraph"/>
        <w:numPr>
          <w:ilvl w:val="0"/>
          <w:numId w:val="45"/>
        </w:numPr>
        <w:spacing w:line="276" w:lineRule="auto"/>
        <w:rPr>
          <w:rFonts w:ascii="Cambria" w:hAnsi="Cambria"/>
          <w:b/>
          <w:color w:val="E36C0A" w:themeColor="accent6" w:themeShade="BF"/>
          <w:sz w:val="20"/>
          <w:szCs w:val="20"/>
        </w:rPr>
      </w:pPr>
      <w:r w:rsidRPr="00DC3410">
        <w:rPr>
          <w:rFonts w:ascii="Cambria" w:hAnsi="Cambria"/>
          <w:sz w:val="20"/>
          <w:szCs w:val="20"/>
        </w:rPr>
        <w:t>When this amount is less than “cost”, inventory is written down and the loss in value is recognized in the same period as the decline</w:t>
      </w:r>
    </w:p>
    <w:p w14:paraId="18E8583C" w14:textId="2C5053CE" w:rsidR="00702FDC" w:rsidRPr="00DC3410" w:rsidRDefault="00702FDC" w:rsidP="00ED0C73">
      <w:pPr>
        <w:pStyle w:val="ListParagraph"/>
        <w:numPr>
          <w:ilvl w:val="0"/>
          <w:numId w:val="45"/>
        </w:numPr>
        <w:spacing w:line="276" w:lineRule="auto"/>
        <w:rPr>
          <w:rFonts w:ascii="Cambria" w:hAnsi="Cambria"/>
          <w:b/>
          <w:color w:val="E36C0A" w:themeColor="accent6" w:themeShade="BF"/>
          <w:sz w:val="20"/>
          <w:szCs w:val="20"/>
        </w:rPr>
      </w:pPr>
      <w:r w:rsidRPr="00DC3410">
        <w:rPr>
          <w:rFonts w:ascii="Cambria" w:hAnsi="Cambria"/>
          <w:sz w:val="20"/>
          <w:szCs w:val="20"/>
        </w:rPr>
        <w:t>Net realizable value is the estimated selling price in the ordinary course of business reduced by the expected costs to complete and sell the goods</w:t>
      </w:r>
    </w:p>
    <w:p w14:paraId="05AD8625" w14:textId="7490D720" w:rsidR="00702FDC" w:rsidRPr="00DC3410" w:rsidRDefault="00702FDC" w:rsidP="00ED0C73">
      <w:pPr>
        <w:pStyle w:val="ListParagraph"/>
        <w:numPr>
          <w:ilvl w:val="0"/>
          <w:numId w:val="45"/>
        </w:numPr>
        <w:spacing w:line="276" w:lineRule="auto"/>
        <w:rPr>
          <w:rFonts w:ascii="Cambria" w:hAnsi="Cambria"/>
          <w:b/>
          <w:color w:val="E36C0A" w:themeColor="accent6" w:themeShade="BF"/>
          <w:sz w:val="20"/>
          <w:szCs w:val="20"/>
        </w:rPr>
      </w:pPr>
      <w:r w:rsidRPr="00DC3410">
        <w:rPr>
          <w:rFonts w:ascii="Cambria" w:hAnsi="Cambria"/>
          <w:sz w:val="20"/>
          <w:szCs w:val="20"/>
        </w:rPr>
        <w:t>Ordinarily, each item’s cost and NRV are compared and the lower value is chosen, however, items that are related to each other and have similar purposes, that are produced and marketed in the same geographical area, and that cannot be evaluated separately from other items ma</w:t>
      </w:r>
      <w:r w:rsidR="00CB2629" w:rsidRPr="00DC3410">
        <w:rPr>
          <w:rFonts w:ascii="Cambria" w:hAnsi="Cambria"/>
          <w:sz w:val="20"/>
          <w:szCs w:val="20"/>
        </w:rPr>
        <w:t xml:space="preserve">y </w:t>
      </w:r>
      <w:r w:rsidRPr="00DC3410">
        <w:rPr>
          <w:rFonts w:ascii="Cambria" w:hAnsi="Cambria"/>
          <w:sz w:val="20"/>
          <w:szCs w:val="20"/>
        </w:rPr>
        <w:t>be grouped and the lower of the group’s cost and NRV is chosen</w:t>
      </w:r>
    </w:p>
    <w:p w14:paraId="656BD071" w14:textId="4D368A3C" w:rsidR="001D3C3E" w:rsidRPr="00DC3410" w:rsidRDefault="001D3C3E"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Identify inventories that are or may be valued at amounts other than the lower of cost and net realizable value</w:t>
      </w:r>
    </w:p>
    <w:p w14:paraId="4061ED93" w14:textId="315ABC3A" w:rsidR="001D3C3E" w:rsidRPr="00DC3410" w:rsidRDefault="001D3C3E" w:rsidP="00ED0C73">
      <w:pPr>
        <w:pStyle w:val="ListParagraph"/>
        <w:numPr>
          <w:ilvl w:val="0"/>
          <w:numId w:val="46"/>
        </w:numPr>
        <w:spacing w:line="276" w:lineRule="auto"/>
        <w:rPr>
          <w:rFonts w:ascii="Cambria" w:hAnsi="Cambria"/>
          <w:b/>
          <w:color w:val="E36C0A" w:themeColor="accent6" w:themeShade="BF"/>
          <w:sz w:val="20"/>
          <w:szCs w:val="20"/>
        </w:rPr>
      </w:pPr>
      <w:r w:rsidRPr="00DC3410">
        <w:rPr>
          <w:rFonts w:ascii="Cambria" w:hAnsi="Cambria"/>
          <w:color w:val="000000" w:themeColor="text1"/>
          <w:sz w:val="20"/>
          <w:szCs w:val="20"/>
        </w:rPr>
        <w:t>Inventories of financial instruments, construction contract work in process, biological assets related to agricultural activity, agricultural produce at the point of harvest and after harvest, inventories held by producers of agricultural and forest producers, mineral products, and inventories of commodity broker-traders all may be accounted for at other than the lower of cost and NRV</w:t>
      </w:r>
    </w:p>
    <w:p w14:paraId="00F3C2FC" w14:textId="0086DE2E" w:rsidR="001D3C3E" w:rsidRPr="00DC3410" w:rsidRDefault="00954B17"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Apply the gross profit method of estimating inventory</w:t>
      </w:r>
    </w:p>
    <w:p w14:paraId="6021820C" w14:textId="367B636F" w:rsidR="00954B17" w:rsidRPr="00DC3410" w:rsidRDefault="00954B17" w:rsidP="00ED0C73">
      <w:pPr>
        <w:pStyle w:val="ListParagraph"/>
        <w:numPr>
          <w:ilvl w:val="0"/>
          <w:numId w:val="46"/>
        </w:numPr>
        <w:spacing w:line="276" w:lineRule="auto"/>
        <w:rPr>
          <w:rFonts w:ascii="Cambria" w:hAnsi="Cambria"/>
          <w:b/>
          <w:color w:val="E36C0A" w:themeColor="accent6" w:themeShade="BF"/>
          <w:sz w:val="20"/>
          <w:szCs w:val="20"/>
        </w:rPr>
      </w:pPr>
      <w:r w:rsidRPr="00DC3410">
        <w:rPr>
          <w:rFonts w:ascii="Cambria" w:hAnsi="Cambria"/>
          <w:sz w:val="20"/>
          <w:szCs w:val="20"/>
        </w:rPr>
        <w:t xml:space="preserve">Ending inventory is determined by deducting an estimate of cost of goods sold </w:t>
      </w:r>
      <w:r w:rsidR="002552EA" w:rsidRPr="00DC3410">
        <w:rPr>
          <w:rFonts w:ascii="Cambria" w:hAnsi="Cambria"/>
          <w:sz w:val="20"/>
          <w:szCs w:val="20"/>
        </w:rPr>
        <w:t>from the actual cost of goods available for sale</w:t>
      </w:r>
    </w:p>
    <w:p w14:paraId="3360CFB5" w14:textId="549D6D6A" w:rsidR="002552EA" w:rsidRPr="00DC3410" w:rsidRDefault="002552EA" w:rsidP="00ED0C73">
      <w:pPr>
        <w:pStyle w:val="ListParagraph"/>
        <w:numPr>
          <w:ilvl w:val="0"/>
          <w:numId w:val="46"/>
        </w:numPr>
        <w:spacing w:line="276" w:lineRule="auto"/>
        <w:rPr>
          <w:rFonts w:ascii="Cambria" w:hAnsi="Cambria"/>
          <w:b/>
          <w:color w:val="E36C0A" w:themeColor="accent6" w:themeShade="BF"/>
          <w:sz w:val="20"/>
          <w:szCs w:val="20"/>
        </w:rPr>
      </w:pPr>
      <w:r w:rsidRPr="00DC3410">
        <w:rPr>
          <w:rFonts w:ascii="Cambria" w:hAnsi="Cambria"/>
          <w:sz w:val="20"/>
          <w:szCs w:val="20"/>
        </w:rPr>
        <w:t>Cost of goods sold is estimated by multiplying net sales by the percentage of cost of goods sold to sales</w:t>
      </w:r>
    </w:p>
    <w:p w14:paraId="7E95D08D" w14:textId="18C84B64" w:rsidR="002552EA" w:rsidRPr="00DC3410" w:rsidRDefault="002552EA" w:rsidP="00ED0C73">
      <w:pPr>
        <w:pStyle w:val="ListParagraph"/>
        <w:numPr>
          <w:ilvl w:val="1"/>
          <w:numId w:val="46"/>
        </w:numPr>
        <w:spacing w:line="276" w:lineRule="auto"/>
        <w:rPr>
          <w:rFonts w:ascii="Cambria" w:hAnsi="Cambria"/>
          <w:b/>
          <w:color w:val="E36C0A" w:themeColor="accent6" w:themeShade="BF"/>
          <w:sz w:val="20"/>
          <w:szCs w:val="20"/>
        </w:rPr>
      </w:pPr>
      <w:r w:rsidRPr="00DC3410">
        <w:rPr>
          <w:rFonts w:ascii="Cambria" w:hAnsi="Cambria"/>
          <w:sz w:val="20"/>
          <w:szCs w:val="20"/>
        </w:rPr>
        <w:t>This percentage is derived form the gross profit percent:</w:t>
      </w:r>
    </w:p>
    <w:p w14:paraId="6E67A23F" w14:textId="63169263" w:rsidR="002552EA" w:rsidRPr="00DC3410" w:rsidRDefault="002552EA" w:rsidP="002552EA">
      <w:pPr>
        <w:spacing w:line="276" w:lineRule="auto"/>
        <w:jc w:val="center"/>
        <w:rPr>
          <w:rFonts w:ascii="Cambria" w:hAnsi="Cambria"/>
          <w:b/>
          <w:sz w:val="20"/>
          <w:szCs w:val="20"/>
        </w:rPr>
      </w:pPr>
      <w:r w:rsidRPr="00DC3410">
        <w:rPr>
          <w:rFonts w:ascii="Cambria" w:hAnsi="Cambria"/>
          <w:b/>
          <w:sz w:val="20"/>
          <w:szCs w:val="20"/>
        </w:rPr>
        <w:t>100% - gross profit percentage = cost of goods sold percentage</w:t>
      </w:r>
    </w:p>
    <w:p w14:paraId="09F022C6" w14:textId="2B7DAAF9" w:rsidR="002552EA" w:rsidRPr="00DC3410" w:rsidRDefault="002552EA"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 xml:space="preserve">Identify how inventory should be presented and the type of </w:t>
      </w:r>
      <w:r w:rsidR="004C19F4" w:rsidRPr="00DC3410">
        <w:rPr>
          <w:rFonts w:ascii="Cambria" w:hAnsi="Cambria"/>
          <w:b/>
          <w:color w:val="E36C0A" w:themeColor="accent6" w:themeShade="BF"/>
          <w:sz w:val="20"/>
          <w:szCs w:val="20"/>
        </w:rPr>
        <w:t>inventory disclosures required by ASPE and IFRS</w:t>
      </w:r>
    </w:p>
    <w:p w14:paraId="044D6DDF" w14:textId="6F803A68" w:rsidR="004C19F4" w:rsidRPr="00DC3410" w:rsidRDefault="004C19F4" w:rsidP="00ED0C73">
      <w:pPr>
        <w:pStyle w:val="ListParagraph"/>
        <w:numPr>
          <w:ilvl w:val="0"/>
          <w:numId w:val="47"/>
        </w:numPr>
        <w:spacing w:line="276" w:lineRule="auto"/>
        <w:rPr>
          <w:rFonts w:ascii="Cambria" w:hAnsi="Cambria"/>
          <w:b/>
          <w:color w:val="E36C0A" w:themeColor="accent6" w:themeShade="BF"/>
          <w:sz w:val="20"/>
          <w:szCs w:val="20"/>
        </w:rPr>
      </w:pPr>
      <w:r w:rsidRPr="00DC3410">
        <w:rPr>
          <w:rFonts w:ascii="Cambria" w:hAnsi="Cambria"/>
          <w:sz w:val="20"/>
          <w:szCs w:val="20"/>
        </w:rPr>
        <w:t>ASPE required disclosures of how cost is determined, inventory that is pledged as security, he amount charged to the income statement as expense in the period, and the inventories’ carrying value by category</w:t>
      </w:r>
    </w:p>
    <w:p w14:paraId="302F0654" w14:textId="64F7190D" w:rsidR="004C19F4" w:rsidRPr="00DC3410" w:rsidRDefault="004C19F4" w:rsidP="00ED0C73">
      <w:pPr>
        <w:pStyle w:val="ListParagraph"/>
        <w:numPr>
          <w:ilvl w:val="0"/>
          <w:numId w:val="47"/>
        </w:numPr>
        <w:spacing w:line="276" w:lineRule="auto"/>
        <w:rPr>
          <w:rFonts w:ascii="Cambria" w:hAnsi="Cambria"/>
          <w:b/>
          <w:color w:val="E36C0A" w:themeColor="accent6" w:themeShade="BF"/>
          <w:sz w:val="20"/>
          <w:szCs w:val="20"/>
        </w:rPr>
      </w:pPr>
      <w:r w:rsidRPr="00DC3410">
        <w:rPr>
          <w:rFonts w:ascii="Cambria" w:hAnsi="Cambria"/>
          <w:sz w:val="20"/>
          <w:szCs w:val="20"/>
        </w:rPr>
        <w:t xml:space="preserve">Additional information is required </w:t>
      </w:r>
      <w:r w:rsidR="00C649B3" w:rsidRPr="00DC3410">
        <w:rPr>
          <w:rFonts w:ascii="Cambria" w:hAnsi="Cambria"/>
          <w:sz w:val="20"/>
          <w:szCs w:val="20"/>
        </w:rPr>
        <w:t xml:space="preserve">by IFRS including details about inventory impairment write-downs and any recoveries, the circumstances responsible for these, and the carrying amounts and reconciliations of items measures at NRV or fair value </w:t>
      </w:r>
    </w:p>
    <w:p w14:paraId="23A99276" w14:textId="679B950A" w:rsidR="00C649B3" w:rsidRPr="00DC3410" w:rsidRDefault="00C649B3" w:rsidP="00ED0C73">
      <w:pPr>
        <w:pStyle w:val="ListParagraph"/>
        <w:numPr>
          <w:ilvl w:val="0"/>
          <w:numId w:val="47"/>
        </w:numPr>
        <w:spacing w:line="276" w:lineRule="auto"/>
        <w:rPr>
          <w:rFonts w:ascii="Cambria" w:hAnsi="Cambria"/>
          <w:b/>
          <w:color w:val="E36C0A" w:themeColor="accent6" w:themeShade="BF"/>
          <w:sz w:val="20"/>
          <w:szCs w:val="20"/>
        </w:rPr>
      </w:pPr>
      <w:r w:rsidRPr="00DC3410">
        <w:rPr>
          <w:rFonts w:ascii="Cambria" w:hAnsi="Cambria"/>
          <w:sz w:val="20"/>
          <w:szCs w:val="20"/>
        </w:rPr>
        <w:t>Biological assets</w:t>
      </w:r>
      <w:r w:rsidR="00706229" w:rsidRPr="00DC3410">
        <w:rPr>
          <w:rFonts w:ascii="Cambria" w:hAnsi="Cambria"/>
          <w:sz w:val="20"/>
          <w:szCs w:val="20"/>
        </w:rPr>
        <w:t xml:space="preserve"> must be presented separately</w:t>
      </w:r>
      <w:r w:rsidRPr="00DC3410">
        <w:rPr>
          <w:rFonts w:ascii="Cambria" w:hAnsi="Cambria"/>
          <w:sz w:val="20"/>
          <w:szCs w:val="20"/>
        </w:rPr>
        <w:t xml:space="preserve"> on the SFP under IFRS</w:t>
      </w:r>
    </w:p>
    <w:p w14:paraId="76890526" w14:textId="511609C7" w:rsidR="00C649B3" w:rsidRPr="00DC3410" w:rsidRDefault="00C649B3" w:rsidP="00ED0C73">
      <w:pPr>
        <w:pStyle w:val="ListParagraph"/>
        <w:numPr>
          <w:ilvl w:val="0"/>
          <w:numId w:val="47"/>
        </w:numPr>
        <w:spacing w:line="276" w:lineRule="auto"/>
        <w:rPr>
          <w:rFonts w:ascii="Cambria" w:hAnsi="Cambria"/>
          <w:b/>
          <w:color w:val="E36C0A" w:themeColor="accent6" w:themeShade="BF"/>
          <w:sz w:val="20"/>
          <w:szCs w:val="20"/>
        </w:rPr>
      </w:pPr>
      <w:r w:rsidRPr="00DC3410">
        <w:rPr>
          <w:rFonts w:ascii="Cambria" w:hAnsi="Cambria"/>
          <w:sz w:val="20"/>
          <w:szCs w:val="20"/>
        </w:rPr>
        <w:t>In general, cost of sales is presented on the income statement under both IFRS and ASPE</w:t>
      </w:r>
      <w:r w:rsidR="00706229" w:rsidRPr="00DC3410">
        <w:rPr>
          <w:rFonts w:ascii="Cambria" w:hAnsi="Cambria"/>
          <w:sz w:val="20"/>
          <w:szCs w:val="20"/>
        </w:rPr>
        <w:t xml:space="preserve"> </w:t>
      </w:r>
      <w:r w:rsidRPr="00DC3410">
        <w:rPr>
          <w:rFonts w:ascii="Cambria" w:hAnsi="Cambria"/>
          <w:sz w:val="20"/>
          <w:szCs w:val="20"/>
        </w:rPr>
        <w:t xml:space="preserve">unless expenses are grouped by nature </w:t>
      </w:r>
    </w:p>
    <w:p w14:paraId="10F14D7A" w14:textId="605B4E99" w:rsidR="009F74EA" w:rsidRPr="00DC3410" w:rsidRDefault="009F74EA"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Explain how inventory analysis provides useful information and apply ratio analysis to inventory</w:t>
      </w:r>
    </w:p>
    <w:p w14:paraId="3BB315E2" w14:textId="2AC8514C" w:rsidR="009F74EA" w:rsidRPr="00DC3410" w:rsidRDefault="009F74EA" w:rsidP="00ED0C73">
      <w:pPr>
        <w:pStyle w:val="ListParagraph"/>
        <w:numPr>
          <w:ilvl w:val="0"/>
          <w:numId w:val="48"/>
        </w:numPr>
        <w:spacing w:line="276" w:lineRule="auto"/>
        <w:rPr>
          <w:rFonts w:ascii="Cambria" w:hAnsi="Cambria"/>
          <w:b/>
          <w:color w:val="E36C0A" w:themeColor="accent6" w:themeShade="BF"/>
          <w:sz w:val="20"/>
          <w:szCs w:val="20"/>
        </w:rPr>
      </w:pPr>
      <w:r w:rsidRPr="00DC3410">
        <w:rPr>
          <w:rFonts w:ascii="Cambria" w:hAnsi="Cambria"/>
          <w:sz w:val="20"/>
          <w:szCs w:val="20"/>
        </w:rPr>
        <w:t>Common ratios that are used in the management and evaluation of inventory levels are the inventory turnover and a related measures, average days to sell the inventory, often called the average age of inventory</w:t>
      </w:r>
    </w:p>
    <w:p w14:paraId="2A0C092A" w14:textId="2BE600F2" w:rsidR="009F74EA" w:rsidRPr="00DC3410" w:rsidRDefault="009F74EA" w:rsidP="00ED0C73">
      <w:pPr>
        <w:pStyle w:val="ListParagraph"/>
        <w:numPr>
          <w:ilvl w:val="1"/>
          <w:numId w:val="48"/>
        </w:numPr>
        <w:spacing w:line="276" w:lineRule="auto"/>
        <w:rPr>
          <w:rFonts w:ascii="Cambria" w:hAnsi="Cambria"/>
          <w:b/>
          <w:color w:val="E36C0A" w:themeColor="accent6" w:themeShade="BF"/>
          <w:sz w:val="20"/>
          <w:szCs w:val="20"/>
        </w:rPr>
      </w:pPr>
      <w:r w:rsidRPr="00DC3410">
        <w:rPr>
          <w:rFonts w:ascii="Cambria" w:hAnsi="Cambria"/>
          <w:sz w:val="20"/>
          <w:szCs w:val="20"/>
        </w:rPr>
        <w:t>This is useful information as excessive investment in inventory is expensive to carry, yet too little to inventory results in lost sales and dissatisfied customers</w:t>
      </w:r>
    </w:p>
    <w:p w14:paraId="31BF07E0" w14:textId="1FCF30CA" w:rsidR="009F74EA" w:rsidRPr="00DC3410" w:rsidRDefault="009F74EA"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Identify differences in accounting between ASPE and IFRS, and what changes are expected in the near future</w:t>
      </w:r>
    </w:p>
    <w:p w14:paraId="6A8F887A" w14:textId="5C7155BF" w:rsidR="009F74EA" w:rsidRPr="00DC3410" w:rsidRDefault="009F74EA" w:rsidP="00ED0C73">
      <w:pPr>
        <w:pStyle w:val="ListParagraph"/>
        <w:numPr>
          <w:ilvl w:val="0"/>
          <w:numId w:val="48"/>
        </w:numPr>
        <w:spacing w:line="276" w:lineRule="auto"/>
        <w:rPr>
          <w:rFonts w:ascii="Cambria" w:hAnsi="Cambria"/>
          <w:b/>
          <w:color w:val="E36C0A" w:themeColor="accent6" w:themeShade="BF"/>
          <w:sz w:val="20"/>
          <w:szCs w:val="20"/>
        </w:rPr>
      </w:pPr>
      <w:r w:rsidRPr="00DC3410">
        <w:rPr>
          <w:rFonts w:ascii="Cambria" w:hAnsi="Cambria"/>
          <w:sz w:val="20"/>
          <w:szCs w:val="20"/>
        </w:rPr>
        <w:t>ASPE and IFRS are substantially harmonized</w:t>
      </w:r>
    </w:p>
    <w:p w14:paraId="14C1734F" w14:textId="5198AF18" w:rsidR="009F74EA" w:rsidRPr="00DC3410" w:rsidRDefault="009F74EA" w:rsidP="00ED0C73">
      <w:pPr>
        <w:pStyle w:val="ListParagraph"/>
        <w:numPr>
          <w:ilvl w:val="0"/>
          <w:numId w:val="48"/>
        </w:numPr>
        <w:spacing w:line="276" w:lineRule="auto"/>
        <w:rPr>
          <w:rFonts w:ascii="Cambria" w:hAnsi="Cambria"/>
          <w:b/>
          <w:color w:val="E36C0A" w:themeColor="accent6" w:themeShade="BF"/>
          <w:sz w:val="20"/>
          <w:szCs w:val="20"/>
        </w:rPr>
      </w:pPr>
      <w:r w:rsidRPr="00DC3410">
        <w:rPr>
          <w:rFonts w:ascii="Cambria" w:hAnsi="Cambria"/>
          <w:sz w:val="20"/>
          <w:szCs w:val="20"/>
        </w:rPr>
        <w:t xml:space="preserve">IFRS has specific guidance on the measurement of agricultural and construction inventories, the capitalization of borrowing costs on qualifying assets, and on </w:t>
      </w:r>
      <w:r w:rsidR="00A51741" w:rsidRPr="00DC3410">
        <w:rPr>
          <w:rFonts w:ascii="Cambria" w:hAnsi="Cambria"/>
          <w:b/>
          <w:sz w:val="20"/>
          <w:szCs w:val="20"/>
        </w:rPr>
        <w:t>onerous</w:t>
      </w:r>
      <w:r w:rsidR="00A51741" w:rsidRPr="00DC3410">
        <w:rPr>
          <w:rFonts w:ascii="Cambria" w:hAnsi="Cambria"/>
          <w:sz w:val="20"/>
          <w:szCs w:val="20"/>
        </w:rPr>
        <w:t xml:space="preserve"> contracts</w:t>
      </w:r>
    </w:p>
    <w:p w14:paraId="78578BBC" w14:textId="7667EB5E" w:rsidR="00A51741" w:rsidRPr="00DC3410" w:rsidRDefault="00A51741" w:rsidP="00ED0C73">
      <w:pPr>
        <w:pStyle w:val="ListParagraph"/>
        <w:numPr>
          <w:ilvl w:val="0"/>
          <w:numId w:val="48"/>
        </w:numPr>
        <w:spacing w:line="276" w:lineRule="auto"/>
        <w:rPr>
          <w:rFonts w:ascii="Cambria" w:hAnsi="Cambria"/>
          <w:b/>
          <w:color w:val="E36C0A" w:themeColor="accent6" w:themeShade="BF"/>
          <w:sz w:val="20"/>
          <w:szCs w:val="20"/>
        </w:rPr>
      </w:pPr>
      <w:r w:rsidRPr="00DC3410">
        <w:rPr>
          <w:rFonts w:ascii="Cambria" w:hAnsi="Cambria"/>
          <w:sz w:val="20"/>
          <w:szCs w:val="20"/>
        </w:rPr>
        <w:t xml:space="preserve">Asset retirement obligation may be treated differently under IFRS </w:t>
      </w:r>
    </w:p>
    <w:p w14:paraId="0BBD6326" w14:textId="1E9702D8" w:rsidR="00A51741" w:rsidRPr="00DC3410" w:rsidRDefault="00A51741" w:rsidP="00ED0C73">
      <w:pPr>
        <w:pStyle w:val="ListParagraph"/>
        <w:numPr>
          <w:ilvl w:val="0"/>
          <w:numId w:val="48"/>
        </w:numPr>
        <w:spacing w:line="276" w:lineRule="auto"/>
        <w:rPr>
          <w:rFonts w:ascii="Cambria" w:hAnsi="Cambria"/>
          <w:b/>
          <w:color w:val="E36C0A" w:themeColor="accent6" w:themeShade="BF"/>
          <w:sz w:val="20"/>
          <w:szCs w:val="20"/>
        </w:rPr>
      </w:pPr>
      <w:r w:rsidRPr="00DC3410">
        <w:rPr>
          <w:rFonts w:ascii="Cambria" w:hAnsi="Cambria"/>
          <w:sz w:val="20"/>
          <w:szCs w:val="20"/>
        </w:rPr>
        <w:t>No major changes are expected in the near future</w:t>
      </w:r>
    </w:p>
    <w:p w14:paraId="69BF2628" w14:textId="7A898493" w:rsidR="00157C0B" w:rsidRPr="00DC3410" w:rsidRDefault="00157C0B" w:rsidP="00DC3410">
      <w:pPr>
        <w:spacing w:line="276" w:lineRule="auto"/>
        <w:rPr>
          <w:rFonts w:ascii="Cambria" w:hAnsi="Cambria"/>
          <w:sz w:val="20"/>
          <w:szCs w:val="20"/>
        </w:rPr>
      </w:pPr>
    </w:p>
    <w:p w14:paraId="24F59A76" w14:textId="5A5B4596" w:rsidR="00003879" w:rsidRPr="00DC3410" w:rsidRDefault="00DC3410" w:rsidP="00AF0E8B">
      <w:pPr>
        <w:spacing w:line="276" w:lineRule="auto"/>
        <w:rPr>
          <w:rFonts w:ascii="Cambria" w:hAnsi="Cambria"/>
          <w:b/>
          <w:color w:val="660066"/>
          <w:sz w:val="22"/>
          <w:szCs w:val="20"/>
          <w:u w:val="single"/>
        </w:rPr>
      </w:pPr>
      <w:r w:rsidRPr="00DC3410">
        <w:rPr>
          <w:rFonts w:ascii="Cambria" w:hAnsi="Cambria"/>
          <w:b/>
          <w:color w:val="660066"/>
          <w:sz w:val="22"/>
          <w:szCs w:val="20"/>
          <w:u w:val="single"/>
        </w:rPr>
        <w:t>Chapter 9</w:t>
      </w:r>
    </w:p>
    <w:p w14:paraId="3EB407F9" w14:textId="1B20CA91" w:rsidR="001F6DBA" w:rsidRPr="00DC3410" w:rsidRDefault="00970D87" w:rsidP="00086E79">
      <w:pPr>
        <w:pStyle w:val="ListParagraph"/>
        <w:numPr>
          <w:ilvl w:val="0"/>
          <w:numId w:val="21"/>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Understand the nature of investments including which types of companies have significant investments</w:t>
      </w:r>
    </w:p>
    <w:p w14:paraId="5EB21974" w14:textId="34BDB351" w:rsidR="001F6DBA" w:rsidRPr="00DC3410" w:rsidRDefault="00970D87" w:rsidP="00086E79">
      <w:pPr>
        <w:pStyle w:val="ListParagraph"/>
        <w:numPr>
          <w:ilvl w:val="0"/>
          <w:numId w:val="23"/>
        </w:numPr>
        <w:spacing w:line="276" w:lineRule="auto"/>
        <w:ind w:left="1080"/>
        <w:rPr>
          <w:rFonts w:ascii="Cambria" w:hAnsi="Cambria"/>
          <w:color w:val="E36C0A" w:themeColor="accent6" w:themeShade="BF"/>
          <w:sz w:val="20"/>
          <w:szCs w:val="20"/>
        </w:rPr>
      </w:pPr>
      <w:r w:rsidRPr="00DC3410">
        <w:rPr>
          <w:rFonts w:ascii="Cambria" w:hAnsi="Cambria"/>
          <w:color w:val="000000" w:themeColor="text1"/>
          <w:sz w:val="20"/>
          <w:szCs w:val="20"/>
        </w:rPr>
        <w:t>Investments in basic debt and equity instruments of other companies:</w:t>
      </w:r>
    </w:p>
    <w:p w14:paraId="6C950802" w14:textId="3EFEB4E3" w:rsidR="00970D87" w:rsidRPr="00DC3410" w:rsidRDefault="00970D87" w:rsidP="00086E79">
      <w:pPr>
        <w:pStyle w:val="ListParagraph"/>
        <w:numPr>
          <w:ilvl w:val="1"/>
          <w:numId w:val="23"/>
        </w:numPr>
        <w:spacing w:line="276" w:lineRule="auto"/>
        <w:rPr>
          <w:rFonts w:ascii="Cambria" w:hAnsi="Cambria"/>
          <w:color w:val="E36C0A" w:themeColor="accent6" w:themeShade="BF"/>
          <w:sz w:val="20"/>
          <w:szCs w:val="20"/>
        </w:rPr>
      </w:pPr>
      <w:r w:rsidRPr="00DC3410">
        <w:rPr>
          <w:rFonts w:ascii="Cambria" w:hAnsi="Cambria"/>
          <w:color w:val="000000" w:themeColor="text1"/>
          <w:sz w:val="20"/>
          <w:szCs w:val="20"/>
        </w:rPr>
        <w:t>Debt instruments such as bonds generally carry contractual rights to receive principal and interest payments</w:t>
      </w:r>
    </w:p>
    <w:p w14:paraId="109E36AB" w14:textId="2538D8FB" w:rsidR="00970D87" w:rsidRPr="00DC3410" w:rsidRDefault="00970D87" w:rsidP="00086E79">
      <w:pPr>
        <w:pStyle w:val="ListParagraph"/>
        <w:numPr>
          <w:ilvl w:val="1"/>
          <w:numId w:val="23"/>
        </w:numPr>
        <w:spacing w:line="276" w:lineRule="auto"/>
        <w:rPr>
          <w:rFonts w:ascii="Cambria" w:hAnsi="Cambria"/>
          <w:color w:val="E36C0A" w:themeColor="accent6" w:themeShade="BF"/>
          <w:sz w:val="20"/>
          <w:szCs w:val="20"/>
        </w:rPr>
      </w:pPr>
      <w:r w:rsidRPr="00DC3410">
        <w:rPr>
          <w:rFonts w:ascii="Cambria" w:hAnsi="Cambria"/>
          <w:color w:val="000000" w:themeColor="text1"/>
          <w:sz w:val="20"/>
          <w:szCs w:val="20"/>
        </w:rPr>
        <w:t>Equity investments such as shares may carry contractual rights to receive dividends (depending on the type of share) and may also carry voting rights and/or rights to receive residual assets upon windup of a company</w:t>
      </w:r>
    </w:p>
    <w:p w14:paraId="232AF317" w14:textId="664DDB8A" w:rsidR="00970D87" w:rsidRPr="00DC3410" w:rsidRDefault="00970D87" w:rsidP="00086E79">
      <w:pPr>
        <w:pStyle w:val="ListParagraph"/>
        <w:numPr>
          <w:ilvl w:val="0"/>
          <w:numId w:val="23"/>
        </w:numPr>
        <w:spacing w:line="276" w:lineRule="auto"/>
        <w:rPr>
          <w:rFonts w:ascii="Cambria" w:hAnsi="Cambria"/>
          <w:color w:val="E36C0A" w:themeColor="accent6" w:themeShade="BF"/>
          <w:sz w:val="20"/>
          <w:szCs w:val="20"/>
        </w:rPr>
      </w:pPr>
      <w:r w:rsidRPr="00DC3410">
        <w:rPr>
          <w:rFonts w:ascii="Cambria" w:hAnsi="Cambria"/>
          <w:color w:val="000000" w:themeColor="text1"/>
          <w:sz w:val="20"/>
          <w:szCs w:val="20"/>
        </w:rPr>
        <w:t>Care must be taken to determine exactly what rights the investments entitle the holder to as this will help determine the accounting</w:t>
      </w:r>
    </w:p>
    <w:p w14:paraId="232AF317" w14:textId="664DDB8A" w:rsidR="00970D87" w:rsidRPr="00DC3410" w:rsidRDefault="00970D87" w:rsidP="00086E79">
      <w:pPr>
        <w:pStyle w:val="ListParagraph"/>
        <w:numPr>
          <w:ilvl w:val="0"/>
          <w:numId w:val="23"/>
        </w:numPr>
        <w:spacing w:line="276" w:lineRule="auto"/>
        <w:rPr>
          <w:rFonts w:ascii="Cambria" w:hAnsi="Cambria"/>
          <w:color w:val="E36C0A" w:themeColor="accent6" w:themeShade="BF"/>
          <w:sz w:val="20"/>
          <w:szCs w:val="20"/>
        </w:rPr>
      </w:pPr>
      <w:r w:rsidRPr="00DC3410">
        <w:rPr>
          <w:rFonts w:ascii="Cambria" w:hAnsi="Cambria"/>
          <w:color w:val="000000" w:themeColor="text1"/>
          <w:sz w:val="20"/>
          <w:szCs w:val="20"/>
        </w:rPr>
        <w:t>Not all companies carry significant investments; it depends on the business model</w:t>
      </w:r>
    </w:p>
    <w:p w14:paraId="04A08251" w14:textId="04EB08C7" w:rsidR="001F6DBA" w:rsidRPr="00DC3410" w:rsidRDefault="00970D87" w:rsidP="00086E79">
      <w:pPr>
        <w:pStyle w:val="ListParagraph"/>
        <w:numPr>
          <w:ilvl w:val="1"/>
          <w:numId w:val="23"/>
        </w:numPr>
        <w:spacing w:line="276" w:lineRule="auto"/>
        <w:rPr>
          <w:rFonts w:ascii="Cambria" w:hAnsi="Cambria"/>
          <w:color w:val="E36C0A" w:themeColor="accent6" w:themeShade="BF"/>
          <w:sz w:val="20"/>
          <w:szCs w:val="20"/>
        </w:rPr>
      </w:pPr>
      <w:r w:rsidRPr="00DC3410">
        <w:rPr>
          <w:rFonts w:ascii="Cambria" w:hAnsi="Cambria"/>
          <w:color w:val="000000" w:themeColor="text1"/>
          <w:sz w:val="20"/>
          <w:szCs w:val="20"/>
        </w:rPr>
        <w:t>Examples of types of companies that generally carry significant influence are financial institutions, insurance companies, and pension funds</w:t>
      </w:r>
    </w:p>
    <w:p w14:paraId="5D6223A5" w14:textId="483D4530" w:rsidR="0086185D" w:rsidRPr="00DC3410" w:rsidRDefault="00970D87" w:rsidP="00086E79">
      <w:pPr>
        <w:pStyle w:val="ListParagraph"/>
        <w:numPr>
          <w:ilvl w:val="0"/>
          <w:numId w:val="21"/>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Explain and apple the cost/amortized cost model of accounting for investments</w:t>
      </w:r>
    </w:p>
    <w:p w14:paraId="445474E0" w14:textId="77777777" w:rsidR="00970D87"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At acquisition, the cost of the investment is recognized at its fair value plus transaction costs</w:t>
      </w:r>
    </w:p>
    <w:p w14:paraId="293CE2A2" w14:textId="174A6771" w:rsidR="00970D87"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If the investment is a debt instrument, any premium or discount is amortized to interest income</w:t>
      </w:r>
    </w:p>
    <w:p w14:paraId="3630DDE9" w14:textId="5A71849A" w:rsidR="00970D87"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Holding gains are recognized only when realized, as are holding losses, unless the investment is impaired</w:t>
      </w:r>
    </w:p>
    <w:p w14:paraId="47F4A3F7" w14:textId="77777777" w:rsidR="00970D87"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The investment is reported at its cost or amortized cost as either a current asset or a long-term investment, depending on its maturity and management’s intention to hold it</w:t>
      </w:r>
    </w:p>
    <w:p w14:paraId="1B173B1C" w14:textId="134E2FA4" w:rsidR="00970D87"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 xml:space="preserve">ASPE uses this model for most investments </w:t>
      </w:r>
      <w:r w:rsidRPr="00DC3410">
        <w:rPr>
          <w:rFonts w:ascii="Cambria" w:hAnsi="Cambria"/>
          <w:b/>
          <w:color w:val="000000" w:themeColor="text1"/>
          <w:sz w:val="20"/>
          <w:szCs w:val="20"/>
        </w:rPr>
        <w:t>excluding</w:t>
      </w:r>
      <w:r w:rsidRPr="00DC3410">
        <w:rPr>
          <w:rFonts w:ascii="Cambria" w:hAnsi="Cambria"/>
          <w:color w:val="000000" w:themeColor="text1"/>
          <w:sz w:val="20"/>
          <w:szCs w:val="20"/>
        </w:rPr>
        <w:t xml:space="preserve"> equity investments where an active market exists for trading the shares and derivatives</w:t>
      </w:r>
      <w:r w:rsidR="00D737C4" w:rsidRPr="00DC3410">
        <w:rPr>
          <w:rFonts w:ascii="Cambria" w:hAnsi="Cambria"/>
          <w:color w:val="000000" w:themeColor="text1"/>
          <w:sz w:val="20"/>
          <w:szCs w:val="20"/>
        </w:rPr>
        <w:t xml:space="preserve"> (in this case, use the FV-NI model)</w:t>
      </w:r>
    </w:p>
    <w:p w14:paraId="04AAE7CE" w14:textId="336C6C86" w:rsidR="00970D87"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IAS 39 uses this model for debt investments where the entity has the intent and ability to hold the investment to maturity</w:t>
      </w:r>
    </w:p>
    <w:p w14:paraId="7D692CD7" w14:textId="422C01B8" w:rsidR="00970D87"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It is also used for equity investments where the entity is unable to measure fair value</w:t>
      </w:r>
    </w:p>
    <w:p w14:paraId="607F28B6" w14:textId="70313198" w:rsidR="0086185D" w:rsidRPr="00DC3410" w:rsidRDefault="00970D87"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IFRS 9 uses this model for debt instruments where the entity’s business model is to hold the investments to maturity</w:t>
      </w:r>
    </w:p>
    <w:p w14:paraId="61E9CC45" w14:textId="68981CA8" w:rsidR="00D84DC2" w:rsidRPr="00DC3410" w:rsidRDefault="0042312C" w:rsidP="00086E79">
      <w:pPr>
        <w:pStyle w:val="ListParagraph"/>
        <w:numPr>
          <w:ilvl w:val="0"/>
          <w:numId w:val="21"/>
        </w:numPr>
        <w:spacing w:line="276" w:lineRule="auto"/>
        <w:ind w:left="360"/>
        <w:rPr>
          <w:rFonts w:ascii="Cambria" w:hAnsi="Cambria"/>
          <w:color w:val="000000" w:themeColor="text1"/>
          <w:sz w:val="20"/>
          <w:szCs w:val="20"/>
        </w:rPr>
      </w:pPr>
      <w:r w:rsidRPr="00DC3410">
        <w:rPr>
          <w:rFonts w:ascii="Cambria" w:hAnsi="Cambria"/>
          <w:b/>
          <w:color w:val="E36C0A" w:themeColor="accent6" w:themeShade="BF"/>
          <w:sz w:val="20"/>
          <w:szCs w:val="20"/>
        </w:rPr>
        <w:t>Explain and apply the fair value through net income model of accounting for investments</w:t>
      </w:r>
    </w:p>
    <w:p w14:paraId="688DEABF" w14:textId="77777777" w:rsidR="0042312C" w:rsidRPr="00DC3410" w:rsidRDefault="0042312C"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At acquisition, the investment is recognized at its fair value, with transaction costs being expensed</w:t>
      </w:r>
    </w:p>
    <w:p w14:paraId="2EAF11C7" w14:textId="14F2AA19" w:rsidR="00D84DC2" w:rsidRPr="00DC3410" w:rsidRDefault="0042312C"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 xml:space="preserve">At each reporting date, the investment is revalued to its current fair value, with holding gains and losses reported in </w:t>
      </w:r>
      <w:r w:rsidRPr="00DC3410">
        <w:rPr>
          <w:rFonts w:ascii="Cambria" w:hAnsi="Cambria"/>
          <w:b/>
          <w:sz w:val="20"/>
          <w:szCs w:val="20"/>
        </w:rPr>
        <w:t>net income</w:t>
      </w:r>
    </w:p>
    <w:p w14:paraId="1D31A77A" w14:textId="5A48F2A5" w:rsidR="0042312C" w:rsidRPr="00DC3410" w:rsidRDefault="0042312C"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Dividend and interest income is also recognized in net income</w:t>
      </w:r>
    </w:p>
    <w:p w14:paraId="3E9AF8D6" w14:textId="746FE347" w:rsidR="0042312C" w:rsidRPr="00DC3410" w:rsidRDefault="0042312C"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 xml:space="preserve">If the </w:t>
      </w:r>
      <w:r w:rsidR="00D737C4" w:rsidRPr="00DC3410">
        <w:rPr>
          <w:rFonts w:ascii="Cambria" w:hAnsi="Cambria"/>
          <w:sz w:val="20"/>
          <w:szCs w:val="20"/>
        </w:rPr>
        <w:t>investment</w:t>
      </w:r>
      <w:r w:rsidRPr="00DC3410">
        <w:rPr>
          <w:rFonts w:ascii="Cambria" w:hAnsi="Cambria"/>
          <w:sz w:val="20"/>
          <w:szCs w:val="20"/>
        </w:rPr>
        <w:t xml:space="preserve"> is not held for trading purposes, any interest income is reported separately and is adjusted for discount or premium amortization</w:t>
      </w:r>
    </w:p>
    <w:p w14:paraId="2DB1CB15" w14:textId="21F3B273" w:rsidR="0042312C" w:rsidRPr="00DC3410" w:rsidRDefault="0042312C"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 xml:space="preserve">If </w:t>
      </w:r>
      <w:r w:rsidR="00D737C4" w:rsidRPr="00DC3410">
        <w:rPr>
          <w:rFonts w:ascii="Cambria" w:hAnsi="Cambria"/>
          <w:sz w:val="20"/>
          <w:szCs w:val="20"/>
        </w:rPr>
        <w:t>held</w:t>
      </w:r>
      <w:r w:rsidRPr="00DC3410">
        <w:rPr>
          <w:rFonts w:ascii="Cambria" w:hAnsi="Cambria"/>
          <w:sz w:val="20"/>
          <w:szCs w:val="20"/>
        </w:rPr>
        <w:t xml:space="preserve"> for trading or other </w:t>
      </w:r>
      <w:r w:rsidR="00D737C4" w:rsidRPr="00DC3410">
        <w:rPr>
          <w:rFonts w:ascii="Cambria" w:hAnsi="Cambria"/>
          <w:sz w:val="20"/>
          <w:szCs w:val="20"/>
        </w:rPr>
        <w:t>current</w:t>
      </w:r>
      <w:r w:rsidRPr="00DC3410">
        <w:rPr>
          <w:rFonts w:ascii="Cambria" w:hAnsi="Cambria"/>
          <w:sz w:val="20"/>
          <w:szCs w:val="20"/>
        </w:rPr>
        <w:t xml:space="preserve"> purposes, the investment is reported as a current asset</w:t>
      </w:r>
    </w:p>
    <w:p w14:paraId="2A60BBE5" w14:textId="331B11D5" w:rsidR="00D737C4" w:rsidRPr="00DC3410" w:rsidRDefault="00D737C4"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ASPE uses this for equity instruments where there is an active market or derivatives</w:t>
      </w:r>
    </w:p>
    <w:p w14:paraId="5C15002E" w14:textId="4F95302B" w:rsidR="00D737C4" w:rsidRPr="00DC3410" w:rsidRDefault="00D737C4"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IAS 39 uses this for held for trading securities including derivatives</w:t>
      </w:r>
    </w:p>
    <w:p w14:paraId="45EA7B9E" w14:textId="6D01906B" w:rsidR="00D737C4" w:rsidRPr="00DC3410" w:rsidRDefault="00D737C4"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IFRS 9 uses this model for all investments not accounted for under cost/amortized cost model or the FV-OCI model</w:t>
      </w:r>
    </w:p>
    <w:p w14:paraId="64C6B877" w14:textId="16EE60BA" w:rsidR="00D84DC2" w:rsidRPr="00DC3410" w:rsidRDefault="00D737C4" w:rsidP="00086E79">
      <w:pPr>
        <w:pStyle w:val="ListParagraph"/>
        <w:numPr>
          <w:ilvl w:val="0"/>
          <w:numId w:val="25"/>
        </w:numPr>
        <w:spacing w:line="276" w:lineRule="auto"/>
        <w:ind w:left="1080"/>
        <w:rPr>
          <w:rFonts w:ascii="Cambria" w:hAnsi="Cambria"/>
          <w:sz w:val="20"/>
          <w:szCs w:val="20"/>
        </w:rPr>
      </w:pPr>
      <w:r w:rsidRPr="00DC3410">
        <w:rPr>
          <w:rFonts w:ascii="Cambria" w:hAnsi="Cambria"/>
          <w:sz w:val="20"/>
          <w:szCs w:val="20"/>
        </w:rPr>
        <w:t>ASPE and IFRS both allow any investment to be accounted for using FV-NI under the fair value option</w:t>
      </w:r>
    </w:p>
    <w:p w14:paraId="6EE6ECDF" w14:textId="4F4C3EF8" w:rsidR="00957985" w:rsidRPr="00DC3410" w:rsidRDefault="00957985" w:rsidP="00086E79">
      <w:pPr>
        <w:pStyle w:val="ListParagraph"/>
        <w:numPr>
          <w:ilvl w:val="0"/>
          <w:numId w:val="21"/>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Explain and apply the fair value through other comprehensive income model of accounting for investments</w:t>
      </w:r>
    </w:p>
    <w:p w14:paraId="64AAF596" w14:textId="4E39C9FA" w:rsidR="00DC4EF2" w:rsidRPr="00DC3410" w:rsidRDefault="00957985"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sz w:val="20"/>
          <w:szCs w:val="20"/>
        </w:rPr>
        <w:t xml:space="preserve">At acquisition, </w:t>
      </w:r>
      <w:r w:rsidR="006C26C1" w:rsidRPr="00DC3410">
        <w:rPr>
          <w:rFonts w:ascii="Cambria" w:hAnsi="Cambria"/>
          <w:color w:val="000000" w:themeColor="text1"/>
          <w:sz w:val="20"/>
          <w:szCs w:val="20"/>
        </w:rPr>
        <w:t>the cost of the investment is recognized at its fair value plus transaction costs</w:t>
      </w:r>
    </w:p>
    <w:p w14:paraId="1A065C7B" w14:textId="4A914A76" w:rsidR="006C26C1" w:rsidRPr="00DC3410" w:rsidRDefault="006C26C1"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sz w:val="20"/>
          <w:szCs w:val="20"/>
        </w:rPr>
        <w:t xml:space="preserve">At each reporting date, the investment is revalued to its current fair value, with the holding gains or losses reported in </w:t>
      </w:r>
      <w:r w:rsidRPr="00DC3410">
        <w:rPr>
          <w:rFonts w:ascii="Cambria" w:hAnsi="Cambria"/>
          <w:b/>
          <w:sz w:val="20"/>
          <w:szCs w:val="20"/>
        </w:rPr>
        <w:t>other comprehensive income</w:t>
      </w:r>
    </w:p>
    <w:p w14:paraId="1B82D772" w14:textId="6791244D" w:rsidR="006C26C1" w:rsidRPr="00DC3410" w:rsidRDefault="006C26C1"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sz w:val="20"/>
          <w:szCs w:val="20"/>
        </w:rPr>
        <w:t>On disposal, the accumulated holding gains or losses are either recycled to net income (IAS 39) or transferred directly to retained earning (IFRS 9)</w:t>
      </w:r>
    </w:p>
    <w:p w14:paraId="2DB72EF4" w14:textId="0D8AAF42" w:rsidR="006C26C1" w:rsidRPr="00DC3410" w:rsidRDefault="006C26C1"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sz w:val="20"/>
          <w:szCs w:val="20"/>
        </w:rPr>
        <w:t>Investments are reported as current or long-term assets, depending on marketability and management intent</w:t>
      </w:r>
    </w:p>
    <w:p w14:paraId="38CC37EF" w14:textId="630A135A" w:rsidR="006C26C1" w:rsidRPr="00DC3410" w:rsidRDefault="006C26C1"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sz w:val="20"/>
          <w:szCs w:val="20"/>
        </w:rPr>
        <w:t>ASPE does not allow this method</w:t>
      </w:r>
    </w:p>
    <w:p w14:paraId="1C722BE1" w14:textId="41D8A3B8" w:rsidR="006C26C1" w:rsidRPr="00DC3410" w:rsidRDefault="006C26C1"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sz w:val="20"/>
          <w:szCs w:val="20"/>
        </w:rPr>
        <w:t>IAS 39 allows this method for available for sale investments</w:t>
      </w:r>
    </w:p>
    <w:p w14:paraId="149561E1" w14:textId="2F0D9F6A" w:rsidR="006C26C1" w:rsidRPr="00DC3410" w:rsidRDefault="006C26C1" w:rsidP="00086E79">
      <w:pPr>
        <w:pStyle w:val="ListParagraph"/>
        <w:numPr>
          <w:ilvl w:val="0"/>
          <w:numId w:val="24"/>
        </w:numPr>
        <w:spacing w:line="276" w:lineRule="auto"/>
        <w:ind w:left="1080"/>
        <w:rPr>
          <w:rFonts w:ascii="Cambria" w:hAnsi="Cambria"/>
          <w:color w:val="000000" w:themeColor="text1"/>
          <w:sz w:val="20"/>
          <w:szCs w:val="20"/>
        </w:rPr>
      </w:pPr>
      <w:r w:rsidRPr="00DC3410">
        <w:rPr>
          <w:rFonts w:ascii="Cambria" w:hAnsi="Cambria"/>
          <w:sz w:val="20"/>
          <w:szCs w:val="20"/>
        </w:rPr>
        <w:t>IFRS 9 allows this method for certain equity investments</w:t>
      </w:r>
    </w:p>
    <w:p w14:paraId="5A1BFAF4" w14:textId="0B3E1A54" w:rsidR="00430BFF" w:rsidRPr="00DC3410" w:rsidRDefault="00711393" w:rsidP="00086E79">
      <w:pPr>
        <w:pStyle w:val="ListParagraph"/>
        <w:numPr>
          <w:ilvl w:val="0"/>
          <w:numId w:val="21"/>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 and apply the incurred loss, expected loss, and fair value loss impairment models</w:t>
      </w:r>
    </w:p>
    <w:p w14:paraId="463B5BCF" w14:textId="0AC5FE48" w:rsidR="00711393" w:rsidRPr="00DC3410" w:rsidRDefault="00711393"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The three impairments loss models differ in the timing of the recognition of impairment losses and the discount rate used</w:t>
      </w:r>
    </w:p>
    <w:p w14:paraId="6970783E" w14:textId="157C283B" w:rsidR="00711393" w:rsidRPr="00DC3410" w:rsidRDefault="00711393"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 xml:space="preserve">Under the </w:t>
      </w:r>
      <w:r w:rsidRPr="00DC3410">
        <w:rPr>
          <w:rFonts w:ascii="Cambria" w:hAnsi="Cambria"/>
          <w:b/>
          <w:sz w:val="20"/>
          <w:szCs w:val="20"/>
        </w:rPr>
        <w:t>incurred los approach</w:t>
      </w:r>
      <w:r w:rsidRPr="00DC3410">
        <w:rPr>
          <w:rFonts w:ascii="Cambria" w:hAnsi="Cambria"/>
          <w:sz w:val="20"/>
          <w:szCs w:val="20"/>
        </w:rPr>
        <w:t>, a triggering event is required before a loss is recognized and measured, and the revised cash flows are discounted using either the historical or a current market rate</w:t>
      </w:r>
    </w:p>
    <w:p w14:paraId="14DB8DCE" w14:textId="55284B50" w:rsidR="00711393" w:rsidRPr="00DC3410" w:rsidRDefault="00711393"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 xml:space="preserve">Under the </w:t>
      </w:r>
      <w:r w:rsidRPr="00DC3410">
        <w:rPr>
          <w:rFonts w:ascii="Cambria" w:hAnsi="Cambria"/>
          <w:b/>
          <w:sz w:val="20"/>
          <w:szCs w:val="20"/>
        </w:rPr>
        <w:t>expected loss appro</w:t>
      </w:r>
      <w:r w:rsidRPr="00DC3410">
        <w:rPr>
          <w:rFonts w:ascii="Cambria" w:hAnsi="Cambria"/>
          <w:sz w:val="20"/>
          <w:szCs w:val="20"/>
        </w:rPr>
        <w:t>ach, no triggering event is required, and revised cash flows and impairments losses are discounted on a continual basis; the discount rate is the historical/original rate</w:t>
      </w:r>
    </w:p>
    <w:p w14:paraId="44F76F4A" w14:textId="34400D7D" w:rsidR="00711393" w:rsidRPr="00DC3410" w:rsidRDefault="00711393"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 xml:space="preserve">Using the </w:t>
      </w:r>
      <w:r w:rsidRPr="00DC3410">
        <w:rPr>
          <w:rFonts w:ascii="Cambria" w:hAnsi="Cambria"/>
          <w:b/>
          <w:sz w:val="20"/>
          <w:szCs w:val="20"/>
        </w:rPr>
        <w:t>fair value loss</w:t>
      </w:r>
      <w:r w:rsidRPr="00DC3410">
        <w:rPr>
          <w:rFonts w:ascii="Cambria" w:hAnsi="Cambria"/>
          <w:sz w:val="20"/>
          <w:szCs w:val="20"/>
        </w:rPr>
        <w:t xml:space="preserve"> model, the asset is written down to fair value taking into account market information</w:t>
      </w:r>
    </w:p>
    <w:p w14:paraId="3553814A" w14:textId="6035FDD9" w:rsidR="00430BFF" w:rsidRPr="00DC3410" w:rsidRDefault="0052252C"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ASPE and IFRS use the incurred loss model for all cost/amortized cost investments, although the post-impairment carrying values are measured differently</w:t>
      </w:r>
    </w:p>
    <w:p w14:paraId="59E27882" w14:textId="59F1F119" w:rsidR="0052252C" w:rsidRPr="00DC3410" w:rsidRDefault="0052252C"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IAS 39 uses the incurred loss model for FV-OCI investments once a trigger or loss event has occurred and any resulting impairment loss is recognized in net income</w:t>
      </w:r>
    </w:p>
    <w:p w14:paraId="556974DC" w14:textId="526CC176" w:rsidR="0052252C" w:rsidRPr="00DC3410" w:rsidRDefault="0052252C"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Under IFRS 9, impairment losses on FV-OCI investment are not recognized in net income</w:t>
      </w:r>
    </w:p>
    <w:p w14:paraId="17ACE369" w14:textId="397BE3F6" w:rsidR="0052252C" w:rsidRPr="00DC3410" w:rsidRDefault="0052252C" w:rsidP="00086E79">
      <w:pPr>
        <w:pStyle w:val="ListParagraph"/>
        <w:numPr>
          <w:ilvl w:val="0"/>
          <w:numId w:val="26"/>
        </w:numPr>
        <w:spacing w:line="276" w:lineRule="auto"/>
        <w:ind w:left="1080"/>
        <w:rPr>
          <w:rFonts w:ascii="Cambria" w:hAnsi="Cambria"/>
          <w:sz w:val="20"/>
          <w:szCs w:val="20"/>
        </w:rPr>
      </w:pPr>
      <w:r w:rsidRPr="00DC3410">
        <w:rPr>
          <w:rFonts w:ascii="Cambria" w:hAnsi="Cambria"/>
          <w:sz w:val="20"/>
          <w:szCs w:val="20"/>
        </w:rPr>
        <w:t>Where the FV-NI model is used, there is no need to specifically asses impairment because the investment is continually revalued to fair value and any gains or losses are booked to income</w:t>
      </w:r>
    </w:p>
    <w:p w14:paraId="6F9E1989" w14:textId="5E51A6FE" w:rsidR="005011FE" w:rsidRPr="00DC3410" w:rsidRDefault="0052252C" w:rsidP="00086E79">
      <w:pPr>
        <w:pStyle w:val="ListParagraph"/>
        <w:numPr>
          <w:ilvl w:val="0"/>
          <w:numId w:val="21"/>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 the concept of significant influence and apply the equity model</w:t>
      </w:r>
    </w:p>
    <w:p w14:paraId="1FBB81C0" w14:textId="27BEC64F" w:rsidR="005011FE" w:rsidRPr="00DC3410" w:rsidRDefault="0052252C" w:rsidP="00086E79">
      <w:pPr>
        <w:pStyle w:val="ListParagraph"/>
        <w:numPr>
          <w:ilvl w:val="0"/>
          <w:numId w:val="27"/>
        </w:numPr>
        <w:spacing w:line="276" w:lineRule="auto"/>
        <w:ind w:left="1080"/>
        <w:rPr>
          <w:rFonts w:ascii="Cambria" w:hAnsi="Cambria"/>
          <w:b/>
          <w:sz w:val="20"/>
          <w:szCs w:val="20"/>
        </w:rPr>
      </w:pPr>
      <w:r w:rsidRPr="00DC3410">
        <w:rPr>
          <w:rFonts w:ascii="Cambria" w:hAnsi="Cambria"/>
          <w:b/>
          <w:sz w:val="20"/>
          <w:szCs w:val="20"/>
        </w:rPr>
        <w:t xml:space="preserve">Significant influence </w:t>
      </w:r>
      <w:r w:rsidRPr="00DC3410">
        <w:rPr>
          <w:rFonts w:ascii="Cambria" w:hAnsi="Cambria"/>
          <w:sz w:val="20"/>
          <w:szCs w:val="20"/>
        </w:rPr>
        <w:t>is the ability to have an effect on strategic decisions made by tan investee’s board of directors, but not enough to control those decisions</w:t>
      </w:r>
    </w:p>
    <w:p w14:paraId="437FD884" w14:textId="225989EE" w:rsidR="0052252C" w:rsidRPr="00DC3410" w:rsidRDefault="0052252C" w:rsidP="00086E79">
      <w:pPr>
        <w:pStyle w:val="ListParagraph"/>
        <w:numPr>
          <w:ilvl w:val="0"/>
          <w:numId w:val="27"/>
        </w:numPr>
        <w:spacing w:line="276" w:lineRule="auto"/>
        <w:ind w:left="1080"/>
        <w:rPr>
          <w:rFonts w:ascii="Cambria" w:hAnsi="Cambria"/>
          <w:sz w:val="20"/>
          <w:szCs w:val="20"/>
        </w:rPr>
      </w:pPr>
      <w:r w:rsidRPr="00DC3410">
        <w:rPr>
          <w:rFonts w:ascii="Cambria" w:hAnsi="Cambria"/>
          <w:sz w:val="20"/>
          <w:szCs w:val="20"/>
        </w:rPr>
        <w:t>The equity model, sometimes referred to as one-line consolidation, is used because income is recognized by the investor as it is earned</w:t>
      </w:r>
    </w:p>
    <w:p w14:paraId="5CC1E8C0" w14:textId="0CA019DD" w:rsidR="0052252C" w:rsidRPr="00DC3410" w:rsidRDefault="0052252C" w:rsidP="00086E79">
      <w:pPr>
        <w:pStyle w:val="ListParagraph"/>
        <w:numPr>
          <w:ilvl w:val="0"/>
          <w:numId w:val="27"/>
        </w:numPr>
        <w:spacing w:line="276" w:lineRule="auto"/>
        <w:ind w:left="1080"/>
        <w:rPr>
          <w:rFonts w:ascii="Cambria" w:hAnsi="Cambria"/>
          <w:sz w:val="20"/>
          <w:szCs w:val="20"/>
        </w:rPr>
      </w:pPr>
      <w:r w:rsidRPr="00DC3410">
        <w:rPr>
          <w:rFonts w:ascii="Cambria" w:hAnsi="Cambria"/>
          <w:sz w:val="20"/>
          <w:szCs w:val="20"/>
        </w:rPr>
        <w:t>The investor’s income statement will reflect the performance of the investee company</w:t>
      </w:r>
    </w:p>
    <w:p w14:paraId="21606FB2" w14:textId="39081EA8" w:rsidR="0052252C" w:rsidRPr="00DC3410" w:rsidRDefault="0052252C" w:rsidP="00086E79">
      <w:pPr>
        <w:pStyle w:val="ListParagraph"/>
        <w:numPr>
          <w:ilvl w:val="0"/>
          <w:numId w:val="27"/>
        </w:numPr>
        <w:spacing w:line="276" w:lineRule="auto"/>
        <w:ind w:left="1080"/>
        <w:rPr>
          <w:rFonts w:ascii="Cambria" w:hAnsi="Cambria"/>
          <w:sz w:val="20"/>
          <w:szCs w:val="20"/>
        </w:rPr>
      </w:pPr>
      <w:r w:rsidRPr="00DC3410">
        <w:rPr>
          <w:rFonts w:ascii="Cambria" w:hAnsi="Cambria"/>
          <w:sz w:val="20"/>
          <w:szCs w:val="20"/>
        </w:rPr>
        <w:t>Under this method, the investment account is adjusted for all changes in the investee’s book value and for the amortization o any purchase discrepancy</w:t>
      </w:r>
    </w:p>
    <w:p w14:paraId="799732BE" w14:textId="344E3ED0" w:rsidR="0052252C" w:rsidRPr="00DC3410" w:rsidRDefault="0052252C" w:rsidP="00086E79">
      <w:pPr>
        <w:pStyle w:val="ListParagraph"/>
        <w:numPr>
          <w:ilvl w:val="0"/>
          <w:numId w:val="27"/>
        </w:numPr>
        <w:spacing w:line="276" w:lineRule="auto"/>
        <w:ind w:left="1080"/>
        <w:rPr>
          <w:rFonts w:ascii="Cambria" w:hAnsi="Cambria"/>
          <w:sz w:val="20"/>
          <w:szCs w:val="20"/>
        </w:rPr>
      </w:pPr>
      <w:r w:rsidRPr="00DC3410">
        <w:rPr>
          <w:rFonts w:ascii="Cambria" w:hAnsi="Cambria"/>
          <w:sz w:val="20"/>
          <w:szCs w:val="20"/>
        </w:rPr>
        <w:t>IFRS requires use of the equity method for its associated (investees a company can significantly influence)</w:t>
      </w:r>
    </w:p>
    <w:p w14:paraId="086066F0" w14:textId="310B2E68" w:rsidR="0052252C" w:rsidRPr="00DC3410" w:rsidRDefault="0052252C" w:rsidP="00086E79">
      <w:pPr>
        <w:pStyle w:val="ListParagraph"/>
        <w:numPr>
          <w:ilvl w:val="0"/>
          <w:numId w:val="27"/>
        </w:numPr>
        <w:spacing w:line="276" w:lineRule="auto"/>
        <w:ind w:left="1080"/>
        <w:rPr>
          <w:rFonts w:ascii="Cambria" w:hAnsi="Cambria"/>
          <w:sz w:val="20"/>
          <w:szCs w:val="20"/>
        </w:rPr>
      </w:pPr>
      <w:r w:rsidRPr="00DC3410">
        <w:rPr>
          <w:rFonts w:ascii="Cambria" w:hAnsi="Cambria"/>
          <w:sz w:val="20"/>
          <w:szCs w:val="20"/>
        </w:rPr>
        <w:t>ASPE provides a policy choice: either the equity method or the cost method except that associated with a quoted price in an active market cannot be accounted for at cost</w:t>
      </w:r>
    </w:p>
    <w:p w14:paraId="1EDD86BF" w14:textId="758F9771" w:rsidR="00C51776" w:rsidRPr="00DC3410" w:rsidRDefault="0052252C" w:rsidP="00086E79">
      <w:pPr>
        <w:pStyle w:val="ListParagraph"/>
        <w:numPr>
          <w:ilvl w:val="0"/>
          <w:numId w:val="27"/>
        </w:numPr>
        <w:spacing w:line="276" w:lineRule="auto"/>
        <w:ind w:left="1080"/>
        <w:rPr>
          <w:rFonts w:ascii="Cambria" w:hAnsi="Cambria"/>
          <w:sz w:val="20"/>
          <w:szCs w:val="20"/>
        </w:rPr>
      </w:pPr>
      <w:r w:rsidRPr="00DC3410">
        <w:rPr>
          <w:rFonts w:ascii="Cambria" w:hAnsi="Cambria"/>
          <w:sz w:val="20"/>
          <w:szCs w:val="20"/>
        </w:rPr>
        <w:t>Instead, the FV-NI model can be used</w:t>
      </w:r>
    </w:p>
    <w:p w14:paraId="2175A96F" w14:textId="431C95F8" w:rsidR="00C62BA5" w:rsidRPr="00DC3410" w:rsidRDefault="00F1380A" w:rsidP="00086E79">
      <w:pPr>
        <w:pStyle w:val="ListParagraph"/>
        <w:numPr>
          <w:ilvl w:val="0"/>
          <w:numId w:val="21"/>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w:t>
      </w:r>
      <w:r w:rsidR="00E95360" w:rsidRPr="00DC3410">
        <w:rPr>
          <w:rFonts w:ascii="Cambria" w:hAnsi="Cambria"/>
          <w:b/>
          <w:color w:val="E36C0A" w:themeColor="accent6" w:themeShade="BF"/>
          <w:sz w:val="20"/>
          <w:szCs w:val="20"/>
        </w:rPr>
        <w:t xml:space="preserve"> the concept of control and when consolidation is </w:t>
      </w:r>
      <w:r w:rsidRPr="00DC3410">
        <w:rPr>
          <w:rFonts w:ascii="Cambria" w:hAnsi="Cambria"/>
          <w:b/>
          <w:color w:val="E36C0A" w:themeColor="accent6" w:themeShade="BF"/>
          <w:sz w:val="20"/>
          <w:szCs w:val="20"/>
        </w:rPr>
        <w:t>appropriate</w:t>
      </w:r>
    </w:p>
    <w:p w14:paraId="31074A82" w14:textId="24DE0726" w:rsidR="00E95360" w:rsidRPr="00DC3410" w:rsidRDefault="00E95360" w:rsidP="00086E79">
      <w:pPr>
        <w:pStyle w:val="ListParagraph"/>
        <w:numPr>
          <w:ilvl w:val="0"/>
          <w:numId w:val="28"/>
        </w:numPr>
        <w:spacing w:line="276" w:lineRule="auto"/>
        <w:ind w:left="1080"/>
        <w:rPr>
          <w:rFonts w:ascii="Cambria" w:hAnsi="Cambria"/>
          <w:sz w:val="20"/>
          <w:szCs w:val="20"/>
        </w:rPr>
      </w:pPr>
      <w:r w:rsidRPr="00DC3410">
        <w:rPr>
          <w:rFonts w:ascii="Cambria" w:hAnsi="Cambria"/>
          <w:b/>
          <w:sz w:val="20"/>
          <w:szCs w:val="20"/>
        </w:rPr>
        <w:t>Control</w:t>
      </w:r>
      <w:r w:rsidR="00086E79" w:rsidRPr="00DC3410">
        <w:rPr>
          <w:rFonts w:ascii="Cambria" w:hAnsi="Cambria"/>
          <w:sz w:val="20"/>
          <w:szCs w:val="20"/>
        </w:rPr>
        <w:t xml:space="preserve"> relates</w:t>
      </w:r>
      <w:r w:rsidRPr="00DC3410">
        <w:rPr>
          <w:rFonts w:ascii="Cambria" w:hAnsi="Cambria"/>
          <w:sz w:val="20"/>
          <w:szCs w:val="20"/>
        </w:rPr>
        <w:t xml:space="preserve"> to the ability to direct the strategic decisions of another entity and to generate </w:t>
      </w:r>
      <w:r w:rsidR="00F1380A" w:rsidRPr="00DC3410">
        <w:rPr>
          <w:rFonts w:ascii="Cambria" w:hAnsi="Cambria"/>
          <w:sz w:val="20"/>
          <w:szCs w:val="20"/>
        </w:rPr>
        <w:t>returns</w:t>
      </w:r>
      <w:r w:rsidRPr="00DC3410">
        <w:rPr>
          <w:rFonts w:ascii="Cambria" w:hAnsi="Cambria"/>
          <w:sz w:val="20"/>
          <w:szCs w:val="20"/>
        </w:rPr>
        <w:t xml:space="preserve"> for your </w:t>
      </w:r>
      <w:r w:rsidR="00F1380A" w:rsidRPr="00DC3410">
        <w:rPr>
          <w:rFonts w:ascii="Cambria" w:hAnsi="Cambria"/>
          <w:sz w:val="20"/>
          <w:szCs w:val="20"/>
        </w:rPr>
        <w:t>own</w:t>
      </w:r>
      <w:r w:rsidRPr="00DC3410">
        <w:rPr>
          <w:rFonts w:ascii="Cambria" w:hAnsi="Cambria"/>
          <w:sz w:val="20"/>
          <w:szCs w:val="20"/>
        </w:rPr>
        <w:t xml:space="preserve"> benefit or loss</w:t>
      </w:r>
    </w:p>
    <w:p w14:paraId="03A280C9" w14:textId="364FDEFE" w:rsidR="00E95360" w:rsidRPr="00DC3410" w:rsidRDefault="00E95360" w:rsidP="00086E79">
      <w:pPr>
        <w:pStyle w:val="ListParagraph"/>
        <w:numPr>
          <w:ilvl w:val="0"/>
          <w:numId w:val="28"/>
        </w:numPr>
        <w:spacing w:line="276" w:lineRule="auto"/>
        <w:ind w:left="1080"/>
        <w:rPr>
          <w:rFonts w:ascii="Cambria" w:hAnsi="Cambria"/>
          <w:sz w:val="20"/>
          <w:szCs w:val="20"/>
        </w:rPr>
      </w:pPr>
      <w:r w:rsidRPr="00DC3410">
        <w:rPr>
          <w:rFonts w:ascii="Cambria" w:hAnsi="Cambria"/>
          <w:sz w:val="20"/>
          <w:szCs w:val="20"/>
        </w:rPr>
        <w:t xml:space="preserve">When one company controls </w:t>
      </w:r>
      <w:r w:rsidR="00F1380A" w:rsidRPr="00DC3410">
        <w:rPr>
          <w:rFonts w:ascii="Cambria" w:hAnsi="Cambria"/>
          <w:sz w:val="20"/>
          <w:szCs w:val="20"/>
        </w:rPr>
        <w:t>another</w:t>
      </w:r>
      <w:r w:rsidRPr="00DC3410">
        <w:rPr>
          <w:rFonts w:ascii="Cambria" w:hAnsi="Cambria"/>
          <w:sz w:val="20"/>
          <w:szCs w:val="20"/>
        </w:rPr>
        <w:t>, it controls all the net assets of that entity and is responsible for all its revenues and expenses</w:t>
      </w:r>
    </w:p>
    <w:p w14:paraId="03A280C9" w14:textId="364FDEFE" w:rsidR="00E95360" w:rsidRPr="00DC3410" w:rsidRDefault="00E95360" w:rsidP="00086E79">
      <w:pPr>
        <w:pStyle w:val="ListParagraph"/>
        <w:numPr>
          <w:ilvl w:val="0"/>
          <w:numId w:val="28"/>
        </w:numPr>
        <w:spacing w:line="276" w:lineRule="auto"/>
        <w:ind w:left="1080"/>
        <w:rPr>
          <w:rFonts w:ascii="Cambria" w:hAnsi="Cambria"/>
          <w:sz w:val="20"/>
          <w:szCs w:val="20"/>
        </w:rPr>
      </w:pPr>
      <w:r w:rsidRPr="00DC3410">
        <w:rPr>
          <w:rFonts w:ascii="Cambria" w:hAnsi="Cambria"/>
          <w:sz w:val="20"/>
          <w:szCs w:val="20"/>
        </w:rPr>
        <w:t xml:space="preserve">Therefore, all of the subsidiary’s assets and </w:t>
      </w:r>
      <w:r w:rsidR="00F1380A" w:rsidRPr="00DC3410">
        <w:rPr>
          <w:rFonts w:ascii="Cambria" w:hAnsi="Cambria"/>
          <w:sz w:val="20"/>
          <w:szCs w:val="20"/>
        </w:rPr>
        <w:t>liabilities</w:t>
      </w:r>
      <w:r w:rsidRPr="00DC3410">
        <w:rPr>
          <w:rFonts w:ascii="Cambria" w:hAnsi="Cambria"/>
          <w:sz w:val="20"/>
          <w:szCs w:val="20"/>
        </w:rPr>
        <w:t>, and revenues and expense, are reported by the parent investor on a line-byline basis in consolidated financial statements</w:t>
      </w:r>
    </w:p>
    <w:p w14:paraId="725308FA" w14:textId="5C08998C" w:rsidR="00F1380A" w:rsidRPr="00DC3410" w:rsidRDefault="00F1380A" w:rsidP="00086E79">
      <w:pPr>
        <w:pStyle w:val="ListParagraph"/>
        <w:numPr>
          <w:ilvl w:val="0"/>
          <w:numId w:val="28"/>
        </w:numPr>
        <w:spacing w:line="276" w:lineRule="auto"/>
        <w:ind w:left="1080"/>
        <w:rPr>
          <w:rFonts w:ascii="Cambria" w:hAnsi="Cambria"/>
          <w:sz w:val="20"/>
          <w:szCs w:val="20"/>
        </w:rPr>
      </w:pPr>
      <w:r w:rsidRPr="00DC3410">
        <w:rPr>
          <w:rFonts w:ascii="Cambria" w:hAnsi="Cambria"/>
          <w:sz w:val="20"/>
          <w:szCs w:val="20"/>
        </w:rPr>
        <w:t>The interest of the non-controlling shareholders in the subsidiary company are reported separately as non-controlling interest</w:t>
      </w:r>
    </w:p>
    <w:p w14:paraId="6698BC03" w14:textId="293316A3" w:rsidR="00F1380A" w:rsidRPr="00DC3410" w:rsidRDefault="00F1380A" w:rsidP="00086E79">
      <w:pPr>
        <w:pStyle w:val="ListParagraph"/>
        <w:numPr>
          <w:ilvl w:val="0"/>
          <w:numId w:val="28"/>
        </w:numPr>
        <w:spacing w:line="276" w:lineRule="auto"/>
        <w:ind w:left="1080"/>
        <w:rPr>
          <w:rFonts w:ascii="Cambria" w:hAnsi="Cambria"/>
          <w:sz w:val="20"/>
          <w:szCs w:val="20"/>
        </w:rPr>
      </w:pPr>
      <w:r w:rsidRPr="00DC3410">
        <w:rPr>
          <w:rFonts w:ascii="Cambria" w:hAnsi="Cambria"/>
          <w:sz w:val="20"/>
          <w:szCs w:val="20"/>
        </w:rPr>
        <w:t>Under IFRS, all subsidiaries are consolidated</w:t>
      </w:r>
    </w:p>
    <w:p w14:paraId="72767876" w14:textId="6820D2C3" w:rsidR="00107CA3" w:rsidRPr="00DC3410" w:rsidRDefault="00E95360" w:rsidP="00086E79">
      <w:pPr>
        <w:pStyle w:val="ListParagraph"/>
        <w:numPr>
          <w:ilvl w:val="0"/>
          <w:numId w:val="28"/>
        </w:numPr>
        <w:spacing w:line="276" w:lineRule="auto"/>
        <w:ind w:left="1080"/>
        <w:rPr>
          <w:rFonts w:ascii="Cambria" w:hAnsi="Cambria"/>
          <w:sz w:val="20"/>
          <w:szCs w:val="20"/>
        </w:rPr>
      </w:pPr>
      <w:r w:rsidRPr="00DC3410">
        <w:rPr>
          <w:rFonts w:ascii="Cambria" w:hAnsi="Cambria"/>
          <w:sz w:val="20"/>
          <w:szCs w:val="20"/>
        </w:rPr>
        <w:t>ASPE, on the other hand, allows</w:t>
      </w:r>
      <w:r w:rsidR="00F1380A" w:rsidRPr="00DC3410">
        <w:rPr>
          <w:rFonts w:ascii="Cambria" w:hAnsi="Cambria"/>
          <w:sz w:val="20"/>
          <w:szCs w:val="20"/>
        </w:rPr>
        <w:t xml:space="preserve"> consolidation or choice of the equity or cost method</w:t>
      </w:r>
    </w:p>
    <w:p w14:paraId="7872D34B" w14:textId="35AAE5EE" w:rsidR="00F1380A" w:rsidRPr="00DC3410" w:rsidRDefault="00F1380A" w:rsidP="00086E79">
      <w:pPr>
        <w:pStyle w:val="ListParagraph"/>
        <w:numPr>
          <w:ilvl w:val="0"/>
          <w:numId w:val="28"/>
        </w:numPr>
        <w:spacing w:line="276" w:lineRule="auto"/>
        <w:ind w:left="1080"/>
        <w:rPr>
          <w:rFonts w:ascii="Cambria" w:hAnsi="Cambria"/>
          <w:sz w:val="20"/>
          <w:szCs w:val="20"/>
        </w:rPr>
      </w:pPr>
      <w:r w:rsidRPr="00DC3410">
        <w:rPr>
          <w:rFonts w:ascii="Cambria" w:hAnsi="Cambria"/>
          <w:sz w:val="20"/>
          <w:szCs w:val="20"/>
        </w:rPr>
        <w:t>Investments in companies with shares traded in an active market cannot be reported using the cost method, but may use FV-NI</w:t>
      </w:r>
    </w:p>
    <w:p w14:paraId="6C766748" w14:textId="280E2781" w:rsidR="00107CA3" w:rsidRPr="00DC3410" w:rsidRDefault="00086E79" w:rsidP="00086E79">
      <w:pPr>
        <w:pStyle w:val="ListParagraph"/>
        <w:numPr>
          <w:ilvl w:val="0"/>
          <w:numId w:val="21"/>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 how investments are presented and disclosed in the financial statements noting how this facilitates analysis</w:t>
      </w:r>
    </w:p>
    <w:p w14:paraId="484697E6" w14:textId="2CC9FD50" w:rsidR="00107CA3" w:rsidRPr="00DC3410" w:rsidRDefault="00086E79" w:rsidP="00086E79">
      <w:pPr>
        <w:pStyle w:val="ListParagraph"/>
        <w:numPr>
          <w:ilvl w:val="0"/>
          <w:numId w:val="29"/>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The objectives of disclosed are to provide information so users can asses the significance of the financial asset investments to the entity’s financial position and performance, the extent of risks to which the company is exposed as a result, and how those risks are managed</w:t>
      </w:r>
    </w:p>
    <w:p w14:paraId="5A9A58BB" w14:textId="2CA25D66" w:rsidR="00086E79" w:rsidRPr="00DC3410" w:rsidRDefault="00086E79" w:rsidP="00086E79">
      <w:pPr>
        <w:pStyle w:val="ListParagraph"/>
        <w:numPr>
          <w:ilvl w:val="0"/>
          <w:numId w:val="29"/>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As a result, the investments are identified on the statement of financial position according to how they are classified for accounting purposes, with the income statements reporting information on the returns by method of classification</w:t>
      </w:r>
    </w:p>
    <w:p w14:paraId="28759735" w14:textId="44518E1B" w:rsidR="00086E79" w:rsidRPr="00DC3410" w:rsidRDefault="00086E79" w:rsidP="00086E79">
      <w:pPr>
        <w:pStyle w:val="ListParagraph"/>
        <w:numPr>
          <w:ilvl w:val="0"/>
          <w:numId w:val="29"/>
        </w:numPr>
        <w:spacing w:line="276" w:lineRule="auto"/>
        <w:ind w:left="1080"/>
        <w:rPr>
          <w:rFonts w:ascii="Cambria" w:hAnsi="Cambria"/>
          <w:color w:val="000000" w:themeColor="text1"/>
          <w:sz w:val="20"/>
          <w:szCs w:val="20"/>
        </w:rPr>
      </w:pPr>
      <w:r w:rsidRPr="00DC3410">
        <w:rPr>
          <w:rFonts w:ascii="Cambria" w:hAnsi="Cambria"/>
          <w:color w:val="000000" w:themeColor="text1"/>
          <w:sz w:val="20"/>
          <w:szCs w:val="20"/>
        </w:rPr>
        <w:t>Extensive disclosure is required, particularly under IFRS, on the entity’s risk exposures and how it manages those risks</w:t>
      </w:r>
    </w:p>
    <w:p w14:paraId="6BE5DA6F" w14:textId="02F6A06E" w:rsidR="00086E79" w:rsidRPr="00DC3410" w:rsidRDefault="00086E79" w:rsidP="00E06241">
      <w:pPr>
        <w:pStyle w:val="ListParagraph"/>
        <w:numPr>
          <w:ilvl w:val="0"/>
          <w:numId w:val="61"/>
        </w:numPr>
        <w:spacing w:line="276" w:lineRule="auto"/>
        <w:rPr>
          <w:rFonts w:ascii="Cambria" w:hAnsi="Cambria"/>
          <w:b/>
          <w:color w:val="E36C0A" w:themeColor="accent6" w:themeShade="BF"/>
          <w:sz w:val="20"/>
          <w:szCs w:val="20"/>
        </w:rPr>
      </w:pPr>
      <w:r w:rsidRPr="00DC3410">
        <w:rPr>
          <w:rFonts w:ascii="Cambria" w:hAnsi="Cambria"/>
          <w:b/>
          <w:color w:val="E36C0A" w:themeColor="accent6" w:themeShade="BF"/>
          <w:sz w:val="20"/>
          <w:szCs w:val="20"/>
        </w:rPr>
        <w:t>Identify differences in accounting between IFRS and ASPE, and what changes are expected in the near future</w:t>
      </w:r>
    </w:p>
    <w:p w14:paraId="3CE46C54" w14:textId="77777777" w:rsidR="00C84E55" w:rsidRPr="00DC3410" w:rsidRDefault="00086E79" w:rsidP="00ED0C73">
      <w:pPr>
        <w:pStyle w:val="ListParagraph"/>
        <w:numPr>
          <w:ilvl w:val="0"/>
          <w:numId w:val="49"/>
        </w:numPr>
        <w:spacing w:line="276" w:lineRule="auto"/>
        <w:rPr>
          <w:rFonts w:ascii="Cambria" w:hAnsi="Cambria"/>
          <w:color w:val="000000" w:themeColor="text1"/>
          <w:sz w:val="20"/>
          <w:szCs w:val="20"/>
        </w:rPr>
      </w:pPr>
      <w:r w:rsidRPr="00DC3410">
        <w:rPr>
          <w:rFonts w:ascii="Cambria" w:eastAsia="Times New Roman" w:hAnsi="Cambria" w:cs="Times New Roman"/>
          <w:sz w:val="20"/>
          <w:szCs w:val="20"/>
        </w:rPr>
        <w:t>There are significant differences because there are two standards currently in effect under IFRS (IAS 39 and IFRS 9) and because the standar</w:t>
      </w:r>
      <w:r w:rsidR="00C84E55" w:rsidRPr="00DC3410">
        <w:rPr>
          <w:rFonts w:ascii="Cambria" w:eastAsia="Times New Roman" w:hAnsi="Cambria" w:cs="Times New Roman"/>
          <w:sz w:val="20"/>
          <w:szCs w:val="20"/>
        </w:rPr>
        <w:t>ds are currently in transition</w:t>
      </w:r>
    </w:p>
    <w:p w14:paraId="0B1D6D4C" w14:textId="221C9DAC" w:rsidR="00086E79" w:rsidRPr="00DC3410" w:rsidRDefault="00086E79" w:rsidP="00ED0C73">
      <w:pPr>
        <w:pStyle w:val="ListParagraph"/>
        <w:numPr>
          <w:ilvl w:val="0"/>
          <w:numId w:val="49"/>
        </w:numPr>
        <w:spacing w:line="276" w:lineRule="auto"/>
        <w:rPr>
          <w:rFonts w:ascii="Cambria" w:hAnsi="Cambria"/>
          <w:color w:val="000000" w:themeColor="text1"/>
          <w:sz w:val="20"/>
          <w:szCs w:val="20"/>
        </w:rPr>
      </w:pPr>
      <w:r w:rsidRPr="00DC3410">
        <w:rPr>
          <w:rFonts w:ascii="Cambria" w:eastAsia="Times New Roman" w:hAnsi="Cambria" w:cs="Times New Roman"/>
          <w:sz w:val="20"/>
          <w:szCs w:val="20"/>
        </w:rPr>
        <w:t>It is expected that IFRS 9 will change in order to align more closely with the proposed U.S. standard. In addition, both the IASB and FASB are looking at a new impairment model.</w:t>
      </w:r>
    </w:p>
    <w:p w14:paraId="646FE06B" w14:textId="77777777" w:rsidR="00086E79" w:rsidRPr="00DC3410" w:rsidRDefault="00086E79" w:rsidP="00AF0E8B">
      <w:pPr>
        <w:spacing w:line="276" w:lineRule="auto"/>
        <w:rPr>
          <w:rFonts w:ascii="Cambria" w:hAnsi="Cambria"/>
          <w:b/>
          <w:color w:val="660066"/>
          <w:sz w:val="20"/>
          <w:szCs w:val="20"/>
          <w:u w:val="single"/>
        </w:rPr>
      </w:pPr>
    </w:p>
    <w:p w14:paraId="4E9145DB" w14:textId="10E12A36" w:rsidR="00107CA3" w:rsidRPr="00DC3410" w:rsidRDefault="00DC3410" w:rsidP="00AF0E8B">
      <w:pPr>
        <w:spacing w:line="276" w:lineRule="auto"/>
        <w:rPr>
          <w:rFonts w:ascii="Cambria" w:hAnsi="Cambria"/>
          <w:b/>
          <w:color w:val="660066"/>
          <w:sz w:val="22"/>
          <w:szCs w:val="20"/>
          <w:u w:val="single"/>
        </w:rPr>
      </w:pPr>
      <w:r w:rsidRPr="00DC3410">
        <w:rPr>
          <w:rFonts w:ascii="Cambria" w:hAnsi="Cambria"/>
          <w:b/>
          <w:color w:val="660066"/>
          <w:sz w:val="22"/>
          <w:szCs w:val="20"/>
          <w:u w:val="single"/>
        </w:rPr>
        <w:t>Chapter 10</w:t>
      </w:r>
    </w:p>
    <w:p w14:paraId="3631BE46" w14:textId="472BCF1C" w:rsidR="00107CA3" w:rsidRPr="00DC3410" w:rsidRDefault="00086E79" w:rsidP="00086E79">
      <w:pPr>
        <w:pStyle w:val="ListParagraph"/>
        <w:numPr>
          <w:ilvl w:val="0"/>
          <w:numId w:val="30"/>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 xml:space="preserve">Understand the importance of property, plant, and equipment from a business perspective </w:t>
      </w:r>
    </w:p>
    <w:p w14:paraId="200DAEDC" w14:textId="77777777" w:rsidR="00C84E55" w:rsidRPr="00DC3410" w:rsidRDefault="00086E79" w:rsidP="00ED0C73">
      <w:pPr>
        <w:pStyle w:val="ListParagraph"/>
        <w:numPr>
          <w:ilvl w:val="0"/>
          <w:numId w:val="49"/>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Almost every enterpris</w:t>
      </w:r>
      <w:r w:rsidR="00C84E55" w:rsidRPr="00DC3410">
        <w:rPr>
          <w:rFonts w:ascii="Cambria" w:eastAsia="Times New Roman" w:hAnsi="Cambria" w:cs="Times New Roman"/>
          <w:sz w:val="20"/>
          <w:szCs w:val="20"/>
        </w:rPr>
        <w:t>e invests in long-lived assets, and t</w:t>
      </w:r>
      <w:r w:rsidRPr="00DC3410">
        <w:rPr>
          <w:rFonts w:ascii="Cambria" w:eastAsia="Times New Roman" w:hAnsi="Cambria" w:cs="Times New Roman"/>
          <w:sz w:val="20"/>
          <w:szCs w:val="20"/>
        </w:rPr>
        <w:t>hese long-term items include both those that are physical assets—property, plant, and equipment—and those</w:t>
      </w:r>
      <w:r w:rsidR="00C84E55" w:rsidRPr="00DC3410">
        <w:rPr>
          <w:rFonts w:ascii="Cambria" w:eastAsia="Times New Roman" w:hAnsi="Cambria" w:cs="Times New Roman"/>
          <w:sz w:val="20"/>
          <w:szCs w:val="20"/>
        </w:rPr>
        <w:t xml:space="preserve"> that are intangible</w:t>
      </w:r>
    </w:p>
    <w:p w14:paraId="71B837F4" w14:textId="77777777" w:rsidR="00C84E55" w:rsidRPr="00DC3410" w:rsidRDefault="00086E79" w:rsidP="00ED0C73">
      <w:pPr>
        <w:pStyle w:val="ListParagraph"/>
        <w:numPr>
          <w:ilvl w:val="0"/>
          <w:numId w:val="49"/>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Long-lived assets are particularly important for manufacturing companies because they provide the company with the capacity or infrastructure to produce</w:t>
      </w:r>
      <w:r w:rsidR="00C84E55" w:rsidRPr="00DC3410">
        <w:rPr>
          <w:rFonts w:ascii="Cambria" w:eastAsia="Times New Roman" w:hAnsi="Cambria" w:cs="Times New Roman"/>
          <w:sz w:val="20"/>
          <w:szCs w:val="20"/>
        </w:rPr>
        <w:t xml:space="preserve"> goods and/or provide services</w:t>
      </w:r>
    </w:p>
    <w:p w14:paraId="057AEC3D" w14:textId="77777777" w:rsidR="00C84E55" w:rsidRPr="00DC3410" w:rsidRDefault="00086E79" w:rsidP="00ED0C73">
      <w:pPr>
        <w:pStyle w:val="ListParagraph"/>
        <w:numPr>
          <w:ilvl w:val="0"/>
          <w:numId w:val="49"/>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 xml:space="preserve">Too much investment in long-lived assets could result in expensive overcapacity, while too little investment could mean lost opportunities for </w:t>
      </w:r>
      <w:r w:rsidR="00C84E55" w:rsidRPr="00DC3410">
        <w:rPr>
          <w:rFonts w:ascii="Cambria" w:eastAsia="Times New Roman" w:hAnsi="Cambria" w:cs="Times New Roman"/>
          <w:sz w:val="20"/>
          <w:szCs w:val="20"/>
        </w:rPr>
        <w:t>profits and future cash flows</w:t>
      </w:r>
    </w:p>
    <w:p w14:paraId="11CDF156" w14:textId="4915EF42" w:rsidR="005A50D5" w:rsidRPr="00DC3410" w:rsidRDefault="00C84E55" w:rsidP="00ED0C73">
      <w:pPr>
        <w:pStyle w:val="ListParagraph"/>
        <w:numPr>
          <w:ilvl w:val="0"/>
          <w:numId w:val="49"/>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B</w:t>
      </w:r>
      <w:r w:rsidR="00086E79" w:rsidRPr="00DC3410">
        <w:rPr>
          <w:rFonts w:ascii="Cambria" w:eastAsia="Times New Roman" w:hAnsi="Cambria" w:cs="Times New Roman"/>
          <w:sz w:val="20"/>
          <w:szCs w:val="20"/>
        </w:rPr>
        <w:t>oth situations would low</w:t>
      </w:r>
      <w:r w:rsidRPr="00DC3410">
        <w:rPr>
          <w:rFonts w:ascii="Cambria" w:eastAsia="Times New Roman" w:hAnsi="Cambria" w:cs="Times New Roman"/>
          <w:sz w:val="20"/>
          <w:szCs w:val="20"/>
        </w:rPr>
        <w:t>er the company's rate of return</w:t>
      </w:r>
    </w:p>
    <w:p w14:paraId="13758C79" w14:textId="045B45D2" w:rsidR="007A58A0" w:rsidRPr="00DC3410" w:rsidRDefault="00C84E55" w:rsidP="00086E79">
      <w:pPr>
        <w:pStyle w:val="ListParagraph"/>
        <w:numPr>
          <w:ilvl w:val="0"/>
          <w:numId w:val="30"/>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Identify the characteristics of property, plant, and equipment assets</w:t>
      </w:r>
    </w:p>
    <w:p w14:paraId="280ED7AC" w14:textId="77777777" w:rsidR="00C84E55" w:rsidRPr="00DC3410" w:rsidRDefault="00C84E55" w:rsidP="00ED0C73">
      <w:pPr>
        <w:pStyle w:val="ListParagraph"/>
        <w:numPr>
          <w:ilvl w:val="0"/>
          <w:numId w:val="50"/>
        </w:numPr>
        <w:spacing w:line="276" w:lineRule="auto"/>
        <w:rPr>
          <w:rFonts w:ascii="Cambria" w:hAnsi="Cambria"/>
          <w:sz w:val="20"/>
          <w:szCs w:val="20"/>
        </w:rPr>
      </w:pPr>
      <w:r w:rsidRPr="00DC3410">
        <w:rPr>
          <w:rFonts w:ascii="Cambria" w:eastAsia="Times New Roman" w:hAnsi="Cambria" w:cs="Times New Roman"/>
          <w:b/>
          <w:sz w:val="20"/>
          <w:szCs w:val="20"/>
        </w:rPr>
        <w:t>Property, plant, and equipment assets</w:t>
      </w:r>
      <w:r w:rsidRPr="00DC3410">
        <w:rPr>
          <w:rFonts w:ascii="Cambria" w:eastAsia="Times New Roman" w:hAnsi="Cambria" w:cs="Times New Roman"/>
          <w:sz w:val="20"/>
          <w:szCs w:val="20"/>
        </w:rPr>
        <w:t xml:space="preserve"> are tangible assets held for use in the production of goods and services, for rental to others, or for administrative purposes, and have a useful life of more than one accounting period</w:t>
      </w:r>
    </w:p>
    <w:p w14:paraId="275934E2" w14:textId="77777777" w:rsidR="00C84E55" w:rsidRPr="00DC3410" w:rsidRDefault="00C84E55" w:rsidP="00ED0C73">
      <w:pPr>
        <w:pStyle w:val="ListParagraph"/>
        <w:numPr>
          <w:ilvl w:val="0"/>
          <w:numId w:val="50"/>
        </w:numPr>
        <w:spacing w:line="276" w:lineRule="auto"/>
        <w:rPr>
          <w:rFonts w:ascii="Cambria" w:hAnsi="Cambria"/>
          <w:sz w:val="20"/>
          <w:szCs w:val="20"/>
        </w:rPr>
      </w:pPr>
      <w:r w:rsidRPr="00DC3410">
        <w:rPr>
          <w:rFonts w:ascii="Cambria" w:eastAsia="Times New Roman" w:hAnsi="Cambria" w:cs="Times New Roman"/>
          <w:sz w:val="20"/>
          <w:szCs w:val="20"/>
        </w:rPr>
        <w:t>This type of asset provides an entity with its operating capacity and infrastructure, but also adds to fixed costs</w:t>
      </w:r>
    </w:p>
    <w:p w14:paraId="21E9C920" w14:textId="244E7CFF" w:rsidR="007A58A0" w:rsidRPr="00DC3410" w:rsidRDefault="00C84E55" w:rsidP="00ED0C73">
      <w:pPr>
        <w:pStyle w:val="ListParagraph"/>
        <w:numPr>
          <w:ilvl w:val="0"/>
          <w:numId w:val="50"/>
        </w:numPr>
        <w:spacing w:line="276" w:lineRule="auto"/>
        <w:rPr>
          <w:rFonts w:ascii="Cambria" w:hAnsi="Cambria"/>
          <w:sz w:val="20"/>
          <w:szCs w:val="20"/>
        </w:rPr>
      </w:pPr>
      <w:r w:rsidRPr="00DC3410">
        <w:rPr>
          <w:rFonts w:ascii="Cambria" w:eastAsia="Times New Roman" w:hAnsi="Cambria" w:cs="Times New Roman"/>
          <w:sz w:val="20"/>
          <w:szCs w:val="20"/>
        </w:rPr>
        <w:t>For this reason, it is important that a company invest enough in PP&amp;E to meet its potential, but not so much that it has to bear the related costs of overcapacity</w:t>
      </w:r>
    </w:p>
    <w:p w14:paraId="6C6D7116" w14:textId="77102B90" w:rsidR="00107CA3" w:rsidRPr="00DC3410" w:rsidRDefault="00C84E55" w:rsidP="00086E79">
      <w:pPr>
        <w:pStyle w:val="ListParagraph"/>
        <w:numPr>
          <w:ilvl w:val="0"/>
          <w:numId w:val="30"/>
        </w:numPr>
        <w:spacing w:line="276" w:lineRule="auto"/>
        <w:ind w:left="360"/>
        <w:rPr>
          <w:rFonts w:ascii="Cambria" w:hAnsi="Cambria"/>
          <w:color w:val="000000" w:themeColor="text1"/>
          <w:sz w:val="20"/>
          <w:szCs w:val="20"/>
        </w:rPr>
      </w:pPr>
      <w:r w:rsidRPr="00DC3410">
        <w:rPr>
          <w:rFonts w:ascii="Cambria" w:hAnsi="Cambria"/>
          <w:b/>
          <w:color w:val="E36C0A" w:themeColor="accent6" w:themeShade="BF"/>
          <w:sz w:val="20"/>
          <w:szCs w:val="20"/>
        </w:rPr>
        <w:t>Identify the recognition criteria for property, plant, and equipment</w:t>
      </w:r>
    </w:p>
    <w:p w14:paraId="58615A99" w14:textId="77777777" w:rsidR="007B15F4" w:rsidRPr="00DC3410" w:rsidRDefault="007B15F4" w:rsidP="00ED0C73">
      <w:pPr>
        <w:pStyle w:val="ListParagraph"/>
        <w:numPr>
          <w:ilvl w:val="0"/>
          <w:numId w:val="33"/>
        </w:numPr>
        <w:spacing w:line="276" w:lineRule="auto"/>
        <w:ind w:left="1080"/>
        <w:rPr>
          <w:rFonts w:ascii="Cambria" w:hAnsi="Cambria"/>
          <w:sz w:val="20"/>
          <w:szCs w:val="20"/>
        </w:rPr>
      </w:pPr>
      <w:r w:rsidRPr="00DC3410">
        <w:rPr>
          <w:rFonts w:ascii="Cambria" w:eastAsia="Times New Roman" w:hAnsi="Cambria" w:cs="Times New Roman"/>
          <w:sz w:val="20"/>
          <w:szCs w:val="20"/>
        </w:rPr>
        <w:t>PP&amp;E costs that provide probable future economic benefits to the entity and that can be measured reliably are recognized</w:t>
      </w:r>
    </w:p>
    <w:p w14:paraId="0A5770AA" w14:textId="29DD8004" w:rsidR="003D3067" w:rsidRPr="00DC3410" w:rsidRDefault="007B15F4" w:rsidP="00ED0C73">
      <w:pPr>
        <w:pStyle w:val="ListParagraph"/>
        <w:numPr>
          <w:ilvl w:val="0"/>
          <w:numId w:val="33"/>
        </w:numPr>
        <w:spacing w:line="276" w:lineRule="auto"/>
        <w:ind w:left="1080"/>
        <w:rPr>
          <w:rFonts w:ascii="Cambria" w:hAnsi="Cambria"/>
          <w:sz w:val="20"/>
          <w:szCs w:val="20"/>
        </w:rPr>
      </w:pPr>
      <w:r w:rsidRPr="00DC3410">
        <w:rPr>
          <w:rFonts w:ascii="Cambria" w:eastAsia="Times New Roman" w:hAnsi="Cambria" w:cs="Times New Roman"/>
          <w:sz w:val="20"/>
          <w:szCs w:val="20"/>
        </w:rPr>
        <w:t>Asset components should be recognized separately to the extent their costs are significant and/or the related assets have different useful lives or patterns of depreciation</w:t>
      </w:r>
    </w:p>
    <w:p w14:paraId="36F15CEF" w14:textId="4E2DDF9D" w:rsidR="00B96C3D" w:rsidRPr="00DC3410" w:rsidRDefault="007B15F4" w:rsidP="00086E79">
      <w:pPr>
        <w:pStyle w:val="ListParagraph"/>
        <w:numPr>
          <w:ilvl w:val="0"/>
          <w:numId w:val="30"/>
        </w:numPr>
        <w:spacing w:line="276" w:lineRule="auto"/>
        <w:ind w:left="360"/>
        <w:rPr>
          <w:rFonts w:ascii="Cambria" w:hAnsi="Cambria"/>
          <w:color w:val="E36C0A" w:themeColor="accent6" w:themeShade="BF"/>
          <w:sz w:val="20"/>
          <w:szCs w:val="20"/>
        </w:rPr>
      </w:pPr>
      <w:r w:rsidRPr="00DC3410">
        <w:rPr>
          <w:rFonts w:ascii="Cambria" w:hAnsi="Cambria"/>
          <w:b/>
          <w:color w:val="E36C0A" w:themeColor="accent6" w:themeShade="BF"/>
          <w:sz w:val="20"/>
          <w:szCs w:val="20"/>
        </w:rPr>
        <w:t xml:space="preserve">Identify the costs to include in the measurement of property, plant, and equipment assets at acquisition </w:t>
      </w:r>
    </w:p>
    <w:p w14:paraId="71974763" w14:textId="77777777" w:rsidR="007B15F4" w:rsidRPr="00DC3410" w:rsidRDefault="007B15F4" w:rsidP="00ED0C73">
      <w:pPr>
        <w:pStyle w:val="ListParagraph"/>
        <w:numPr>
          <w:ilvl w:val="0"/>
          <w:numId w:val="34"/>
        </w:numPr>
        <w:spacing w:line="276" w:lineRule="auto"/>
        <w:ind w:left="1080"/>
        <w:rPr>
          <w:rFonts w:ascii="Cambria" w:hAnsi="Cambria"/>
          <w:b/>
          <w:sz w:val="20"/>
          <w:szCs w:val="20"/>
        </w:rPr>
      </w:pPr>
      <w:r w:rsidRPr="00DC3410">
        <w:rPr>
          <w:rFonts w:ascii="Cambria" w:eastAsia="Times New Roman" w:hAnsi="Cambria" w:cs="Times New Roman"/>
          <w:sz w:val="20"/>
          <w:szCs w:val="20"/>
        </w:rPr>
        <w:t>Asset costs used when measuring PP&amp;E include all necessary costs directly attributed to acquiring the asset, bringing it to its location, and making it ready for use</w:t>
      </w:r>
    </w:p>
    <w:p w14:paraId="1435E071" w14:textId="77777777" w:rsidR="007B15F4" w:rsidRPr="00DC3410" w:rsidRDefault="007B15F4" w:rsidP="00ED0C73">
      <w:pPr>
        <w:pStyle w:val="ListParagraph"/>
        <w:numPr>
          <w:ilvl w:val="0"/>
          <w:numId w:val="34"/>
        </w:numPr>
        <w:spacing w:line="276" w:lineRule="auto"/>
        <w:ind w:left="1080"/>
        <w:rPr>
          <w:rFonts w:ascii="Cambria" w:hAnsi="Cambria"/>
          <w:b/>
          <w:sz w:val="20"/>
          <w:szCs w:val="20"/>
        </w:rPr>
      </w:pPr>
      <w:r w:rsidRPr="00DC3410">
        <w:rPr>
          <w:rFonts w:ascii="Cambria" w:eastAsia="Times New Roman" w:hAnsi="Cambria" w:cs="Times New Roman"/>
          <w:sz w:val="20"/>
          <w:szCs w:val="20"/>
        </w:rPr>
        <w:t>These include direct material, direct labor, and variable overhead costs for self-constructed PP&amp;E assets, borrowing costs for those taking substantial time to get ready for use, and dismantling and restoration costs required as a result of the asset's acquisition</w:t>
      </w:r>
    </w:p>
    <w:p w14:paraId="77CEE1AE" w14:textId="71F00239" w:rsidR="00B96C3D" w:rsidRPr="00DC3410" w:rsidRDefault="007B15F4" w:rsidP="00ED0C73">
      <w:pPr>
        <w:pStyle w:val="ListParagraph"/>
        <w:numPr>
          <w:ilvl w:val="0"/>
          <w:numId w:val="34"/>
        </w:numPr>
        <w:spacing w:line="276" w:lineRule="auto"/>
        <w:ind w:left="1080"/>
        <w:rPr>
          <w:rFonts w:ascii="Cambria" w:hAnsi="Cambria"/>
          <w:b/>
          <w:sz w:val="20"/>
          <w:szCs w:val="20"/>
        </w:rPr>
      </w:pPr>
      <w:r w:rsidRPr="00DC3410">
        <w:rPr>
          <w:rFonts w:ascii="Cambria" w:eastAsia="Times New Roman" w:hAnsi="Cambria" w:cs="Times New Roman"/>
          <w:sz w:val="20"/>
          <w:szCs w:val="20"/>
        </w:rPr>
        <w:t>Once the asset is in place and ready for use, costs are no longer capitalized</w:t>
      </w:r>
    </w:p>
    <w:p w14:paraId="097B4D50" w14:textId="5FA49DE9" w:rsidR="00B96C3D" w:rsidRPr="00DC3410" w:rsidRDefault="007B15F4" w:rsidP="00086E79">
      <w:pPr>
        <w:pStyle w:val="ListParagraph"/>
        <w:numPr>
          <w:ilvl w:val="0"/>
          <w:numId w:val="30"/>
        </w:numPr>
        <w:spacing w:line="276" w:lineRule="auto"/>
        <w:ind w:left="360"/>
        <w:rPr>
          <w:rFonts w:ascii="Cambria" w:hAnsi="Cambria"/>
          <w:b/>
          <w:sz w:val="20"/>
          <w:szCs w:val="20"/>
        </w:rPr>
      </w:pPr>
      <w:r w:rsidRPr="00DC3410">
        <w:rPr>
          <w:rFonts w:ascii="Cambria" w:hAnsi="Cambria"/>
          <w:b/>
          <w:color w:val="E36C0A" w:themeColor="accent6" w:themeShade="BF"/>
          <w:sz w:val="20"/>
          <w:szCs w:val="20"/>
        </w:rPr>
        <w:t>Determine asset cost when the transaction has delayed payment terms or is a lump-sum purchase, a nonmonetary exchange, or a contributed asset</w:t>
      </w:r>
    </w:p>
    <w:p w14:paraId="761306BF" w14:textId="77777777" w:rsidR="007B15F4" w:rsidRPr="00DC3410" w:rsidRDefault="007B15F4" w:rsidP="00ED0C73">
      <w:pPr>
        <w:pStyle w:val="ListParagraph"/>
        <w:numPr>
          <w:ilvl w:val="0"/>
          <w:numId w:val="35"/>
        </w:numPr>
        <w:spacing w:line="276" w:lineRule="auto"/>
        <w:ind w:left="1080"/>
        <w:rPr>
          <w:rFonts w:ascii="Cambria" w:hAnsi="Cambria"/>
          <w:sz w:val="20"/>
          <w:szCs w:val="20"/>
        </w:rPr>
      </w:pPr>
      <w:r w:rsidRPr="00DC3410">
        <w:rPr>
          <w:rFonts w:ascii="Cambria" w:eastAsia="Times New Roman" w:hAnsi="Cambria" w:cs="Times New Roman"/>
          <w:sz w:val="20"/>
          <w:szCs w:val="20"/>
        </w:rPr>
        <w:t>Cost means the asset's cash equivalent cost</w:t>
      </w:r>
    </w:p>
    <w:p w14:paraId="6AA7E5F1" w14:textId="77777777" w:rsidR="00EB2B63" w:rsidRPr="00DC3410" w:rsidRDefault="007B15F4" w:rsidP="00ED0C73">
      <w:pPr>
        <w:pStyle w:val="ListParagraph"/>
        <w:numPr>
          <w:ilvl w:val="0"/>
          <w:numId w:val="35"/>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When payment is </w:t>
      </w:r>
      <w:r w:rsidRPr="00DC3410">
        <w:rPr>
          <w:rFonts w:ascii="Cambria" w:eastAsia="Times New Roman" w:hAnsi="Cambria" w:cs="Times New Roman"/>
          <w:b/>
          <w:sz w:val="20"/>
          <w:szCs w:val="20"/>
        </w:rPr>
        <w:t>deferred beyond normal credit terms</w:t>
      </w:r>
      <w:r w:rsidRPr="00DC3410">
        <w:rPr>
          <w:rFonts w:ascii="Cambria" w:eastAsia="Times New Roman" w:hAnsi="Cambria" w:cs="Times New Roman"/>
          <w:sz w:val="20"/>
          <w:szCs w:val="20"/>
        </w:rPr>
        <w:t>, the excess paid over cash cost is intere</w:t>
      </w:r>
      <w:r w:rsidR="00EB2B63" w:rsidRPr="00DC3410">
        <w:rPr>
          <w:rFonts w:ascii="Cambria" w:eastAsia="Times New Roman" w:hAnsi="Cambria" w:cs="Times New Roman"/>
          <w:sz w:val="20"/>
          <w:szCs w:val="20"/>
        </w:rPr>
        <w:t>st</w:t>
      </w:r>
    </w:p>
    <w:p w14:paraId="5C1B85DB" w14:textId="77777777" w:rsidR="00EB2B63" w:rsidRPr="00DC3410" w:rsidRDefault="007B15F4" w:rsidP="00ED0C73">
      <w:pPr>
        <w:pStyle w:val="ListParagraph"/>
        <w:numPr>
          <w:ilvl w:val="0"/>
          <w:numId w:val="35"/>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When a number of assets are acquired in a </w:t>
      </w:r>
      <w:r w:rsidRPr="00DC3410">
        <w:rPr>
          <w:rFonts w:ascii="Cambria" w:eastAsia="Times New Roman" w:hAnsi="Cambria" w:cs="Times New Roman"/>
          <w:b/>
          <w:sz w:val="20"/>
          <w:szCs w:val="20"/>
        </w:rPr>
        <w:t>basket purchase</w:t>
      </w:r>
      <w:r w:rsidRPr="00DC3410">
        <w:rPr>
          <w:rFonts w:ascii="Cambria" w:eastAsia="Times New Roman" w:hAnsi="Cambria" w:cs="Times New Roman"/>
          <w:sz w:val="20"/>
          <w:szCs w:val="20"/>
        </w:rPr>
        <w:t>, the cost is allocated based on t</w:t>
      </w:r>
      <w:r w:rsidR="00EB2B63" w:rsidRPr="00DC3410">
        <w:rPr>
          <w:rFonts w:ascii="Cambria" w:eastAsia="Times New Roman" w:hAnsi="Cambria" w:cs="Times New Roman"/>
          <w:sz w:val="20"/>
          <w:szCs w:val="20"/>
        </w:rPr>
        <w:t>he relative fair value of each</w:t>
      </w:r>
    </w:p>
    <w:p w14:paraId="409EBA2D" w14:textId="77777777" w:rsidR="00EB2B63" w:rsidRPr="00DC3410" w:rsidRDefault="007B15F4" w:rsidP="00ED0C73">
      <w:pPr>
        <w:pStyle w:val="ListParagraph"/>
        <w:numPr>
          <w:ilvl w:val="0"/>
          <w:numId w:val="35"/>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When PP&amp;E assets are acquired and </w:t>
      </w:r>
      <w:r w:rsidRPr="00DC3410">
        <w:rPr>
          <w:rFonts w:ascii="Cambria" w:eastAsia="Times New Roman" w:hAnsi="Cambria" w:cs="Times New Roman"/>
          <w:b/>
          <w:sz w:val="20"/>
          <w:szCs w:val="20"/>
        </w:rPr>
        <w:t>paid for by issuing the entity's shares</w:t>
      </w:r>
      <w:r w:rsidRPr="00DC3410">
        <w:rPr>
          <w:rFonts w:ascii="Cambria" w:eastAsia="Times New Roman" w:hAnsi="Cambria" w:cs="Times New Roman"/>
          <w:sz w:val="20"/>
          <w:szCs w:val="20"/>
        </w:rPr>
        <w:t>, cost is usually determined as the fair value of the as</w:t>
      </w:r>
      <w:r w:rsidR="00EB2B63" w:rsidRPr="00DC3410">
        <w:rPr>
          <w:rFonts w:ascii="Cambria" w:eastAsia="Times New Roman" w:hAnsi="Cambria" w:cs="Times New Roman"/>
          <w:sz w:val="20"/>
          <w:szCs w:val="20"/>
        </w:rPr>
        <w:t>set</w:t>
      </w:r>
    </w:p>
    <w:p w14:paraId="3E0FC6D9" w14:textId="77777777" w:rsidR="00EB2B63" w:rsidRPr="00DC3410" w:rsidRDefault="007B15F4" w:rsidP="00ED0C73">
      <w:pPr>
        <w:pStyle w:val="ListParagraph"/>
        <w:numPr>
          <w:ilvl w:val="0"/>
          <w:numId w:val="35"/>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When acquired in an </w:t>
      </w:r>
      <w:r w:rsidRPr="00DC3410">
        <w:rPr>
          <w:rFonts w:ascii="Cambria" w:eastAsia="Times New Roman" w:hAnsi="Cambria" w:cs="Times New Roman"/>
          <w:b/>
          <w:sz w:val="20"/>
          <w:szCs w:val="20"/>
        </w:rPr>
        <w:t>exchange of assets</w:t>
      </w:r>
      <w:r w:rsidRPr="00DC3410">
        <w:rPr>
          <w:rFonts w:ascii="Cambria" w:eastAsia="Times New Roman" w:hAnsi="Cambria" w:cs="Times New Roman"/>
          <w:sz w:val="20"/>
          <w:szCs w:val="20"/>
        </w:rPr>
        <w:t xml:space="preserve">, cost is the fair value of the assets given up, unless the fair value of the assets received </w:t>
      </w:r>
      <w:r w:rsidR="00EB2B63" w:rsidRPr="00DC3410">
        <w:rPr>
          <w:rFonts w:ascii="Cambria" w:eastAsia="Times New Roman" w:hAnsi="Cambria" w:cs="Times New Roman"/>
          <w:sz w:val="20"/>
          <w:szCs w:val="20"/>
        </w:rPr>
        <w:t>can be more reliably measured, h</w:t>
      </w:r>
      <w:r w:rsidRPr="00DC3410">
        <w:rPr>
          <w:rFonts w:ascii="Cambria" w:eastAsia="Times New Roman" w:hAnsi="Cambria" w:cs="Times New Roman"/>
          <w:sz w:val="20"/>
          <w:szCs w:val="20"/>
        </w:rPr>
        <w:t>owever, if the transaction lacks commercial substance or fair values cannot be reliably determined, the assets acquired are measured at the boo</w:t>
      </w:r>
      <w:r w:rsidR="00EB2B63" w:rsidRPr="00DC3410">
        <w:rPr>
          <w:rFonts w:ascii="Cambria" w:eastAsia="Times New Roman" w:hAnsi="Cambria" w:cs="Times New Roman"/>
          <w:sz w:val="20"/>
          <w:szCs w:val="20"/>
        </w:rPr>
        <w:t>k value of the assets given up</w:t>
      </w:r>
    </w:p>
    <w:p w14:paraId="50EF6B1A" w14:textId="77777777" w:rsidR="00EB2B63" w:rsidRPr="00DC3410" w:rsidRDefault="007B15F4" w:rsidP="00ED0C73">
      <w:pPr>
        <w:pStyle w:val="ListParagraph"/>
        <w:numPr>
          <w:ilvl w:val="1"/>
          <w:numId w:val="35"/>
        </w:numPr>
        <w:spacing w:line="276" w:lineRule="auto"/>
        <w:rPr>
          <w:rFonts w:ascii="Cambria" w:hAnsi="Cambria"/>
          <w:sz w:val="20"/>
          <w:szCs w:val="20"/>
        </w:rPr>
      </w:pPr>
      <w:r w:rsidRPr="00DC3410">
        <w:rPr>
          <w:rFonts w:ascii="Cambria" w:eastAsia="Times New Roman" w:hAnsi="Cambria" w:cs="Times New Roman"/>
          <w:sz w:val="20"/>
          <w:szCs w:val="20"/>
        </w:rPr>
        <w:t xml:space="preserve">This amount cannot exceed the fair value of the assets acquired. </w:t>
      </w:r>
    </w:p>
    <w:p w14:paraId="20F2B2D5" w14:textId="77777777" w:rsidR="00EB2B63" w:rsidRPr="00DC3410" w:rsidRDefault="007B15F4" w:rsidP="00ED0C73">
      <w:pPr>
        <w:pStyle w:val="ListParagraph"/>
        <w:numPr>
          <w:ilvl w:val="0"/>
          <w:numId w:val="35"/>
        </w:numPr>
        <w:spacing w:line="276" w:lineRule="auto"/>
        <w:rPr>
          <w:rFonts w:ascii="Cambria" w:hAnsi="Cambria"/>
          <w:sz w:val="20"/>
          <w:szCs w:val="20"/>
        </w:rPr>
      </w:pPr>
      <w:r w:rsidRPr="00DC3410">
        <w:rPr>
          <w:rFonts w:ascii="Cambria" w:eastAsia="Times New Roman" w:hAnsi="Cambria" w:cs="Times New Roman"/>
          <w:sz w:val="20"/>
          <w:szCs w:val="20"/>
        </w:rPr>
        <w:t xml:space="preserve">Assets </w:t>
      </w:r>
      <w:r w:rsidRPr="00DC3410">
        <w:rPr>
          <w:rFonts w:ascii="Cambria" w:eastAsia="Times New Roman" w:hAnsi="Cambria" w:cs="Times New Roman"/>
          <w:b/>
          <w:sz w:val="20"/>
          <w:szCs w:val="20"/>
        </w:rPr>
        <w:t>contributed</w:t>
      </w:r>
      <w:r w:rsidRPr="00DC3410">
        <w:rPr>
          <w:rFonts w:ascii="Cambria" w:eastAsia="Times New Roman" w:hAnsi="Cambria" w:cs="Times New Roman"/>
          <w:sz w:val="20"/>
          <w:szCs w:val="20"/>
        </w:rPr>
        <w:t xml:space="preserve"> to a company are measured at fair value and credited to contributed surplus if donat</w:t>
      </w:r>
      <w:r w:rsidR="00EB2B63" w:rsidRPr="00DC3410">
        <w:rPr>
          <w:rFonts w:ascii="Cambria" w:eastAsia="Times New Roman" w:hAnsi="Cambria" w:cs="Times New Roman"/>
          <w:sz w:val="20"/>
          <w:szCs w:val="20"/>
        </w:rPr>
        <w:t>ed by a shareholder - this is rare</w:t>
      </w:r>
    </w:p>
    <w:p w14:paraId="614AFEB1" w14:textId="781E9991" w:rsidR="003E6DEC" w:rsidRPr="00DC3410" w:rsidRDefault="00EB2B63" w:rsidP="00ED0C73">
      <w:pPr>
        <w:pStyle w:val="ListParagraph"/>
        <w:numPr>
          <w:ilvl w:val="1"/>
          <w:numId w:val="35"/>
        </w:numPr>
        <w:spacing w:line="276" w:lineRule="auto"/>
        <w:rPr>
          <w:rFonts w:ascii="Cambria" w:hAnsi="Cambria"/>
          <w:sz w:val="20"/>
          <w:szCs w:val="20"/>
        </w:rPr>
      </w:pPr>
      <w:r w:rsidRPr="00DC3410">
        <w:rPr>
          <w:rFonts w:ascii="Cambria" w:eastAsia="Times New Roman" w:hAnsi="Cambria" w:cs="Times New Roman"/>
          <w:sz w:val="20"/>
          <w:szCs w:val="20"/>
        </w:rPr>
        <w:t>I</w:t>
      </w:r>
      <w:r w:rsidR="007B15F4" w:rsidRPr="00DC3410">
        <w:rPr>
          <w:rFonts w:ascii="Cambria" w:eastAsia="Times New Roman" w:hAnsi="Cambria" w:cs="Times New Roman"/>
          <w:sz w:val="20"/>
          <w:szCs w:val="20"/>
        </w:rPr>
        <w:t>f contributed by government, the contribution is accounted for under the income approach whereby the amount credited flows through the income statement, usually as the asset is used by the entity</w:t>
      </w:r>
    </w:p>
    <w:p w14:paraId="68B13789" w14:textId="5408C3EE" w:rsidR="003E6DEC" w:rsidRPr="00DC3410" w:rsidRDefault="00EB2B63" w:rsidP="00086E79">
      <w:pPr>
        <w:pStyle w:val="ListParagraph"/>
        <w:numPr>
          <w:ilvl w:val="0"/>
          <w:numId w:val="30"/>
        </w:numPr>
        <w:spacing w:line="276" w:lineRule="auto"/>
        <w:ind w:left="360"/>
        <w:rPr>
          <w:rFonts w:ascii="Cambria" w:hAnsi="Cambria"/>
          <w:sz w:val="20"/>
          <w:szCs w:val="20"/>
        </w:rPr>
      </w:pPr>
      <w:r w:rsidRPr="00DC3410">
        <w:rPr>
          <w:rFonts w:ascii="Cambria" w:hAnsi="Cambria"/>
          <w:b/>
          <w:color w:val="E36C0A" w:themeColor="accent6" w:themeShade="BF"/>
          <w:sz w:val="20"/>
          <w:szCs w:val="20"/>
        </w:rPr>
        <w:t xml:space="preserve">Identify the costs included in </w:t>
      </w:r>
      <w:r w:rsidR="00E06241" w:rsidRPr="00DC3410">
        <w:rPr>
          <w:rFonts w:ascii="Cambria" w:hAnsi="Cambria"/>
          <w:b/>
          <w:color w:val="E36C0A" w:themeColor="accent6" w:themeShade="BF"/>
          <w:sz w:val="20"/>
          <w:szCs w:val="20"/>
        </w:rPr>
        <w:t>specific</w:t>
      </w:r>
      <w:r w:rsidRPr="00DC3410">
        <w:rPr>
          <w:rFonts w:ascii="Cambria" w:hAnsi="Cambria"/>
          <w:b/>
          <w:color w:val="E36C0A" w:themeColor="accent6" w:themeShade="BF"/>
          <w:sz w:val="20"/>
          <w:szCs w:val="20"/>
        </w:rPr>
        <w:t xml:space="preserve"> types of property, plant, and equipment</w:t>
      </w:r>
    </w:p>
    <w:p w14:paraId="1C95225C" w14:textId="77777777" w:rsidR="00EB2B63" w:rsidRPr="00DC3410" w:rsidRDefault="00EB2B63" w:rsidP="00ED0C73">
      <w:pPr>
        <w:pStyle w:val="ListParagraph"/>
        <w:numPr>
          <w:ilvl w:val="0"/>
          <w:numId w:val="36"/>
        </w:numPr>
        <w:spacing w:line="276" w:lineRule="auto"/>
        <w:ind w:left="1080"/>
        <w:rPr>
          <w:rFonts w:ascii="Cambria" w:hAnsi="Cambria"/>
          <w:sz w:val="20"/>
          <w:szCs w:val="20"/>
        </w:rPr>
      </w:pPr>
      <w:r w:rsidRPr="00DC3410">
        <w:rPr>
          <w:rFonts w:ascii="Cambria" w:eastAsia="Times New Roman" w:hAnsi="Cambria" w:cs="Times New Roman"/>
          <w:b/>
          <w:sz w:val="20"/>
          <w:szCs w:val="20"/>
        </w:rPr>
        <w:t>Land</w:t>
      </w:r>
      <w:r w:rsidRPr="00DC3410">
        <w:rPr>
          <w:rFonts w:ascii="Cambria" w:eastAsia="Times New Roman" w:hAnsi="Cambria" w:cs="Times New Roman"/>
          <w:sz w:val="20"/>
          <w:szCs w:val="20"/>
        </w:rPr>
        <w:t>: Includes all expenditures made to acquire land and to make it ready for use</w:t>
      </w:r>
    </w:p>
    <w:p w14:paraId="7885A5B6" w14:textId="77777777" w:rsidR="00EB2B63" w:rsidRPr="00DC3410" w:rsidRDefault="00EB2B63" w:rsidP="00ED0C73">
      <w:pPr>
        <w:pStyle w:val="ListParagraph"/>
        <w:numPr>
          <w:ilvl w:val="1"/>
          <w:numId w:val="36"/>
        </w:numPr>
        <w:spacing w:line="276" w:lineRule="auto"/>
        <w:rPr>
          <w:rFonts w:ascii="Cambria" w:hAnsi="Cambria"/>
          <w:sz w:val="20"/>
          <w:szCs w:val="20"/>
        </w:rPr>
      </w:pPr>
      <w:r w:rsidRPr="00DC3410">
        <w:rPr>
          <w:rFonts w:ascii="Cambria" w:eastAsia="Times New Roman" w:hAnsi="Cambria" w:cs="Times New Roman"/>
          <w:sz w:val="20"/>
          <w:szCs w:val="20"/>
        </w:rPr>
        <w:t>Land costs typically include the purchase price; closing costs, such as title to the land, legal fees, and registration fees; costs incurred to condition the land for its intended use, such as grading, filling, draining, and clearing; the assumption of any liens, mortgages, or encumbrances on the property; and any additional land improvements that have an indefinite life</w:t>
      </w:r>
    </w:p>
    <w:p w14:paraId="546EFF05" w14:textId="77777777" w:rsidR="001F0EA7" w:rsidRPr="00DC3410" w:rsidRDefault="00EB2B63" w:rsidP="00ED0C73">
      <w:pPr>
        <w:pStyle w:val="ListParagraph"/>
        <w:numPr>
          <w:ilvl w:val="0"/>
          <w:numId w:val="36"/>
        </w:numPr>
        <w:spacing w:line="276" w:lineRule="auto"/>
        <w:rPr>
          <w:rFonts w:ascii="Cambria" w:hAnsi="Cambria"/>
          <w:sz w:val="20"/>
          <w:szCs w:val="20"/>
        </w:rPr>
      </w:pPr>
      <w:r w:rsidRPr="00DC3410">
        <w:rPr>
          <w:rFonts w:ascii="Cambria" w:eastAsia="Times New Roman" w:hAnsi="Cambria" w:cs="Times New Roman"/>
          <w:b/>
          <w:sz w:val="20"/>
          <w:szCs w:val="20"/>
        </w:rPr>
        <w:t>Buildings</w:t>
      </w:r>
      <w:r w:rsidRPr="00DC3410">
        <w:rPr>
          <w:rFonts w:ascii="Cambria" w:eastAsia="Times New Roman" w:hAnsi="Cambria" w:cs="Times New Roman"/>
          <w:sz w:val="20"/>
          <w:szCs w:val="20"/>
        </w:rPr>
        <w:t>, including investment property: Includes all expenditures related directly to the</w:t>
      </w:r>
      <w:r w:rsidR="001F0EA7" w:rsidRPr="00DC3410">
        <w:rPr>
          <w:rFonts w:ascii="Cambria" w:eastAsia="Times New Roman" w:hAnsi="Cambria" w:cs="Times New Roman"/>
          <w:sz w:val="20"/>
          <w:szCs w:val="20"/>
        </w:rPr>
        <w:t>ir acquisition or construction</w:t>
      </w:r>
    </w:p>
    <w:p w14:paraId="504DB682" w14:textId="413A352A" w:rsidR="001F0EA7" w:rsidRPr="00DC3410" w:rsidRDefault="00EB2B63" w:rsidP="00ED0C73">
      <w:pPr>
        <w:pStyle w:val="ListParagraph"/>
        <w:numPr>
          <w:ilvl w:val="1"/>
          <w:numId w:val="36"/>
        </w:numPr>
        <w:spacing w:line="276" w:lineRule="auto"/>
        <w:rPr>
          <w:rFonts w:ascii="Cambria" w:hAnsi="Cambria"/>
          <w:sz w:val="20"/>
          <w:szCs w:val="20"/>
        </w:rPr>
      </w:pPr>
      <w:r w:rsidRPr="00DC3410">
        <w:rPr>
          <w:rFonts w:ascii="Cambria" w:eastAsia="Times New Roman" w:hAnsi="Cambria" w:cs="Times New Roman"/>
          <w:sz w:val="20"/>
          <w:szCs w:val="20"/>
        </w:rPr>
        <w:t>These costs include materials, labor, and direct overhead costs that are incurred during construction and professi</w:t>
      </w:r>
      <w:r w:rsidR="001F0EA7" w:rsidRPr="00DC3410">
        <w:rPr>
          <w:rFonts w:ascii="Cambria" w:eastAsia="Times New Roman" w:hAnsi="Cambria" w:cs="Times New Roman"/>
          <w:sz w:val="20"/>
          <w:szCs w:val="20"/>
        </w:rPr>
        <w:t>onal fees and building permits</w:t>
      </w:r>
    </w:p>
    <w:p w14:paraId="012CD7B8" w14:textId="77777777" w:rsidR="001F0EA7" w:rsidRPr="00DC3410" w:rsidRDefault="00EB2B63" w:rsidP="00ED0C73">
      <w:pPr>
        <w:pStyle w:val="ListParagraph"/>
        <w:numPr>
          <w:ilvl w:val="0"/>
          <w:numId w:val="36"/>
        </w:numPr>
        <w:spacing w:line="276" w:lineRule="auto"/>
        <w:rPr>
          <w:rFonts w:ascii="Cambria" w:hAnsi="Cambria"/>
          <w:sz w:val="20"/>
          <w:szCs w:val="20"/>
        </w:rPr>
      </w:pPr>
      <w:r w:rsidRPr="00DC3410">
        <w:rPr>
          <w:rFonts w:ascii="Cambria" w:eastAsia="Times New Roman" w:hAnsi="Cambria" w:cs="Times New Roman"/>
          <w:b/>
          <w:sz w:val="20"/>
          <w:szCs w:val="20"/>
        </w:rPr>
        <w:t>Equipment</w:t>
      </w:r>
      <w:r w:rsidRPr="00DC3410">
        <w:rPr>
          <w:rFonts w:ascii="Cambria" w:eastAsia="Times New Roman" w:hAnsi="Cambria" w:cs="Times New Roman"/>
          <w:sz w:val="20"/>
          <w:szCs w:val="20"/>
        </w:rPr>
        <w:t>: Includes the purchase price, freight, and handling charges that are incurred; insurance on the equipment while it is in transit; the cost of special foundations if they are required; assembling and installation costs; and the costs incurred in calibrating the equipment so t</w:t>
      </w:r>
      <w:r w:rsidR="001F0EA7" w:rsidRPr="00DC3410">
        <w:rPr>
          <w:rFonts w:ascii="Cambria" w:eastAsia="Times New Roman" w:hAnsi="Cambria" w:cs="Times New Roman"/>
          <w:sz w:val="20"/>
          <w:szCs w:val="20"/>
        </w:rPr>
        <w:t>hat it can be used as intended</w:t>
      </w:r>
    </w:p>
    <w:p w14:paraId="0D55CF4A" w14:textId="3AC27546" w:rsidR="001F0EA7" w:rsidRPr="00DC3410" w:rsidRDefault="00EB2B63" w:rsidP="00ED0C73">
      <w:pPr>
        <w:pStyle w:val="ListParagraph"/>
        <w:numPr>
          <w:ilvl w:val="0"/>
          <w:numId w:val="36"/>
        </w:numPr>
        <w:spacing w:line="276" w:lineRule="auto"/>
        <w:rPr>
          <w:rFonts w:ascii="Cambria" w:hAnsi="Cambria"/>
          <w:sz w:val="20"/>
          <w:szCs w:val="20"/>
        </w:rPr>
      </w:pPr>
      <w:r w:rsidRPr="00DC3410">
        <w:rPr>
          <w:rFonts w:ascii="Cambria" w:eastAsia="Times New Roman" w:hAnsi="Cambria" w:cs="Times New Roman"/>
          <w:b/>
          <w:sz w:val="20"/>
          <w:szCs w:val="20"/>
        </w:rPr>
        <w:t>Mineral resource properties</w:t>
      </w:r>
      <w:r w:rsidRPr="00DC3410">
        <w:rPr>
          <w:rFonts w:ascii="Cambria" w:eastAsia="Times New Roman" w:hAnsi="Cambria" w:cs="Times New Roman"/>
          <w:sz w:val="20"/>
          <w:szCs w:val="20"/>
        </w:rPr>
        <w:t>: Four types of costs may be included in establishing the c</w:t>
      </w:r>
      <w:r w:rsidR="001F0EA7" w:rsidRPr="00DC3410">
        <w:rPr>
          <w:rFonts w:ascii="Cambria" w:eastAsia="Times New Roman" w:hAnsi="Cambria" w:cs="Times New Roman"/>
          <w:sz w:val="20"/>
          <w:szCs w:val="20"/>
        </w:rPr>
        <w:t>ost of mineral resource assets</w:t>
      </w:r>
      <w:r w:rsidR="001F0EA7" w:rsidRPr="00DC3410">
        <w:rPr>
          <w:rFonts w:ascii="Cambria" w:hAnsi="Cambria"/>
          <w:sz w:val="20"/>
          <w:szCs w:val="20"/>
        </w:rPr>
        <w:t>:</w:t>
      </w:r>
    </w:p>
    <w:p w14:paraId="4B70F39B" w14:textId="588903B7" w:rsidR="001F0EA7" w:rsidRPr="00DC3410" w:rsidRDefault="001F0EA7" w:rsidP="00ED0C73">
      <w:pPr>
        <w:pStyle w:val="ListParagraph"/>
        <w:numPr>
          <w:ilvl w:val="0"/>
          <w:numId w:val="51"/>
        </w:numPr>
        <w:spacing w:line="276" w:lineRule="auto"/>
        <w:rPr>
          <w:rFonts w:ascii="Cambria" w:hAnsi="Cambria"/>
          <w:sz w:val="20"/>
          <w:szCs w:val="20"/>
        </w:rPr>
      </w:pPr>
      <w:r w:rsidRPr="00DC3410">
        <w:rPr>
          <w:rFonts w:ascii="Cambria" w:eastAsia="Times New Roman" w:hAnsi="Cambria" w:cs="Times New Roman"/>
          <w:sz w:val="20"/>
          <w:szCs w:val="20"/>
        </w:rPr>
        <w:t>Acquisition costs</w:t>
      </w:r>
    </w:p>
    <w:p w14:paraId="4157B2A7" w14:textId="3965258E" w:rsidR="001F0EA7" w:rsidRPr="00DC3410" w:rsidRDefault="001F0EA7" w:rsidP="00ED0C73">
      <w:pPr>
        <w:pStyle w:val="ListParagraph"/>
        <w:numPr>
          <w:ilvl w:val="0"/>
          <w:numId w:val="51"/>
        </w:numPr>
        <w:spacing w:line="276" w:lineRule="auto"/>
        <w:rPr>
          <w:rFonts w:ascii="Cambria" w:hAnsi="Cambria"/>
          <w:sz w:val="20"/>
          <w:szCs w:val="20"/>
        </w:rPr>
      </w:pPr>
      <w:r w:rsidRPr="00DC3410">
        <w:rPr>
          <w:rFonts w:ascii="Cambria" w:eastAsia="Times New Roman" w:hAnsi="Cambria" w:cs="Times New Roman"/>
          <w:sz w:val="20"/>
          <w:szCs w:val="20"/>
        </w:rPr>
        <w:t>Exploration and evaluation costs</w:t>
      </w:r>
    </w:p>
    <w:p w14:paraId="552B0497" w14:textId="5FD0A982" w:rsidR="001F0EA7" w:rsidRPr="00DC3410" w:rsidRDefault="001F0EA7" w:rsidP="00ED0C73">
      <w:pPr>
        <w:pStyle w:val="ListParagraph"/>
        <w:numPr>
          <w:ilvl w:val="0"/>
          <w:numId w:val="51"/>
        </w:numPr>
        <w:spacing w:line="276" w:lineRule="auto"/>
        <w:rPr>
          <w:rFonts w:ascii="Cambria" w:hAnsi="Cambria"/>
          <w:sz w:val="20"/>
          <w:szCs w:val="20"/>
        </w:rPr>
      </w:pPr>
      <w:r w:rsidRPr="00DC3410">
        <w:rPr>
          <w:rFonts w:ascii="Cambria" w:eastAsia="Times New Roman" w:hAnsi="Cambria" w:cs="Times New Roman"/>
          <w:sz w:val="20"/>
          <w:szCs w:val="20"/>
        </w:rPr>
        <w:t>Development costs</w:t>
      </w:r>
    </w:p>
    <w:p w14:paraId="61DA1BDC" w14:textId="242ACBA3" w:rsidR="003E6DEC" w:rsidRPr="00DC3410" w:rsidRDefault="001F0EA7" w:rsidP="00ED0C73">
      <w:pPr>
        <w:pStyle w:val="ListParagraph"/>
        <w:numPr>
          <w:ilvl w:val="0"/>
          <w:numId w:val="51"/>
        </w:numPr>
        <w:spacing w:line="276" w:lineRule="auto"/>
        <w:rPr>
          <w:rFonts w:ascii="Cambria" w:hAnsi="Cambria"/>
          <w:sz w:val="20"/>
          <w:szCs w:val="20"/>
        </w:rPr>
      </w:pPr>
      <w:r w:rsidRPr="00DC3410">
        <w:rPr>
          <w:rFonts w:ascii="Cambria" w:eastAsia="Times New Roman" w:hAnsi="Cambria" w:cs="Times New Roman"/>
          <w:sz w:val="20"/>
          <w:szCs w:val="20"/>
        </w:rPr>
        <w:t>Site</w:t>
      </w:r>
      <w:r w:rsidR="00EB2B63" w:rsidRPr="00DC3410">
        <w:rPr>
          <w:rFonts w:ascii="Cambria" w:eastAsia="Times New Roman" w:hAnsi="Cambria" w:cs="Times New Roman"/>
          <w:sz w:val="20"/>
          <w:szCs w:val="20"/>
        </w:rPr>
        <w:t xml:space="preserve"> restoration and asset retirement costs</w:t>
      </w:r>
      <w:r w:rsidR="003E6DEC" w:rsidRPr="00DC3410">
        <w:rPr>
          <w:rFonts w:ascii="Cambria" w:hAnsi="Cambria"/>
          <w:sz w:val="20"/>
          <w:szCs w:val="20"/>
        </w:rPr>
        <w:t xml:space="preserve"> </w:t>
      </w:r>
    </w:p>
    <w:p w14:paraId="7E352683" w14:textId="7217DEB4" w:rsidR="003E6DEC" w:rsidRPr="00DC3410" w:rsidRDefault="001F0EA7" w:rsidP="00086E79">
      <w:pPr>
        <w:pStyle w:val="ListParagraph"/>
        <w:numPr>
          <w:ilvl w:val="0"/>
          <w:numId w:val="30"/>
        </w:numPr>
        <w:spacing w:line="276" w:lineRule="auto"/>
        <w:ind w:left="360"/>
        <w:rPr>
          <w:rFonts w:ascii="Cambria" w:hAnsi="Cambria"/>
          <w:sz w:val="20"/>
          <w:szCs w:val="20"/>
        </w:rPr>
      </w:pPr>
      <w:r w:rsidRPr="00DC3410">
        <w:rPr>
          <w:rFonts w:ascii="Cambria" w:hAnsi="Cambria"/>
          <w:b/>
          <w:color w:val="E36C0A" w:themeColor="accent6" w:themeShade="BF"/>
          <w:sz w:val="20"/>
          <w:szCs w:val="20"/>
        </w:rPr>
        <w:t>Understand and apply the cost model</w:t>
      </w:r>
    </w:p>
    <w:p w14:paraId="7DF9A81D" w14:textId="77777777" w:rsidR="001F0EA7" w:rsidRPr="00DC3410" w:rsidRDefault="001F0EA7" w:rsidP="00ED0C73">
      <w:pPr>
        <w:pStyle w:val="ListParagraph"/>
        <w:numPr>
          <w:ilvl w:val="0"/>
          <w:numId w:val="37"/>
        </w:numPr>
        <w:spacing w:line="276" w:lineRule="auto"/>
        <w:ind w:left="1080"/>
        <w:rPr>
          <w:rFonts w:ascii="Cambria" w:hAnsi="Cambria"/>
          <w:sz w:val="20"/>
          <w:szCs w:val="20"/>
        </w:rPr>
      </w:pPr>
      <w:r w:rsidRPr="00DC3410">
        <w:rPr>
          <w:rFonts w:ascii="Cambria" w:eastAsia="Times New Roman" w:hAnsi="Cambria" w:cs="Times New Roman"/>
          <w:sz w:val="20"/>
          <w:szCs w:val="20"/>
        </w:rPr>
        <w:t>The cost model is appropriate for all classes of PP&amp;E, including investment property</w:t>
      </w:r>
    </w:p>
    <w:p w14:paraId="0C12905D" w14:textId="6DB361A2" w:rsidR="003E6DEC" w:rsidRPr="00DC3410" w:rsidRDefault="001F0EA7" w:rsidP="00ED0C73">
      <w:pPr>
        <w:pStyle w:val="ListParagraph"/>
        <w:numPr>
          <w:ilvl w:val="0"/>
          <w:numId w:val="37"/>
        </w:numPr>
        <w:spacing w:line="276" w:lineRule="auto"/>
        <w:ind w:left="1080"/>
        <w:rPr>
          <w:rFonts w:ascii="Cambria" w:hAnsi="Cambria"/>
          <w:sz w:val="20"/>
          <w:szCs w:val="20"/>
        </w:rPr>
      </w:pPr>
      <w:r w:rsidRPr="00DC3410">
        <w:rPr>
          <w:rFonts w:ascii="Cambria" w:eastAsia="Times New Roman" w:hAnsi="Cambria" w:cs="Times New Roman"/>
          <w:sz w:val="20"/>
          <w:szCs w:val="20"/>
        </w:rPr>
        <w:t>Under this model, the assets are carried at cost less accumulated depreciation and any accumulated impairment losses</w:t>
      </w:r>
    </w:p>
    <w:p w14:paraId="771E0B8C" w14:textId="6F69E0E6" w:rsidR="003E6DEC" w:rsidRPr="00DC3410" w:rsidRDefault="001F0EA7" w:rsidP="00086E79">
      <w:pPr>
        <w:pStyle w:val="ListParagraph"/>
        <w:numPr>
          <w:ilvl w:val="0"/>
          <w:numId w:val="30"/>
        </w:numPr>
        <w:spacing w:line="276" w:lineRule="auto"/>
        <w:ind w:left="360"/>
        <w:rPr>
          <w:rFonts w:ascii="Cambria" w:hAnsi="Cambria"/>
          <w:color w:val="E36C0A" w:themeColor="accent6" w:themeShade="BF"/>
          <w:sz w:val="20"/>
          <w:szCs w:val="20"/>
        </w:rPr>
      </w:pPr>
      <w:r w:rsidRPr="00DC3410">
        <w:rPr>
          <w:rFonts w:ascii="Cambria" w:hAnsi="Cambria"/>
          <w:b/>
          <w:color w:val="E36C0A" w:themeColor="accent6" w:themeShade="BF"/>
          <w:sz w:val="20"/>
          <w:szCs w:val="20"/>
        </w:rPr>
        <w:t>Understand the revaluation model and apply it using the asset adjustment method</w:t>
      </w:r>
    </w:p>
    <w:p w14:paraId="045172DE" w14:textId="77777777" w:rsidR="001F0EA7" w:rsidRPr="00DC3410" w:rsidRDefault="001F0EA7" w:rsidP="00ED0C73">
      <w:pPr>
        <w:pStyle w:val="ListParagraph"/>
        <w:numPr>
          <w:ilvl w:val="0"/>
          <w:numId w:val="52"/>
        </w:numPr>
        <w:spacing w:line="276" w:lineRule="auto"/>
        <w:rPr>
          <w:rFonts w:ascii="Cambria" w:hAnsi="Cambria"/>
          <w:sz w:val="20"/>
          <w:szCs w:val="20"/>
        </w:rPr>
      </w:pPr>
      <w:r w:rsidRPr="00DC3410">
        <w:rPr>
          <w:rFonts w:ascii="Cambria" w:eastAsia="Times New Roman" w:hAnsi="Cambria" w:cs="Times New Roman"/>
          <w:sz w:val="20"/>
          <w:szCs w:val="20"/>
        </w:rPr>
        <w:t>Under IFRS, the revaluation model may be applied to any class of PP&amp;E except investment property, provided fair value can be measured reliably</w:t>
      </w:r>
    </w:p>
    <w:p w14:paraId="4337445B" w14:textId="77777777" w:rsidR="001F0EA7" w:rsidRPr="00DC3410" w:rsidRDefault="001F0EA7" w:rsidP="00ED0C73">
      <w:pPr>
        <w:pStyle w:val="ListParagraph"/>
        <w:numPr>
          <w:ilvl w:val="0"/>
          <w:numId w:val="52"/>
        </w:numPr>
        <w:spacing w:line="276" w:lineRule="auto"/>
        <w:rPr>
          <w:rFonts w:ascii="Cambria" w:hAnsi="Cambria"/>
          <w:sz w:val="20"/>
          <w:szCs w:val="20"/>
        </w:rPr>
      </w:pPr>
      <w:r w:rsidRPr="00DC3410">
        <w:rPr>
          <w:rFonts w:ascii="Cambria" w:eastAsia="Times New Roman" w:hAnsi="Cambria" w:cs="Times New Roman"/>
          <w:sz w:val="20"/>
          <w:szCs w:val="20"/>
        </w:rPr>
        <w:t>Under this model, the assets are carried at their fair value at the revaluation date less any subsequent accumulated depreciation and any subsequent accumulated impairment losses</w:t>
      </w:r>
    </w:p>
    <w:p w14:paraId="764FFEF3" w14:textId="77777777" w:rsidR="001F0EA7" w:rsidRPr="00DC3410" w:rsidRDefault="001F0EA7" w:rsidP="00ED0C73">
      <w:pPr>
        <w:pStyle w:val="ListParagraph"/>
        <w:numPr>
          <w:ilvl w:val="0"/>
          <w:numId w:val="52"/>
        </w:numPr>
        <w:spacing w:line="276" w:lineRule="auto"/>
        <w:rPr>
          <w:rFonts w:ascii="Cambria" w:hAnsi="Cambria"/>
          <w:sz w:val="20"/>
          <w:szCs w:val="20"/>
        </w:rPr>
      </w:pPr>
      <w:r w:rsidRPr="00DC3410">
        <w:rPr>
          <w:rFonts w:ascii="Cambria" w:eastAsia="Times New Roman" w:hAnsi="Cambria" w:cs="Times New Roman"/>
          <w:sz w:val="20"/>
          <w:szCs w:val="20"/>
        </w:rPr>
        <w:t>While held, net increases in fair value are not reported in income, but are accumulated in a Revaluation Surplus (OCI) account in equity</w:t>
      </w:r>
    </w:p>
    <w:p w14:paraId="599AC9C3" w14:textId="77777777" w:rsidR="001F0EA7" w:rsidRPr="00DC3410" w:rsidRDefault="001F0EA7" w:rsidP="00ED0C73">
      <w:pPr>
        <w:pStyle w:val="ListParagraph"/>
        <w:numPr>
          <w:ilvl w:val="0"/>
          <w:numId w:val="52"/>
        </w:numPr>
        <w:spacing w:line="276" w:lineRule="auto"/>
        <w:rPr>
          <w:rFonts w:ascii="Cambria" w:hAnsi="Cambria"/>
          <w:sz w:val="20"/>
          <w:szCs w:val="20"/>
        </w:rPr>
      </w:pPr>
      <w:r w:rsidRPr="00DC3410">
        <w:rPr>
          <w:rFonts w:ascii="Cambria" w:eastAsia="Times New Roman" w:hAnsi="Cambria" w:cs="Times New Roman"/>
          <w:sz w:val="20"/>
          <w:szCs w:val="20"/>
        </w:rPr>
        <w:t>Net losses are reported in income once the revaluation surplus has been eliminated</w:t>
      </w:r>
    </w:p>
    <w:p w14:paraId="7D78C7F9" w14:textId="77777777" w:rsidR="001F0EA7" w:rsidRPr="00DC3410" w:rsidRDefault="001F0EA7" w:rsidP="00ED0C73">
      <w:pPr>
        <w:pStyle w:val="ListParagraph"/>
        <w:numPr>
          <w:ilvl w:val="0"/>
          <w:numId w:val="52"/>
        </w:numPr>
        <w:spacing w:line="276" w:lineRule="auto"/>
        <w:rPr>
          <w:rFonts w:ascii="Cambria" w:hAnsi="Cambria"/>
          <w:sz w:val="20"/>
          <w:szCs w:val="20"/>
        </w:rPr>
      </w:pPr>
      <w:r w:rsidRPr="00DC3410">
        <w:rPr>
          <w:rFonts w:ascii="Cambria" w:eastAsia="Times New Roman" w:hAnsi="Cambria" w:cs="Times New Roman"/>
          <w:sz w:val="20"/>
          <w:szCs w:val="20"/>
        </w:rPr>
        <w:t>At the time of revaluation, under this method, the accumulated depreciation account is eliminated (written off against the asset itself)</w:t>
      </w:r>
    </w:p>
    <w:p w14:paraId="1021E8BE" w14:textId="1D9C9824" w:rsidR="00ED2BCF" w:rsidRPr="00DC3410" w:rsidRDefault="001F0EA7" w:rsidP="00ED0C73">
      <w:pPr>
        <w:pStyle w:val="ListParagraph"/>
        <w:numPr>
          <w:ilvl w:val="0"/>
          <w:numId w:val="52"/>
        </w:numPr>
        <w:spacing w:line="276" w:lineRule="auto"/>
        <w:rPr>
          <w:rFonts w:ascii="Cambria" w:hAnsi="Cambria"/>
          <w:sz w:val="20"/>
          <w:szCs w:val="20"/>
        </w:rPr>
      </w:pPr>
      <w:r w:rsidRPr="00DC3410">
        <w:rPr>
          <w:rFonts w:ascii="Cambria" w:eastAsia="Times New Roman" w:hAnsi="Cambria" w:cs="Times New Roman"/>
          <w:sz w:val="20"/>
          <w:szCs w:val="20"/>
        </w:rPr>
        <w:t>The asset is then adjusted to its new revalued amount</w:t>
      </w:r>
    </w:p>
    <w:p w14:paraId="133C0346" w14:textId="65E018B4" w:rsidR="00B068CB" w:rsidRPr="00DC3410" w:rsidRDefault="001F0EA7" w:rsidP="00086E79">
      <w:pPr>
        <w:pStyle w:val="ListParagraph"/>
        <w:numPr>
          <w:ilvl w:val="0"/>
          <w:numId w:val="30"/>
        </w:numPr>
        <w:spacing w:line="276" w:lineRule="auto"/>
        <w:ind w:left="360"/>
        <w:rPr>
          <w:rFonts w:ascii="Cambria" w:hAnsi="Cambria"/>
          <w:sz w:val="20"/>
          <w:szCs w:val="20"/>
        </w:rPr>
      </w:pPr>
      <w:r w:rsidRPr="00DC3410">
        <w:rPr>
          <w:rFonts w:ascii="Cambria" w:hAnsi="Cambria"/>
          <w:b/>
          <w:color w:val="E36C0A" w:themeColor="accent6" w:themeShade="BF"/>
          <w:sz w:val="20"/>
          <w:szCs w:val="20"/>
        </w:rPr>
        <w:t>Understand and apply the fair value model</w:t>
      </w:r>
    </w:p>
    <w:p w14:paraId="1DA5D1CA" w14:textId="77777777" w:rsidR="001F0EA7" w:rsidRPr="00DC3410" w:rsidRDefault="001F0EA7" w:rsidP="00ED0C73">
      <w:pPr>
        <w:pStyle w:val="ListParagraph"/>
        <w:numPr>
          <w:ilvl w:val="0"/>
          <w:numId w:val="38"/>
        </w:numPr>
        <w:spacing w:line="276" w:lineRule="auto"/>
        <w:ind w:left="1080"/>
        <w:rPr>
          <w:rFonts w:ascii="Cambria" w:hAnsi="Cambria"/>
          <w:sz w:val="20"/>
          <w:szCs w:val="20"/>
        </w:rPr>
      </w:pPr>
      <w:r w:rsidRPr="00DC3410">
        <w:rPr>
          <w:rFonts w:ascii="Cambria" w:eastAsia="Times New Roman" w:hAnsi="Cambria" w:cs="Times New Roman"/>
          <w:sz w:val="20"/>
          <w:szCs w:val="20"/>
        </w:rPr>
        <w:t>The fair value model can be applied only to investment property under IFRS, and the choice between cost and fair value must be made for all investment property reported</w:t>
      </w:r>
    </w:p>
    <w:p w14:paraId="6C486A8A" w14:textId="77777777" w:rsidR="001F0EA7" w:rsidRPr="00DC3410" w:rsidRDefault="001F0EA7" w:rsidP="00ED0C73">
      <w:pPr>
        <w:pStyle w:val="ListParagraph"/>
        <w:numPr>
          <w:ilvl w:val="0"/>
          <w:numId w:val="38"/>
        </w:numPr>
        <w:spacing w:line="276" w:lineRule="auto"/>
        <w:ind w:left="1080"/>
        <w:rPr>
          <w:rFonts w:ascii="Cambria" w:hAnsi="Cambria"/>
          <w:sz w:val="20"/>
          <w:szCs w:val="20"/>
        </w:rPr>
      </w:pPr>
      <w:r w:rsidRPr="00DC3410">
        <w:rPr>
          <w:rFonts w:ascii="Cambria" w:eastAsia="Times New Roman" w:hAnsi="Cambria" w:cs="Times New Roman"/>
          <w:sz w:val="20"/>
          <w:szCs w:val="20"/>
        </w:rPr>
        <w:t>Under this model, all changes in fair value are recognized in net income</w:t>
      </w:r>
    </w:p>
    <w:p w14:paraId="55759E33" w14:textId="77777777" w:rsidR="001F0EA7" w:rsidRPr="00DC3410" w:rsidRDefault="001F0EA7" w:rsidP="00ED0C73">
      <w:pPr>
        <w:pStyle w:val="ListParagraph"/>
        <w:numPr>
          <w:ilvl w:val="0"/>
          <w:numId w:val="38"/>
        </w:numPr>
        <w:spacing w:line="276" w:lineRule="auto"/>
        <w:ind w:left="1080"/>
        <w:rPr>
          <w:rFonts w:ascii="Cambria" w:hAnsi="Cambria"/>
          <w:sz w:val="20"/>
          <w:szCs w:val="20"/>
        </w:rPr>
      </w:pPr>
      <w:r w:rsidRPr="00DC3410">
        <w:rPr>
          <w:rFonts w:ascii="Cambria" w:eastAsia="Times New Roman" w:hAnsi="Cambria" w:cs="Times New Roman"/>
          <w:sz w:val="20"/>
          <w:szCs w:val="20"/>
        </w:rPr>
        <w:t>No depreciation is recognized</w:t>
      </w:r>
    </w:p>
    <w:p w14:paraId="4A929C32" w14:textId="51FA0308" w:rsidR="00ED0C73" w:rsidRPr="00DC3410" w:rsidRDefault="001F0EA7" w:rsidP="00E06241">
      <w:pPr>
        <w:pStyle w:val="ListParagraph"/>
        <w:numPr>
          <w:ilvl w:val="0"/>
          <w:numId w:val="61"/>
        </w:numPr>
        <w:spacing w:line="276" w:lineRule="auto"/>
        <w:rPr>
          <w:rFonts w:ascii="Cambria" w:hAnsi="Cambria"/>
          <w:sz w:val="20"/>
          <w:szCs w:val="20"/>
        </w:rPr>
      </w:pPr>
      <w:r w:rsidRPr="00DC3410">
        <w:rPr>
          <w:rFonts w:ascii="Cambria" w:hAnsi="Cambria"/>
          <w:b/>
          <w:color w:val="E36C0A" w:themeColor="accent6" w:themeShade="BF"/>
          <w:sz w:val="20"/>
          <w:szCs w:val="20"/>
        </w:rPr>
        <w:t xml:space="preserve">Explain and </w:t>
      </w:r>
      <w:r w:rsidR="00ED0C73" w:rsidRPr="00DC3410">
        <w:rPr>
          <w:rFonts w:ascii="Cambria" w:hAnsi="Cambria"/>
          <w:b/>
          <w:color w:val="E36C0A" w:themeColor="accent6" w:themeShade="BF"/>
          <w:sz w:val="20"/>
          <w:szCs w:val="20"/>
        </w:rPr>
        <w:t>a</w:t>
      </w:r>
      <w:r w:rsidRPr="00DC3410">
        <w:rPr>
          <w:rFonts w:ascii="Cambria" w:hAnsi="Cambria"/>
          <w:b/>
          <w:color w:val="E36C0A" w:themeColor="accent6" w:themeShade="BF"/>
          <w:sz w:val="20"/>
          <w:szCs w:val="20"/>
        </w:rPr>
        <w:t>pply the accounting treatment for costs incurred after acquisition</w:t>
      </w:r>
    </w:p>
    <w:p w14:paraId="07E7A9C8" w14:textId="77777777" w:rsidR="00ED0C73" w:rsidRPr="00DC3410" w:rsidRDefault="00ED0C73" w:rsidP="00ED0C73">
      <w:pPr>
        <w:pStyle w:val="ListParagraph"/>
        <w:numPr>
          <w:ilvl w:val="0"/>
          <w:numId w:val="53"/>
        </w:numPr>
        <w:spacing w:line="276" w:lineRule="auto"/>
        <w:rPr>
          <w:rFonts w:ascii="Cambria" w:hAnsi="Cambria"/>
          <w:sz w:val="20"/>
          <w:szCs w:val="20"/>
        </w:rPr>
      </w:pPr>
      <w:r w:rsidRPr="00DC3410">
        <w:rPr>
          <w:rFonts w:ascii="Cambria" w:eastAsia="Times New Roman" w:hAnsi="Cambria" w:cs="Times New Roman"/>
          <w:sz w:val="20"/>
          <w:szCs w:val="20"/>
        </w:rPr>
        <w:t>Day-to-day servicing, repair, and maintenance costs, and costs of rearrangement and relocation, are expensed as incurred</w:t>
      </w:r>
    </w:p>
    <w:p w14:paraId="196C63D8" w14:textId="77777777" w:rsidR="00ED0C73" w:rsidRPr="00DC3410" w:rsidRDefault="00ED0C73" w:rsidP="00ED0C73">
      <w:pPr>
        <w:pStyle w:val="ListParagraph"/>
        <w:numPr>
          <w:ilvl w:val="0"/>
          <w:numId w:val="53"/>
        </w:numPr>
        <w:spacing w:line="276" w:lineRule="auto"/>
        <w:rPr>
          <w:rFonts w:ascii="Cambria" w:hAnsi="Cambria"/>
          <w:sz w:val="20"/>
          <w:szCs w:val="20"/>
        </w:rPr>
      </w:pPr>
      <w:r w:rsidRPr="00DC3410">
        <w:rPr>
          <w:rFonts w:ascii="Cambria" w:eastAsia="Times New Roman" w:hAnsi="Cambria" w:cs="Times New Roman"/>
          <w:sz w:val="20"/>
          <w:szCs w:val="20"/>
        </w:rPr>
        <w:t>PP&amp;E expenditures that provide future economic benefits and whose costs can be reliably measured are capitalized</w:t>
      </w:r>
    </w:p>
    <w:p w14:paraId="3F7A67A6" w14:textId="1FC24B87" w:rsidR="00ED0C73" w:rsidRPr="00DC3410" w:rsidRDefault="00ED0C73" w:rsidP="00ED0C73">
      <w:pPr>
        <w:pStyle w:val="ListParagraph"/>
        <w:numPr>
          <w:ilvl w:val="0"/>
          <w:numId w:val="38"/>
        </w:numPr>
        <w:spacing w:line="276" w:lineRule="auto"/>
        <w:ind w:left="1080"/>
        <w:rPr>
          <w:rFonts w:ascii="Cambria" w:hAnsi="Cambria"/>
          <w:sz w:val="20"/>
          <w:szCs w:val="20"/>
        </w:rPr>
      </w:pPr>
      <w:r w:rsidRPr="00DC3410">
        <w:rPr>
          <w:rFonts w:ascii="Cambria" w:eastAsia="Times New Roman" w:hAnsi="Cambria" w:cs="Times New Roman"/>
          <w:sz w:val="20"/>
          <w:szCs w:val="20"/>
        </w:rPr>
        <w:t>The cost of additions, replacements, and major overhauls and inspections are capitalized and the carrying amount of the replaced asset or the previous overhaul or inspection is removed from the account</w:t>
      </w:r>
      <w:r w:rsidRPr="00DC3410">
        <w:rPr>
          <w:rFonts w:ascii="Cambria" w:hAnsi="Cambria"/>
          <w:sz w:val="20"/>
          <w:szCs w:val="20"/>
        </w:rPr>
        <w:t xml:space="preserve"> </w:t>
      </w:r>
    </w:p>
    <w:p w14:paraId="1CC8CD60" w14:textId="4B351109" w:rsidR="00ED0C73" w:rsidRPr="00DC3410" w:rsidRDefault="00ED0C73" w:rsidP="00ED0C73">
      <w:pPr>
        <w:pStyle w:val="ListParagraph"/>
        <w:numPr>
          <w:ilvl w:val="0"/>
          <w:numId w:val="54"/>
        </w:numPr>
        <w:spacing w:line="276" w:lineRule="auto"/>
        <w:rPr>
          <w:rFonts w:ascii="Cambria" w:hAnsi="Cambria"/>
          <w:sz w:val="20"/>
          <w:szCs w:val="20"/>
        </w:rPr>
      </w:pPr>
      <w:r w:rsidRPr="00DC3410">
        <w:rPr>
          <w:rFonts w:ascii="Cambria" w:hAnsi="Cambria"/>
          <w:b/>
          <w:color w:val="E36C0A" w:themeColor="accent6" w:themeShade="BF"/>
          <w:sz w:val="20"/>
          <w:szCs w:val="20"/>
        </w:rPr>
        <w:t>Explain and apply the accounting treatment for costs incurred after acquisition</w:t>
      </w:r>
    </w:p>
    <w:p w14:paraId="0E7B8476" w14:textId="77777777" w:rsidR="00ED0C73" w:rsidRPr="00DC3410" w:rsidRDefault="00ED0C73" w:rsidP="00ED0C73">
      <w:pPr>
        <w:pStyle w:val="ListParagraph"/>
        <w:numPr>
          <w:ilvl w:val="0"/>
          <w:numId w:val="38"/>
        </w:numPr>
        <w:spacing w:line="276" w:lineRule="auto"/>
        <w:rPr>
          <w:rFonts w:ascii="Cambria" w:hAnsi="Cambria"/>
          <w:sz w:val="20"/>
          <w:szCs w:val="20"/>
        </w:rPr>
      </w:pPr>
      <w:r w:rsidRPr="00DC3410">
        <w:rPr>
          <w:rFonts w:ascii="Cambria" w:eastAsia="Times New Roman" w:hAnsi="Cambria" w:cs="Times New Roman"/>
          <w:sz w:val="20"/>
          <w:szCs w:val="20"/>
        </w:rPr>
        <w:t>In general, the accounting for PP&amp;E assets is very similar under both IFRS and ASPE because the principles underlying both are very similar</w:t>
      </w:r>
    </w:p>
    <w:p w14:paraId="0162A869" w14:textId="77777777" w:rsidR="00ED0C73" w:rsidRPr="00DC3410" w:rsidRDefault="00ED0C73" w:rsidP="00ED0C73">
      <w:pPr>
        <w:pStyle w:val="ListParagraph"/>
        <w:numPr>
          <w:ilvl w:val="0"/>
          <w:numId w:val="38"/>
        </w:numPr>
        <w:spacing w:line="276" w:lineRule="auto"/>
        <w:rPr>
          <w:rFonts w:ascii="Cambria" w:hAnsi="Cambria"/>
          <w:sz w:val="20"/>
          <w:szCs w:val="20"/>
        </w:rPr>
      </w:pPr>
      <w:r w:rsidRPr="00DC3410">
        <w:rPr>
          <w:rFonts w:ascii="Cambria" w:eastAsia="Times New Roman" w:hAnsi="Cambria" w:cs="Times New Roman"/>
          <w:sz w:val="20"/>
          <w:szCs w:val="20"/>
        </w:rPr>
        <w:t>However, under IFRS, practice remains closer to the principles identified</w:t>
      </w:r>
    </w:p>
    <w:p w14:paraId="33AEB7AD" w14:textId="77777777" w:rsidR="00ED0C73" w:rsidRPr="00DC3410" w:rsidRDefault="00ED0C73" w:rsidP="00ED0C73">
      <w:pPr>
        <w:pStyle w:val="ListParagraph"/>
        <w:numPr>
          <w:ilvl w:val="1"/>
          <w:numId w:val="38"/>
        </w:numPr>
        <w:spacing w:line="276" w:lineRule="auto"/>
        <w:rPr>
          <w:rFonts w:ascii="Cambria" w:hAnsi="Cambria"/>
          <w:sz w:val="20"/>
          <w:szCs w:val="20"/>
        </w:rPr>
      </w:pPr>
      <w:r w:rsidRPr="00DC3410">
        <w:rPr>
          <w:rFonts w:ascii="Cambria" w:eastAsia="Times New Roman" w:hAnsi="Cambria" w:cs="Times New Roman"/>
          <w:sz w:val="20"/>
          <w:szCs w:val="20"/>
        </w:rPr>
        <w:t>This is seen, for example, in accounting for components and major overhauls and inspections, incidental revenues and expenses before asset use, and borrowing costs</w:t>
      </w:r>
    </w:p>
    <w:p w14:paraId="3AB5DBE8" w14:textId="77777777" w:rsidR="00ED0C73" w:rsidRPr="00DC3410" w:rsidRDefault="00ED0C73" w:rsidP="00ED0C73">
      <w:pPr>
        <w:pStyle w:val="ListParagraph"/>
        <w:numPr>
          <w:ilvl w:val="0"/>
          <w:numId w:val="38"/>
        </w:numPr>
        <w:spacing w:line="276" w:lineRule="auto"/>
        <w:rPr>
          <w:rFonts w:ascii="Cambria" w:hAnsi="Cambria"/>
          <w:sz w:val="20"/>
          <w:szCs w:val="20"/>
        </w:rPr>
      </w:pPr>
      <w:r w:rsidRPr="00DC3410">
        <w:rPr>
          <w:rFonts w:ascii="Cambria" w:eastAsia="Times New Roman" w:hAnsi="Cambria" w:cs="Times New Roman"/>
          <w:sz w:val="20"/>
          <w:szCs w:val="20"/>
        </w:rPr>
        <w:t>IFRS permits application of a revaluation model and a fair value model, neither of which is acceptable under ASPE</w:t>
      </w:r>
    </w:p>
    <w:p w14:paraId="7BEFF8C7" w14:textId="77777777" w:rsidR="00ED0C73" w:rsidRPr="00DC3410" w:rsidRDefault="00ED0C73" w:rsidP="00ED0C73">
      <w:pPr>
        <w:pStyle w:val="ListParagraph"/>
        <w:numPr>
          <w:ilvl w:val="0"/>
          <w:numId w:val="38"/>
        </w:numPr>
        <w:spacing w:line="276" w:lineRule="auto"/>
        <w:rPr>
          <w:rFonts w:ascii="Cambria" w:hAnsi="Cambria"/>
          <w:sz w:val="20"/>
          <w:szCs w:val="20"/>
        </w:rPr>
      </w:pPr>
      <w:r w:rsidRPr="00DC3410">
        <w:rPr>
          <w:rFonts w:ascii="Cambria" w:eastAsia="Times New Roman" w:hAnsi="Cambria" w:cs="Times New Roman"/>
          <w:sz w:val="20"/>
          <w:szCs w:val="20"/>
        </w:rPr>
        <w:t>The IASB is researching activities related to the extractive industry with the objective of developing accounting standards to cover the exploration for, and the development and extraction of, minerals and oil and gas resources and assets</w:t>
      </w:r>
    </w:p>
    <w:p w14:paraId="59F6FE94" w14:textId="4027EA0C" w:rsidR="00ED0C73" w:rsidRPr="00DC3410" w:rsidRDefault="00ED0C73" w:rsidP="00ED0C73">
      <w:pPr>
        <w:pStyle w:val="ListParagraph"/>
        <w:numPr>
          <w:ilvl w:val="0"/>
          <w:numId w:val="38"/>
        </w:numPr>
        <w:spacing w:line="276" w:lineRule="auto"/>
        <w:rPr>
          <w:rFonts w:ascii="Cambria" w:hAnsi="Cambria"/>
          <w:sz w:val="20"/>
          <w:szCs w:val="20"/>
        </w:rPr>
      </w:pPr>
      <w:r w:rsidRPr="00DC3410">
        <w:rPr>
          <w:rFonts w:ascii="Cambria" w:eastAsia="Times New Roman" w:hAnsi="Cambria" w:cs="Times New Roman"/>
          <w:sz w:val="20"/>
          <w:szCs w:val="20"/>
        </w:rPr>
        <w:t>In addition, a new IFRS standard on fair value measurement was finalized in May 2011, with an effective date of January 1, 2013</w:t>
      </w:r>
    </w:p>
    <w:p w14:paraId="05A377E0" w14:textId="77777777" w:rsidR="001F0EA7" w:rsidRPr="00DC3410" w:rsidRDefault="001F0EA7" w:rsidP="001F0EA7">
      <w:pPr>
        <w:spacing w:line="276" w:lineRule="auto"/>
        <w:rPr>
          <w:rFonts w:ascii="Cambria" w:hAnsi="Cambria"/>
          <w:sz w:val="20"/>
          <w:szCs w:val="20"/>
        </w:rPr>
      </w:pPr>
    </w:p>
    <w:p w14:paraId="78C8B667" w14:textId="319FF5D7" w:rsidR="00E310FA" w:rsidRPr="00DC3410" w:rsidRDefault="00A51741" w:rsidP="00AF0E8B">
      <w:pPr>
        <w:spacing w:line="276" w:lineRule="auto"/>
        <w:rPr>
          <w:rFonts w:ascii="Cambria" w:hAnsi="Cambria"/>
          <w:b/>
          <w:color w:val="660066"/>
          <w:sz w:val="22"/>
          <w:szCs w:val="20"/>
          <w:u w:val="single"/>
        </w:rPr>
      </w:pPr>
      <w:r w:rsidRPr="00DC3410">
        <w:rPr>
          <w:rFonts w:ascii="Cambria" w:hAnsi="Cambria"/>
          <w:b/>
          <w:color w:val="660066"/>
          <w:sz w:val="22"/>
          <w:szCs w:val="20"/>
          <w:u w:val="single"/>
        </w:rPr>
        <w:t>Chapter 11</w:t>
      </w:r>
    </w:p>
    <w:p w14:paraId="470A8C45" w14:textId="4B8A247B" w:rsidR="00E310FA" w:rsidRPr="00DC3410" w:rsidRDefault="001C6574" w:rsidP="00ED0C73">
      <w:pPr>
        <w:pStyle w:val="ListParagraph"/>
        <w:numPr>
          <w:ilvl w:val="0"/>
          <w:numId w:val="39"/>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Understand the important of depreciation, impairment, and disposition</w:t>
      </w:r>
      <w:r w:rsidR="00E310FA" w:rsidRPr="00DC3410">
        <w:rPr>
          <w:rFonts w:ascii="Cambria" w:hAnsi="Cambria"/>
          <w:b/>
          <w:color w:val="E36C0A" w:themeColor="accent6" w:themeShade="BF"/>
          <w:sz w:val="20"/>
          <w:szCs w:val="20"/>
        </w:rPr>
        <w:t xml:space="preserve"> from a business perspective</w:t>
      </w:r>
    </w:p>
    <w:p w14:paraId="483CD8D9" w14:textId="77777777" w:rsidR="00B93999" w:rsidRPr="00DC3410" w:rsidRDefault="00B93999" w:rsidP="00ED0C73">
      <w:pPr>
        <w:pStyle w:val="ListParagraph"/>
        <w:numPr>
          <w:ilvl w:val="0"/>
          <w:numId w:val="40"/>
        </w:numPr>
        <w:spacing w:line="276" w:lineRule="auto"/>
        <w:ind w:left="1080"/>
        <w:rPr>
          <w:rFonts w:ascii="Cambria" w:hAnsi="Cambria"/>
          <w:sz w:val="20"/>
          <w:szCs w:val="20"/>
        </w:rPr>
      </w:pPr>
      <w:r w:rsidRPr="00DC3410">
        <w:rPr>
          <w:rFonts w:ascii="Cambria" w:eastAsia="Times New Roman" w:hAnsi="Cambria" w:cs="Times New Roman"/>
          <w:sz w:val="20"/>
          <w:szCs w:val="20"/>
        </w:rPr>
        <w:t>The economic benefits of property, plant, and equipment are typically consumed as the items are</w:t>
      </w:r>
      <w:r w:rsidRPr="00DC3410">
        <w:rPr>
          <w:rFonts w:ascii="Cambria" w:eastAsia="Times New Roman" w:hAnsi="Cambria" w:cs="Times New Roman"/>
          <w:sz w:val="20"/>
          <w:szCs w:val="20"/>
        </w:rPr>
        <w:t xml:space="preserve"> used by the organization</w:t>
      </w:r>
    </w:p>
    <w:p w14:paraId="35A3630D" w14:textId="77777777" w:rsidR="00B93999" w:rsidRPr="00DC3410" w:rsidRDefault="00B93999" w:rsidP="00ED0C73">
      <w:pPr>
        <w:pStyle w:val="ListParagraph"/>
        <w:numPr>
          <w:ilvl w:val="0"/>
          <w:numId w:val="40"/>
        </w:numPr>
        <w:spacing w:line="276" w:lineRule="auto"/>
        <w:ind w:left="1080"/>
        <w:rPr>
          <w:rFonts w:ascii="Cambria" w:hAnsi="Cambria"/>
          <w:sz w:val="20"/>
          <w:szCs w:val="20"/>
        </w:rPr>
      </w:pPr>
      <w:r w:rsidRPr="00DC3410">
        <w:rPr>
          <w:rFonts w:ascii="Cambria" w:eastAsia="Times New Roman" w:hAnsi="Cambria" w:cs="Times New Roman"/>
          <w:sz w:val="20"/>
          <w:szCs w:val="20"/>
        </w:rPr>
        <w:t>Because the benefits are consumed over multiple periods, companies use depreciation to allocate the benefits of the PP&amp;E to each period as the cap</w:t>
      </w:r>
      <w:r w:rsidRPr="00DC3410">
        <w:rPr>
          <w:rFonts w:ascii="Cambria" w:eastAsia="Times New Roman" w:hAnsi="Cambria" w:cs="Times New Roman"/>
          <w:sz w:val="20"/>
          <w:szCs w:val="20"/>
        </w:rPr>
        <w:t>acity of the assets is used up</w:t>
      </w:r>
    </w:p>
    <w:p w14:paraId="199E2D2D" w14:textId="581BC7D5" w:rsidR="00B93999" w:rsidRPr="00DC3410" w:rsidRDefault="00B93999" w:rsidP="00ED0C73">
      <w:pPr>
        <w:pStyle w:val="ListParagraph"/>
        <w:numPr>
          <w:ilvl w:val="0"/>
          <w:numId w:val="40"/>
        </w:numPr>
        <w:spacing w:line="276" w:lineRule="auto"/>
        <w:ind w:left="1080"/>
        <w:rPr>
          <w:rFonts w:ascii="Cambria" w:hAnsi="Cambria"/>
          <w:sz w:val="20"/>
          <w:szCs w:val="20"/>
        </w:rPr>
      </w:pPr>
      <w:r w:rsidRPr="00DC3410">
        <w:rPr>
          <w:rFonts w:ascii="Cambria" w:eastAsia="Times New Roman" w:hAnsi="Cambria" w:cs="Times New Roman"/>
          <w:sz w:val="20"/>
          <w:szCs w:val="20"/>
        </w:rPr>
        <w:t>By allocating the cost of property, plant, and equipment over its useful life, businesses are better able to match the costs and benefits of the assets to the re</w:t>
      </w:r>
      <w:r w:rsidRPr="00DC3410">
        <w:rPr>
          <w:rFonts w:ascii="Cambria" w:eastAsia="Times New Roman" w:hAnsi="Cambria" w:cs="Times New Roman"/>
          <w:sz w:val="20"/>
          <w:szCs w:val="20"/>
        </w:rPr>
        <w:t>venues that they help generate</w:t>
      </w:r>
    </w:p>
    <w:p w14:paraId="491FFCB4" w14:textId="77777777" w:rsidR="00B93999" w:rsidRPr="00DC3410" w:rsidRDefault="00B93999" w:rsidP="00ED0C73">
      <w:pPr>
        <w:pStyle w:val="ListParagraph"/>
        <w:numPr>
          <w:ilvl w:val="0"/>
          <w:numId w:val="40"/>
        </w:numPr>
        <w:spacing w:line="276" w:lineRule="auto"/>
        <w:ind w:left="1080"/>
        <w:rPr>
          <w:rFonts w:ascii="Cambria" w:hAnsi="Cambria"/>
          <w:sz w:val="20"/>
          <w:szCs w:val="20"/>
        </w:rPr>
      </w:pPr>
      <w:r w:rsidRPr="00DC3410">
        <w:rPr>
          <w:rFonts w:ascii="Cambria" w:eastAsia="Times New Roman" w:hAnsi="Cambria" w:cs="Times New Roman"/>
          <w:sz w:val="20"/>
          <w:szCs w:val="20"/>
        </w:rPr>
        <w:t>Companies also need to assess their PP&amp;E each year under IFRS for indications of impairment, and if these indications are present they should re-estimat</w:t>
      </w:r>
      <w:r w:rsidRPr="00DC3410">
        <w:rPr>
          <w:rFonts w:ascii="Cambria" w:eastAsia="Times New Roman" w:hAnsi="Cambria" w:cs="Times New Roman"/>
          <w:sz w:val="20"/>
          <w:szCs w:val="20"/>
        </w:rPr>
        <w:t>e how much will be recoverable</w:t>
      </w:r>
    </w:p>
    <w:p w14:paraId="48178564" w14:textId="6B2E68F8" w:rsidR="002A7C86" w:rsidRPr="00DC3410" w:rsidRDefault="00B93999" w:rsidP="00ED0C73">
      <w:pPr>
        <w:pStyle w:val="ListParagraph"/>
        <w:numPr>
          <w:ilvl w:val="0"/>
          <w:numId w:val="40"/>
        </w:numPr>
        <w:spacing w:line="276" w:lineRule="auto"/>
        <w:ind w:left="1080"/>
        <w:rPr>
          <w:rFonts w:ascii="Cambria" w:hAnsi="Cambria"/>
          <w:sz w:val="20"/>
          <w:szCs w:val="20"/>
        </w:rPr>
      </w:pPr>
      <w:r w:rsidRPr="00DC3410">
        <w:rPr>
          <w:rFonts w:ascii="Cambria" w:eastAsia="Times New Roman" w:hAnsi="Cambria" w:cs="Times New Roman"/>
          <w:sz w:val="20"/>
          <w:szCs w:val="20"/>
        </w:rPr>
        <w:t>Following GAAP should also help companies better understand their business</w:t>
      </w:r>
    </w:p>
    <w:p w14:paraId="226FC7B6" w14:textId="7AA54832" w:rsidR="00F32182" w:rsidRPr="00DC3410" w:rsidRDefault="001C6574" w:rsidP="00ED0C73">
      <w:pPr>
        <w:pStyle w:val="ListParagraph"/>
        <w:numPr>
          <w:ilvl w:val="0"/>
          <w:numId w:val="39"/>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 the concept of depreciation and identify the factors to consider when determining depreciation charges</w:t>
      </w:r>
    </w:p>
    <w:p w14:paraId="396B75FD" w14:textId="77777777" w:rsidR="00355EAC" w:rsidRPr="00DC3410" w:rsidRDefault="00355EAC" w:rsidP="00355EAC">
      <w:pPr>
        <w:pStyle w:val="ListParagraph"/>
        <w:numPr>
          <w:ilvl w:val="0"/>
          <w:numId w:val="41"/>
        </w:numPr>
        <w:spacing w:line="276" w:lineRule="auto"/>
        <w:ind w:left="1080"/>
        <w:rPr>
          <w:rFonts w:ascii="Cambria" w:hAnsi="Cambria"/>
          <w:sz w:val="20"/>
          <w:szCs w:val="20"/>
        </w:rPr>
      </w:pPr>
      <w:r w:rsidRPr="00DC3410">
        <w:rPr>
          <w:rFonts w:ascii="Cambria" w:eastAsia="Times New Roman" w:hAnsi="Cambria" w:cs="Times New Roman"/>
          <w:b/>
          <w:sz w:val="20"/>
          <w:szCs w:val="20"/>
        </w:rPr>
        <w:t>Depreciation</w:t>
      </w:r>
      <w:r w:rsidRPr="00DC3410">
        <w:rPr>
          <w:rFonts w:ascii="Cambria" w:eastAsia="Times New Roman" w:hAnsi="Cambria" w:cs="Times New Roman"/>
          <w:sz w:val="20"/>
          <w:szCs w:val="20"/>
        </w:rPr>
        <w:t xml:space="preserve"> is the process of allocating the cost of property, plant, and equipment assets in a systematic and rational manner to the periods that are expected to benefit from their use</w:t>
      </w:r>
    </w:p>
    <w:p w14:paraId="292AF26B" w14:textId="6A9A3FF4" w:rsidR="00355EAC" w:rsidRPr="00DC3410" w:rsidRDefault="00355EAC" w:rsidP="00355EAC">
      <w:pPr>
        <w:pStyle w:val="ListParagraph"/>
        <w:numPr>
          <w:ilvl w:val="0"/>
          <w:numId w:val="41"/>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The allocation of the cost of intangible capital assets is termed “amortization” and the allocation of the costs of mineral resource assets is termed “depletion.” </w:t>
      </w:r>
    </w:p>
    <w:p w14:paraId="51B70942" w14:textId="77777777" w:rsidR="00355EAC" w:rsidRPr="00DC3410" w:rsidRDefault="00355EAC" w:rsidP="00355EAC">
      <w:pPr>
        <w:pStyle w:val="ListParagraph"/>
        <w:numPr>
          <w:ilvl w:val="0"/>
          <w:numId w:val="41"/>
        </w:numPr>
        <w:spacing w:line="276" w:lineRule="auto"/>
        <w:ind w:left="1080"/>
        <w:rPr>
          <w:rFonts w:ascii="Cambria" w:hAnsi="Cambria"/>
          <w:sz w:val="20"/>
          <w:szCs w:val="20"/>
        </w:rPr>
      </w:pPr>
      <w:r w:rsidRPr="00DC3410">
        <w:rPr>
          <w:rFonts w:ascii="Cambria" w:eastAsia="Times New Roman" w:hAnsi="Cambria" w:cs="Times New Roman"/>
          <w:sz w:val="20"/>
          <w:szCs w:val="20"/>
        </w:rPr>
        <w:t>Four factors involved in determining depreciation expense are</w:t>
      </w:r>
      <w:r w:rsidRPr="00DC3410">
        <w:rPr>
          <w:rFonts w:ascii="Cambria" w:eastAsia="Times New Roman" w:hAnsi="Cambria" w:cs="Times New Roman"/>
          <w:sz w:val="20"/>
          <w:szCs w:val="20"/>
        </w:rPr>
        <w:t>:</w:t>
      </w:r>
    </w:p>
    <w:p w14:paraId="05C65DDB" w14:textId="77777777" w:rsidR="00355EAC" w:rsidRPr="00DC3410" w:rsidRDefault="00355EAC" w:rsidP="00355EAC">
      <w:pPr>
        <w:pStyle w:val="ListParagraph"/>
        <w:numPr>
          <w:ilvl w:val="0"/>
          <w:numId w:val="58"/>
        </w:numPr>
        <w:spacing w:line="276" w:lineRule="auto"/>
        <w:rPr>
          <w:rFonts w:ascii="Cambria" w:hAnsi="Cambria"/>
          <w:sz w:val="20"/>
          <w:szCs w:val="20"/>
        </w:rPr>
      </w:pPr>
      <w:r w:rsidRPr="00DC3410">
        <w:rPr>
          <w:rFonts w:ascii="Cambria" w:eastAsia="Times New Roman" w:hAnsi="Cambria" w:cs="Times New Roman"/>
          <w:sz w:val="20"/>
          <w:szCs w:val="20"/>
        </w:rPr>
        <w:t>T</w:t>
      </w:r>
      <w:r w:rsidRPr="00DC3410">
        <w:rPr>
          <w:rFonts w:ascii="Cambria" w:eastAsia="Times New Roman" w:hAnsi="Cambria" w:cs="Times New Roman"/>
          <w:sz w:val="20"/>
          <w:szCs w:val="20"/>
        </w:rPr>
        <w:t>he recognition of the app</w:t>
      </w:r>
      <w:r w:rsidRPr="00DC3410">
        <w:rPr>
          <w:rFonts w:ascii="Cambria" w:eastAsia="Times New Roman" w:hAnsi="Cambria" w:cs="Times New Roman"/>
          <w:sz w:val="20"/>
          <w:szCs w:val="20"/>
        </w:rPr>
        <w:t>ropriate asset components</w:t>
      </w:r>
    </w:p>
    <w:p w14:paraId="15D53985" w14:textId="77777777" w:rsidR="00355EAC" w:rsidRPr="00DC3410" w:rsidRDefault="00355EAC" w:rsidP="00355EAC">
      <w:pPr>
        <w:pStyle w:val="ListParagraph"/>
        <w:numPr>
          <w:ilvl w:val="0"/>
          <w:numId w:val="58"/>
        </w:numPr>
        <w:spacing w:line="276" w:lineRule="auto"/>
        <w:rPr>
          <w:rFonts w:ascii="Cambria" w:hAnsi="Cambria"/>
          <w:sz w:val="20"/>
          <w:szCs w:val="20"/>
        </w:rPr>
      </w:pPr>
      <w:r w:rsidRPr="00DC3410">
        <w:rPr>
          <w:rFonts w:ascii="Cambria" w:eastAsia="Times New Roman" w:hAnsi="Cambria" w:cs="Times New Roman"/>
          <w:sz w:val="20"/>
          <w:szCs w:val="20"/>
        </w:rPr>
        <w:t>T</w:t>
      </w:r>
      <w:r w:rsidRPr="00DC3410">
        <w:rPr>
          <w:rFonts w:ascii="Cambria" w:eastAsia="Times New Roman" w:hAnsi="Cambria" w:cs="Times New Roman"/>
          <w:sz w:val="20"/>
          <w:szCs w:val="20"/>
        </w:rPr>
        <w:t>he amount to be depreci</w:t>
      </w:r>
      <w:r w:rsidRPr="00DC3410">
        <w:rPr>
          <w:rFonts w:ascii="Cambria" w:eastAsia="Times New Roman" w:hAnsi="Cambria" w:cs="Times New Roman"/>
          <w:sz w:val="20"/>
          <w:szCs w:val="20"/>
        </w:rPr>
        <w:t>ated (depreciable amount)</w:t>
      </w:r>
    </w:p>
    <w:p w14:paraId="297837DA" w14:textId="77777777" w:rsidR="00355EAC" w:rsidRPr="00DC3410" w:rsidRDefault="00355EAC" w:rsidP="00355EAC">
      <w:pPr>
        <w:pStyle w:val="ListParagraph"/>
        <w:numPr>
          <w:ilvl w:val="0"/>
          <w:numId w:val="58"/>
        </w:numPr>
        <w:spacing w:line="276" w:lineRule="auto"/>
        <w:rPr>
          <w:rFonts w:ascii="Cambria" w:hAnsi="Cambria"/>
          <w:sz w:val="20"/>
          <w:szCs w:val="20"/>
        </w:rPr>
      </w:pPr>
      <w:r w:rsidRPr="00DC3410">
        <w:rPr>
          <w:rFonts w:ascii="Cambria" w:eastAsia="Times New Roman" w:hAnsi="Cambria" w:cs="Times New Roman"/>
          <w:sz w:val="20"/>
          <w:szCs w:val="20"/>
        </w:rPr>
        <w:t>T</w:t>
      </w:r>
      <w:r w:rsidRPr="00DC3410">
        <w:rPr>
          <w:rFonts w:ascii="Cambria" w:eastAsia="Times New Roman" w:hAnsi="Cambria" w:cs="Times New Roman"/>
          <w:sz w:val="20"/>
          <w:szCs w:val="20"/>
        </w:rPr>
        <w:t xml:space="preserve">he </w:t>
      </w:r>
      <w:r w:rsidRPr="00DC3410">
        <w:rPr>
          <w:rFonts w:ascii="Cambria" w:eastAsia="Times New Roman" w:hAnsi="Cambria" w:cs="Times New Roman"/>
          <w:sz w:val="20"/>
          <w:szCs w:val="20"/>
        </w:rPr>
        <w:t>estimated useful life</w:t>
      </w:r>
    </w:p>
    <w:p w14:paraId="006721E8" w14:textId="149033BD" w:rsidR="00AF6A9B" w:rsidRPr="00DC3410" w:rsidRDefault="00355EAC" w:rsidP="00355EAC">
      <w:pPr>
        <w:pStyle w:val="ListParagraph"/>
        <w:numPr>
          <w:ilvl w:val="0"/>
          <w:numId w:val="58"/>
        </w:numPr>
        <w:spacing w:line="276" w:lineRule="auto"/>
        <w:rPr>
          <w:rFonts w:ascii="Cambria" w:hAnsi="Cambria"/>
          <w:sz w:val="20"/>
          <w:szCs w:val="20"/>
        </w:rPr>
      </w:pPr>
      <w:r w:rsidRPr="00DC3410">
        <w:rPr>
          <w:rFonts w:ascii="Cambria" w:eastAsia="Times New Roman" w:hAnsi="Cambria" w:cs="Times New Roman"/>
          <w:sz w:val="20"/>
          <w:szCs w:val="20"/>
        </w:rPr>
        <w:t>T</w:t>
      </w:r>
      <w:r w:rsidRPr="00DC3410">
        <w:rPr>
          <w:rFonts w:ascii="Cambria" w:eastAsia="Times New Roman" w:hAnsi="Cambria" w:cs="Times New Roman"/>
          <w:sz w:val="20"/>
          <w:szCs w:val="20"/>
        </w:rPr>
        <w:t>he pattern and method of depreciation</w:t>
      </w:r>
    </w:p>
    <w:p w14:paraId="302741E4" w14:textId="05CF5A3E" w:rsidR="00E105BD" w:rsidRPr="00DC3410" w:rsidRDefault="001C6574" w:rsidP="00ED0C73">
      <w:pPr>
        <w:pStyle w:val="ListParagraph"/>
        <w:numPr>
          <w:ilvl w:val="0"/>
          <w:numId w:val="39"/>
        </w:numPr>
        <w:spacing w:line="276" w:lineRule="auto"/>
        <w:ind w:left="360"/>
        <w:rPr>
          <w:rFonts w:ascii="Cambria" w:hAnsi="Cambria"/>
          <w:sz w:val="20"/>
          <w:szCs w:val="20"/>
        </w:rPr>
      </w:pPr>
      <w:r w:rsidRPr="00DC3410">
        <w:rPr>
          <w:rFonts w:ascii="Cambria" w:hAnsi="Cambria"/>
          <w:b/>
          <w:color w:val="E36C0A" w:themeColor="accent6" w:themeShade="BF"/>
          <w:sz w:val="20"/>
          <w:szCs w:val="20"/>
        </w:rPr>
        <w:t>Identify how depreciation methods are selected</w:t>
      </w:r>
    </w:p>
    <w:p w14:paraId="77AD5ED7" w14:textId="77777777" w:rsidR="00355EAC" w:rsidRPr="00DC3410" w:rsidRDefault="00355EAC" w:rsidP="00ED0C73">
      <w:pPr>
        <w:pStyle w:val="ListParagraph"/>
        <w:numPr>
          <w:ilvl w:val="0"/>
          <w:numId w:val="42"/>
        </w:numPr>
        <w:spacing w:line="276" w:lineRule="auto"/>
        <w:ind w:left="1080"/>
        <w:rPr>
          <w:rFonts w:ascii="Cambria" w:hAnsi="Cambria"/>
          <w:sz w:val="20"/>
          <w:szCs w:val="20"/>
        </w:rPr>
      </w:pPr>
      <w:r w:rsidRPr="00DC3410">
        <w:rPr>
          <w:rFonts w:ascii="Cambria" w:eastAsia="Times New Roman" w:hAnsi="Cambria" w:cs="Times New Roman"/>
          <w:sz w:val="20"/>
          <w:szCs w:val="20"/>
        </w:rPr>
        <w:t>The depreciation method chosen should amortize an asset in a pattern and at a rate that corresponds to the ben</w:t>
      </w:r>
      <w:r w:rsidRPr="00DC3410">
        <w:rPr>
          <w:rFonts w:ascii="Cambria" w:eastAsia="Times New Roman" w:hAnsi="Cambria" w:cs="Times New Roman"/>
          <w:sz w:val="20"/>
          <w:szCs w:val="20"/>
        </w:rPr>
        <w:t>efits received from that asset</w:t>
      </w:r>
    </w:p>
    <w:p w14:paraId="3B4F2E44" w14:textId="511C4B5A" w:rsidR="00355EAC" w:rsidRPr="00DC3410" w:rsidRDefault="00355EAC" w:rsidP="00ED0C73">
      <w:pPr>
        <w:pStyle w:val="ListParagraph"/>
        <w:numPr>
          <w:ilvl w:val="0"/>
          <w:numId w:val="42"/>
        </w:numPr>
        <w:spacing w:line="276" w:lineRule="auto"/>
        <w:ind w:left="1080"/>
        <w:rPr>
          <w:rFonts w:ascii="Cambria" w:hAnsi="Cambria"/>
          <w:sz w:val="20"/>
          <w:szCs w:val="20"/>
        </w:rPr>
      </w:pPr>
      <w:r w:rsidRPr="00DC3410">
        <w:rPr>
          <w:rFonts w:ascii="Cambria" w:eastAsia="Times New Roman" w:hAnsi="Cambria" w:cs="Times New Roman"/>
          <w:sz w:val="20"/>
          <w:szCs w:val="20"/>
        </w:rPr>
        <w:t>The choice often involves the</w:t>
      </w:r>
      <w:r w:rsidRPr="00DC3410">
        <w:rPr>
          <w:rFonts w:ascii="Cambria" w:eastAsia="Times New Roman" w:hAnsi="Cambria" w:cs="Times New Roman"/>
          <w:sz w:val="20"/>
          <w:szCs w:val="20"/>
        </w:rPr>
        <w:t xml:space="preserve"> use of professional judgment</w:t>
      </w:r>
    </w:p>
    <w:p w14:paraId="6C08807A" w14:textId="261FB6F5" w:rsidR="00E105BD" w:rsidRPr="00DC3410" w:rsidRDefault="00355EAC" w:rsidP="00ED0C73">
      <w:pPr>
        <w:pStyle w:val="ListParagraph"/>
        <w:numPr>
          <w:ilvl w:val="0"/>
          <w:numId w:val="42"/>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Tax reporting, simplicity, perceived economic consequences, and impact on ratios are examples of factors that influence such </w:t>
      </w:r>
      <w:r w:rsidRPr="00DC3410">
        <w:rPr>
          <w:rFonts w:ascii="Cambria" w:eastAsia="Times New Roman" w:hAnsi="Cambria" w:cs="Times New Roman"/>
          <w:sz w:val="20"/>
          <w:szCs w:val="20"/>
        </w:rPr>
        <w:t>judgments</w:t>
      </w:r>
      <w:r w:rsidRPr="00DC3410">
        <w:rPr>
          <w:rFonts w:ascii="Cambria" w:eastAsia="Times New Roman" w:hAnsi="Cambria" w:cs="Times New Roman"/>
          <w:sz w:val="20"/>
          <w:szCs w:val="20"/>
        </w:rPr>
        <w:t xml:space="preserve"> in practice</w:t>
      </w:r>
    </w:p>
    <w:p w14:paraId="127CFE21" w14:textId="78DB3A51" w:rsidR="006725C1" w:rsidRPr="00DC3410" w:rsidRDefault="001C6574" w:rsidP="00ED0C73">
      <w:pPr>
        <w:pStyle w:val="ListParagraph"/>
        <w:numPr>
          <w:ilvl w:val="0"/>
          <w:numId w:val="39"/>
        </w:numPr>
        <w:spacing w:line="276" w:lineRule="auto"/>
        <w:ind w:left="360"/>
        <w:rPr>
          <w:rFonts w:ascii="Cambria" w:hAnsi="Cambria"/>
          <w:sz w:val="20"/>
          <w:szCs w:val="20"/>
        </w:rPr>
      </w:pPr>
      <w:r w:rsidRPr="00DC3410">
        <w:rPr>
          <w:rFonts w:ascii="Cambria" w:hAnsi="Cambria"/>
          <w:b/>
          <w:color w:val="E36C0A" w:themeColor="accent6" w:themeShade="BF"/>
          <w:sz w:val="20"/>
          <w:szCs w:val="20"/>
        </w:rPr>
        <w:t>Calculate depreciation using straight-line, decreasing charge, and activity methods and recognize the effects of using each</w:t>
      </w:r>
    </w:p>
    <w:p w14:paraId="0CCD0686" w14:textId="77777777" w:rsidR="00355EAC" w:rsidRPr="00DC3410" w:rsidRDefault="00355EAC" w:rsidP="00ED0C73">
      <w:pPr>
        <w:pStyle w:val="ListParagraph"/>
        <w:numPr>
          <w:ilvl w:val="0"/>
          <w:numId w:val="43"/>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The </w:t>
      </w:r>
      <w:r w:rsidRPr="00DC3410">
        <w:rPr>
          <w:rFonts w:ascii="Cambria" w:eastAsia="Times New Roman" w:hAnsi="Cambria" w:cs="Times New Roman"/>
          <w:b/>
          <w:sz w:val="20"/>
          <w:szCs w:val="20"/>
        </w:rPr>
        <w:t>straight-line method</w:t>
      </w:r>
      <w:r w:rsidRPr="00DC3410">
        <w:rPr>
          <w:rFonts w:ascii="Cambria" w:eastAsia="Times New Roman" w:hAnsi="Cambria" w:cs="Times New Roman"/>
          <w:sz w:val="20"/>
          <w:szCs w:val="20"/>
        </w:rPr>
        <w:t xml:space="preserve"> assumes that an asset provides its benefits as</w:t>
      </w:r>
      <w:r w:rsidRPr="00DC3410">
        <w:rPr>
          <w:rFonts w:ascii="Cambria" w:eastAsia="Times New Roman" w:hAnsi="Cambria" w:cs="Times New Roman"/>
          <w:sz w:val="20"/>
          <w:szCs w:val="20"/>
        </w:rPr>
        <w:t xml:space="preserve"> a function of time</w:t>
      </w:r>
    </w:p>
    <w:p w14:paraId="319BF8C4" w14:textId="307FFC4D" w:rsidR="00355EAC" w:rsidRPr="00DC3410" w:rsidRDefault="00355EAC" w:rsidP="00355EAC">
      <w:pPr>
        <w:pStyle w:val="ListParagraph"/>
        <w:numPr>
          <w:ilvl w:val="1"/>
          <w:numId w:val="43"/>
        </w:numPr>
        <w:spacing w:line="276" w:lineRule="auto"/>
        <w:rPr>
          <w:rFonts w:ascii="Cambria" w:hAnsi="Cambria"/>
          <w:sz w:val="20"/>
          <w:szCs w:val="20"/>
        </w:rPr>
      </w:pPr>
      <w:r w:rsidRPr="00DC3410">
        <w:rPr>
          <w:rFonts w:ascii="Cambria" w:eastAsia="Times New Roman" w:hAnsi="Cambria" w:cs="Times New Roman"/>
          <w:sz w:val="20"/>
          <w:szCs w:val="20"/>
        </w:rPr>
        <w:t>As such, cost less residual value is divided by the useful life to determine the d</w:t>
      </w:r>
      <w:r w:rsidRPr="00DC3410">
        <w:rPr>
          <w:rFonts w:ascii="Cambria" w:eastAsia="Times New Roman" w:hAnsi="Cambria" w:cs="Times New Roman"/>
          <w:sz w:val="20"/>
          <w:szCs w:val="20"/>
        </w:rPr>
        <w:t>epreciation expense per period</w:t>
      </w:r>
    </w:p>
    <w:p w14:paraId="256E4551" w14:textId="77777777" w:rsidR="00355EAC" w:rsidRPr="00DC3410" w:rsidRDefault="00355EAC" w:rsidP="00ED0C73">
      <w:pPr>
        <w:pStyle w:val="ListParagraph"/>
        <w:numPr>
          <w:ilvl w:val="0"/>
          <w:numId w:val="43"/>
        </w:numPr>
        <w:spacing w:line="276" w:lineRule="auto"/>
        <w:ind w:left="1080"/>
        <w:rPr>
          <w:rFonts w:ascii="Cambria" w:hAnsi="Cambria"/>
          <w:sz w:val="20"/>
          <w:szCs w:val="20"/>
        </w:rPr>
      </w:pPr>
      <w:r w:rsidRPr="00DC3410">
        <w:rPr>
          <w:rFonts w:ascii="Cambria" w:eastAsia="Times New Roman" w:hAnsi="Cambria" w:cs="Times New Roman"/>
          <w:sz w:val="20"/>
          <w:szCs w:val="20"/>
        </w:rPr>
        <w:t xml:space="preserve">The </w:t>
      </w:r>
      <w:r w:rsidRPr="00DC3410">
        <w:rPr>
          <w:rFonts w:ascii="Cambria" w:eastAsia="Times New Roman" w:hAnsi="Cambria" w:cs="Times New Roman"/>
          <w:b/>
          <w:sz w:val="20"/>
          <w:szCs w:val="20"/>
        </w:rPr>
        <w:t>decreasing charge method</w:t>
      </w:r>
      <w:r w:rsidRPr="00DC3410">
        <w:rPr>
          <w:rFonts w:ascii="Cambria" w:eastAsia="Times New Roman" w:hAnsi="Cambria" w:cs="Times New Roman"/>
          <w:sz w:val="20"/>
          <w:szCs w:val="20"/>
        </w:rPr>
        <w:t xml:space="preserve"> provides for a higher depreciation charge in the early years and lower charges in later peri</w:t>
      </w:r>
      <w:r w:rsidRPr="00DC3410">
        <w:rPr>
          <w:rFonts w:ascii="Cambria" w:eastAsia="Times New Roman" w:hAnsi="Cambria" w:cs="Times New Roman"/>
          <w:sz w:val="20"/>
          <w:szCs w:val="20"/>
        </w:rPr>
        <w:t>ods</w:t>
      </w:r>
    </w:p>
    <w:p w14:paraId="0B817EF6" w14:textId="77777777" w:rsidR="00355EAC" w:rsidRPr="00DC3410" w:rsidRDefault="00355EAC" w:rsidP="00355EAC">
      <w:pPr>
        <w:pStyle w:val="ListParagraph"/>
        <w:numPr>
          <w:ilvl w:val="1"/>
          <w:numId w:val="43"/>
        </w:numPr>
        <w:spacing w:line="276" w:lineRule="auto"/>
        <w:rPr>
          <w:rFonts w:ascii="Cambria" w:hAnsi="Cambria"/>
          <w:sz w:val="20"/>
          <w:szCs w:val="20"/>
        </w:rPr>
      </w:pPr>
      <w:r w:rsidRPr="00DC3410">
        <w:rPr>
          <w:rFonts w:ascii="Cambria" w:eastAsia="Times New Roman" w:hAnsi="Cambria" w:cs="Times New Roman"/>
          <w:sz w:val="20"/>
          <w:szCs w:val="20"/>
        </w:rPr>
        <w:t>For this method, a constant rate (such as double the straight-line rate) is multiplied by the net book value (cost less accumulated depreciation and accumulated impairment losses) at the start of the period to d</w:t>
      </w:r>
      <w:r w:rsidRPr="00DC3410">
        <w:rPr>
          <w:rFonts w:ascii="Cambria" w:eastAsia="Times New Roman" w:hAnsi="Cambria" w:cs="Times New Roman"/>
          <w:sz w:val="20"/>
          <w:szCs w:val="20"/>
        </w:rPr>
        <w:t>etermine each period's expense</w:t>
      </w:r>
    </w:p>
    <w:p w14:paraId="760F28D0" w14:textId="77777777" w:rsidR="00355EAC" w:rsidRPr="00DC3410" w:rsidRDefault="00355EAC" w:rsidP="00355EAC">
      <w:pPr>
        <w:pStyle w:val="ListParagraph"/>
        <w:numPr>
          <w:ilvl w:val="1"/>
          <w:numId w:val="43"/>
        </w:numPr>
        <w:spacing w:line="276" w:lineRule="auto"/>
        <w:rPr>
          <w:rFonts w:ascii="Cambria" w:hAnsi="Cambria"/>
          <w:sz w:val="20"/>
          <w:szCs w:val="20"/>
        </w:rPr>
      </w:pPr>
      <w:r w:rsidRPr="00DC3410">
        <w:rPr>
          <w:rFonts w:ascii="Cambria" w:eastAsia="Times New Roman" w:hAnsi="Cambria" w:cs="Times New Roman"/>
          <w:sz w:val="20"/>
          <w:szCs w:val="20"/>
        </w:rPr>
        <w:t>The main justification for this approach is that the asset provides more b</w:t>
      </w:r>
      <w:r w:rsidRPr="00DC3410">
        <w:rPr>
          <w:rFonts w:ascii="Cambria" w:eastAsia="Times New Roman" w:hAnsi="Cambria" w:cs="Times New Roman"/>
          <w:sz w:val="20"/>
          <w:szCs w:val="20"/>
        </w:rPr>
        <w:t>enefits in the earlier periods</w:t>
      </w:r>
    </w:p>
    <w:p w14:paraId="2DB59807"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 xml:space="preserve">The </w:t>
      </w:r>
      <w:r w:rsidRPr="00DC3410">
        <w:rPr>
          <w:rFonts w:ascii="Cambria" w:eastAsia="Times New Roman" w:hAnsi="Cambria" w:cs="Times New Roman"/>
          <w:b/>
          <w:sz w:val="20"/>
          <w:szCs w:val="20"/>
        </w:rPr>
        <w:t>activity method</w:t>
      </w:r>
      <w:r w:rsidRPr="00DC3410">
        <w:rPr>
          <w:rFonts w:ascii="Cambria" w:eastAsia="Times New Roman" w:hAnsi="Cambria" w:cs="Times New Roman"/>
          <w:sz w:val="20"/>
          <w:szCs w:val="20"/>
        </w:rPr>
        <w:t xml:space="preserve"> assumes that the benefits provided by the asset are a function of use </w:t>
      </w:r>
      <w:r w:rsidRPr="00DC3410">
        <w:rPr>
          <w:rFonts w:ascii="Cambria" w:eastAsia="Times New Roman" w:hAnsi="Cambria" w:cs="Times New Roman"/>
          <w:sz w:val="20"/>
          <w:szCs w:val="20"/>
        </w:rPr>
        <w:t>instead of the passage of time</w:t>
      </w:r>
    </w:p>
    <w:p w14:paraId="5885B756" w14:textId="77777777" w:rsidR="00355EAC" w:rsidRPr="00DC3410" w:rsidRDefault="00355EAC" w:rsidP="00355EAC">
      <w:pPr>
        <w:pStyle w:val="ListParagraph"/>
        <w:numPr>
          <w:ilvl w:val="1"/>
          <w:numId w:val="43"/>
        </w:numPr>
        <w:spacing w:line="276" w:lineRule="auto"/>
        <w:rPr>
          <w:rFonts w:ascii="Cambria" w:hAnsi="Cambria"/>
          <w:sz w:val="20"/>
          <w:szCs w:val="20"/>
        </w:rPr>
      </w:pPr>
      <w:r w:rsidRPr="00DC3410">
        <w:rPr>
          <w:rFonts w:ascii="Cambria" w:eastAsia="Times New Roman" w:hAnsi="Cambria" w:cs="Times New Roman"/>
          <w:sz w:val="20"/>
          <w:szCs w:val="20"/>
        </w:rPr>
        <w:t>The asset's life is considered in terms of either the output that it provides or an input measure, such a</w:t>
      </w:r>
      <w:r w:rsidRPr="00DC3410">
        <w:rPr>
          <w:rFonts w:ascii="Cambria" w:eastAsia="Times New Roman" w:hAnsi="Cambria" w:cs="Times New Roman"/>
          <w:sz w:val="20"/>
          <w:szCs w:val="20"/>
        </w:rPr>
        <w:t>s the number of hours it works</w:t>
      </w:r>
    </w:p>
    <w:p w14:paraId="767D1922" w14:textId="1CD73BD5" w:rsidR="006725C1"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 xml:space="preserve">The </w:t>
      </w:r>
      <w:r w:rsidRPr="00DC3410">
        <w:rPr>
          <w:rFonts w:ascii="Cambria" w:eastAsia="Times New Roman" w:hAnsi="Cambria" w:cs="Times New Roman"/>
          <w:b/>
          <w:sz w:val="20"/>
          <w:szCs w:val="20"/>
        </w:rPr>
        <w:t>depreciation charge per unit of activity</w:t>
      </w:r>
      <w:r w:rsidRPr="00DC3410">
        <w:rPr>
          <w:rFonts w:ascii="Cambria" w:eastAsia="Times New Roman" w:hAnsi="Cambria" w:cs="Times New Roman"/>
          <w:sz w:val="20"/>
          <w:szCs w:val="20"/>
        </w:rPr>
        <w:t xml:space="preserve"> (depreciable amount divided by estimated total units of output or input) is calculated and multiplied by the units of activity produced or consumed in a period to determine the depreciation</w:t>
      </w:r>
    </w:p>
    <w:p w14:paraId="2B2F2AEA" w14:textId="6191BFEC" w:rsidR="006725C1" w:rsidRPr="00DC3410" w:rsidRDefault="001C6574" w:rsidP="00ED0C73">
      <w:pPr>
        <w:pStyle w:val="ListParagraph"/>
        <w:numPr>
          <w:ilvl w:val="0"/>
          <w:numId w:val="39"/>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 the accounting issues for depletion of mineral resources</w:t>
      </w:r>
    </w:p>
    <w:p w14:paraId="02CAD3FB"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After the depletion base has been established through accounting decisions related to the acquisition, exploration and evaluation, development, and restoration obligations associated with mineral resources, these costs are allocated to the nat</w:t>
      </w:r>
      <w:r w:rsidRPr="00DC3410">
        <w:rPr>
          <w:rFonts w:ascii="Cambria" w:eastAsia="Times New Roman" w:hAnsi="Cambria" w:cs="Times New Roman"/>
          <w:sz w:val="20"/>
          <w:szCs w:val="20"/>
        </w:rPr>
        <w:t>ural resources that are removed</w:t>
      </w:r>
    </w:p>
    <w:p w14:paraId="352C2979"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 xml:space="preserve">Depletion is normally calculated using </w:t>
      </w:r>
      <w:r w:rsidRPr="00DC3410">
        <w:rPr>
          <w:rFonts w:ascii="Cambria" w:eastAsia="Times New Roman" w:hAnsi="Cambria" w:cs="Times New Roman"/>
          <w:sz w:val="20"/>
          <w:szCs w:val="20"/>
        </w:rPr>
        <w:t>the units of production method</w:t>
      </w:r>
    </w:p>
    <w:p w14:paraId="5C2F0672" w14:textId="7A3FD6C1"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In this approach, the resource's cost less residual value, if any, is divided by the number of units that are estimated to be in the resource deposit, to obt</w:t>
      </w:r>
      <w:r w:rsidRPr="00DC3410">
        <w:rPr>
          <w:rFonts w:ascii="Cambria" w:eastAsia="Times New Roman" w:hAnsi="Cambria" w:cs="Times New Roman"/>
          <w:sz w:val="20"/>
          <w:szCs w:val="20"/>
        </w:rPr>
        <w:t>ain a cost per unit of product</w:t>
      </w:r>
    </w:p>
    <w:p w14:paraId="703A8F4D" w14:textId="13171D8E"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The cost per unit is then multiplied by the number of units withdrawn in the period to calculate the depletion</w:t>
      </w:r>
    </w:p>
    <w:p w14:paraId="1409B3DD" w14:textId="445BA2AB" w:rsidR="00196C65" w:rsidRPr="00DC3410" w:rsidRDefault="001C6574" w:rsidP="00ED0C73">
      <w:pPr>
        <w:pStyle w:val="ListParagraph"/>
        <w:numPr>
          <w:ilvl w:val="0"/>
          <w:numId w:val="39"/>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 and apply the accounting procedures for partial periods and a change in depreciation rate</w:t>
      </w:r>
    </w:p>
    <w:p w14:paraId="64BCAE7A"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Because all the variables in determining depreciation are estimates—with the exception, perhaps, of an asset's original cost—it is common for a change in those estimates to result in a cha</w:t>
      </w:r>
      <w:r w:rsidRPr="00DC3410">
        <w:rPr>
          <w:rFonts w:ascii="Cambria" w:eastAsia="Times New Roman" w:hAnsi="Cambria" w:cs="Times New Roman"/>
          <w:sz w:val="20"/>
          <w:szCs w:val="20"/>
        </w:rPr>
        <w:t>nge in the depreciation amount</w:t>
      </w:r>
    </w:p>
    <w:p w14:paraId="5409192D"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When this occurs, there is no retroactive cha</w:t>
      </w:r>
      <w:r w:rsidRPr="00DC3410">
        <w:rPr>
          <w:rFonts w:ascii="Cambria" w:eastAsia="Times New Roman" w:hAnsi="Cambria" w:cs="Times New Roman"/>
          <w:sz w:val="20"/>
          <w:szCs w:val="20"/>
        </w:rPr>
        <w:t>nge and no catch-up adjustment</w:t>
      </w:r>
    </w:p>
    <w:p w14:paraId="75B7C428" w14:textId="3527C76B"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The change is accounted for in the current and future period</w:t>
      </w:r>
      <w:r w:rsidRPr="00DC3410">
        <w:rPr>
          <w:rFonts w:ascii="Cambria" w:eastAsia="Times New Roman" w:hAnsi="Cambria" w:cs="Times New Roman"/>
          <w:sz w:val="20"/>
          <w:szCs w:val="20"/>
        </w:rPr>
        <w:t>s</w:t>
      </w:r>
    </w:p>
    <w:p w14:paraId="067B543F" w14:textId="12F5E554" w:rsidR="001C6574" w:rsidRPr="00DC3410" w:rsidRDefault="001C6574" w:rsidP="00ED0C73">
      <w:pPr>
        <w:pStyle w:val="ListParagraph"/>
        <w:numPr>
          <w:ilvl w:val="0"/>
          <w:numId w:val="39"/>
        </w:numPr>
        <w:spacing w:line="276" w:lineRule="auto"/>
        <w:ind w:left="360"/>
        <w:rPr>
          <w:rFonts w:ascii="Cambria" w:hAnsi="Cambria"/>
          <w:sz w:val="20"/>
          <w:szCs w:val="20"/>
        </w:rPr>
      </w:pPr>
      <w:r w:rsidRPr="00DC3410">
        <w:rPr>
          <w:rFonts w:ascii="Cambria" w:hAnsi="Cambria"/>
          <w:b/>
          <w:color w:val="E36C0A" w:themeColor="accent6" w:themeShade="BF"/>
          <w:sz w:val="20"/>
          <w:szCs w:val="20"/>
        </w:rPr>
        <w:t>Explain the issues and apply the accounting standards for capital asset impairment under both IFRS and ASPE</w:t>
      </w:r>
    </w:p>
    <w:p w14:paraId="0889E673"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A capital asset is impaired when its carr</w:t>
      </w:r>
      <w:r w:rsidRPr="00DC3410">
        <w:rPr>
          <w:rFonts w:ascii="Cambria" w:eastAsia="Times New Roman" w:hAnsi="Cambria" w:cs="Times New Roman"/>
          <w:sz w:val="20"/>
          <w:szCs w:val="20"/>
        </w:rPr>
        <w:t>ying amount is not recoverable</w:t>
      </w:r>
    </w:p>
    <w:p w14:paraId="3FF88758"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 xml:space="preserve">The cost recovery method (ASPE) defines recoverable as the undiscounted cash flows from the </w:t>
      </w:r>
      <w:r w:rsidRPr="00DC3410">
        <w:rPr>
          <w:rFonts w:ascii="Cambria" w:eastAsia="Times New Roman" w:hAnsi="Cambria" w:cs="Times New Roman"/>
          <w:sz w:val="20"/>
          <w:szCs w:val="20"/>
        </w:rPr>
        <w:t>asset's use and later disposal</w:t>
      </w:r>
    </w:p>
    <w:p w14:paraId="128B5F99" w14:textId="3C6D07FF" w:rsidR="00355EAC" w:rsidRPr="00DC3410" w:rsidRDefault="00355EAC" w:rsidP="00355EAC">
      <w:pPr>
        <w:pStyle w:val="ListParagraph"/>
        <w:numPr>
          <w:ilvl w:val="1"/>
          <w:numId w:val="43"/>
        </w:numPr>
        <w:spacing w:line="276" w:lineRule="auto"/>
        <w:rPr>
          <w:rFonts w:ascii="Cambria" w:hAnsi="Cambria"/>
          <w:sz w:val="20"/>
          <w:szCs w:val="20"/>
        </w:rPr>
      </w:pPr>
      <w:r w:rsidRPr="00DC3410">
        <w:rPr>
          <w:rFonts w:ascii="Cambria" w:eastAsia="Times New Roman" w:hAnsi="Cambria" w:cs="Times New Roman"/>
          <w:sz w:val="20"/>
          <w:szCs w:val="20"/>
        </w:rPr>
        <w:t>If impaired, the asset is written down to its fair value, and this loss cannot be reversed later</w:t>
      </w:r>
      <w:r w:rsidRPr="00DC3410">
        <w:rPr>
          <w:rFonts w:ascii="Cambria" w:eastAsia="Times New Roman" w:hAnsi="Cambria" w:cs="Times New Roman"/>
          <w:sz w:val="20"/>
          <w:szCs w:val="20"/>
        </w:rPr>
        <w:t xml:space="preserve"> if the asset's value recovers</w:t>
      </w:r>
    </w:p>
    <w:p w14:paraId="383EFB19" w14:textId="77777777" w:rsidR="00355EAC" w:rsidRPr="00DC3410" w:rsidRDefault="00355EAC" w:rsidP="00355EAC">
      <w:pPr>
        <w:pStyle w:val="ListParagraph"/>
        <w:numPr>
          <w:ilvl w:val="0"/>
          <w:numId w:val="43"/>
        </w:numPr>
        <w:spacing w:line="276" w:lineRule="auto"/>
        <w:rPr>
          <w:rFonts w:ascii="Cambria" w:hAnsi="Cambria"/>
          <w:sz w:val="20"/>
          <w:szCs w:val="20"/>
        </w:rPr>
      </w:pPr>
      <w:r w:rsidRPr="00DC3410">
        <w:rPr>
          <w:rFonts w:ascii="Cambria" w:eastAsia="Times New Roman" w:hAnsi="Cambria" w:cs="Times New Roman"/>
          <w:sz w:val="20"/>
          <w:szCs w:val="20"/>
        </w:rPr>
        <w:t>The rational entity model (IFRS) defines recoverable amount as the higher of the asset's value in use and fai</w:t>
      </w:r>
      <w:r w:rsidRPr="00DC3410">
        <w:rPr>
          <w:rFonts w:ascii="Cambria" w:eastAsia="Times New Roman" w:hAnsi="Cambria" w:cs="Times New Roman"/>
          <w:sz w:val="20"/>
          <w:szCs w:val="20"/>
        </w:rPr>
        <w:t>r value less costs of disposal</w:t>
      </w:r>
    </w:p>
    <w:p w14:paraId="63564189" w14:textId="6DD52AE6" w:rsidR="00355EAC" w:rsidRPr="00DC3410" w:rsidRDefault="00355EAC" w:rsidP="00355EAC">
      <w:pPr>
        <w:pStyle w:val="ListParagraph"/>
        <w:numPr>
          <w:ilvl w:val="1"/>
          <w:numId w:val="43"/>
        </w:numPr>
        <w:spacing w:line="276" w:lineRule="auto"/>
        <w:rPr>
          <w:rFonts w:ascii="Cambria" w:hAnsi="Cambria"/>
          <w:sz w:val="20"/>
          <w:szCs w:val="20"/>
        </w:rPr>
      </w:pPr>
      <w:r w:rsidRPr="00DC3410">
        <w:rPr>
          <w:rFonts w:ascii="Cambria" w:eastAsia="Times New Roman" w:hAnsi="Cambria" w:cs="Times New Roman"/>
          <w:sz w:val="20"/>
          <w:szCs w:val="20"/>
        </w:rPr>
        <w:t>Both these values ar</w:t>
      </w:r>
      <w:r w:rsidRPr="00DC3410">
        <w:rPr>
          <w:rFonts w:ascii="Cambria" w:eastAsia="Times New Roman" w:hAnsi="Cambria" w:cs="Times New Roman"/>
          <w:sz w:val="20"/>
          <w:szCs w:val="20"/>
        </w:rPr>
        <w:t>e discounted cash flow amounts</w:t>
      </w:r>
    </w:p>
    <w:p w14:paraId="688F88E9" w14:textId="4010E60C" w:rsidR="00355EAC" w:rsidRPr="00DC3410" w:rsidRDefault="00355EAC" w:rsidP="00355EAC">
      <w:pPr>
        <w:pStyle w:val="ListParagraph"/>
        <w:numPr>
          <w:ilvl w:val="1"/>
          <w:numId w:val="43"/>
        </w:numPr>
        <w:spacing w:line="276" w:lineRule="auto"/>
        <w:rPr>
          <w:rFonts w:ascii="Cambria" w:hAnsi="Cambria"/>
          <w:sz w:val="20"/>
          <w:szCs w:val="20"/>
        </w:rPr>
      </w:pPr>
      <w:r w:rsidRPr="00DC3410">
        <w:rPr>
          <w:rFonts w:ascii="Cambria" w:eastAsia="Times New Roman" w:hAnsi="Cambria" w:cs="Times New Roman"/>
          <w:sz w:val="20"/>
          <w:szCs w:val="20"/>
        </w:rPr>
        <w:t>If the recoverable amount subsequently improves, the impairment losses recognized are reverse</w:t>
      </w:r>
      <w:r w:rsidRPr="00DC3410">
        <w:rPr>
          <w:rFonts w:ascii="Cambria" w:eastAsia="Times New Roman" w:hAnsi="Cambria" w:cs="Times New Roman"/>
          <w:sz w:val="20"/>
          <w:szCs w:val="20"/>
        </w:rPr>
        <w:t>d</w:t>
      </w:r>
    </w:p>
    <w:p w14:paraId="4A463D94" w14:textId="19BEAB1F" w:rsidR="001C6574" w:rsidRPr="00DC3410" w:rsidRDefault="001C6574" w:rsidP="00ED0C73">
      <w:pPr>
        <w:pStyle w:val="ListParagraph"/>
        <w:numPr>
          <w:ilvl w:val="0"/>
          <w:numId w:val="39"/>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 xml:space="preserve">Explain and apply the accounting standards for long-lived assets that are held for sale </w:t>
      </w:r>
    </w:p>
    <w:p w14:paraId="21F2FE32" w14:textId="77777777" w:rsidR="00355EAC" w:rsidRPr="00DC3410" w:rsidRDefault="00355EAC"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 xml:space="preserve">Assets held for </w:t>
      </w:r>
      <w:r w:rsidRPr="00DC3410">
        <w:rPr>
          <w:rFonts w:ascii="Cambria" w:eastAsia="Times New Roman" w:hAnsi="Cambria" w:cs="Times New Roman"/>
          <w:sz w:val="20"/>
          <w:szCs w:val="20"/>
        </w:rPr>
        <w:t>sale are no longer depreciated</w:t>
      </w:r>
    </w:p>
    <w:p w14:paraId="1221F5C4" w14:textId="77777777" w:rsidR="00355EAC" w:rsidRPr="00DC3410" w:rsidRDefault="00355EAC"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They are remeasured to their fair value less costs of disposal at each statem</w:t>
      </w:r>
      <w:r w:rsidRPr="00DC3410">
        <w:rPr>
          <w:rFonts w:ascii="Cambria" w:eastAsia="Times New Roman" w:hAnsi="Cambria" w:cs="Times New Roman"/>
          <w:sz w:val="20"/>
          <w:szCs w:val="20"/>
        </w:rPr>
        <w:t>ent of financial position date</w:t>
      </w:r>
    </w:p>
    <w:p w14:paraId="2EEE4214" w14:textId="77777777" w:rsidR="00355EAC" w:rsidRPr="00DC3410" w:rsidRDefault="00355EAC" w:rsidP="001C6574">
      <w:pPr>
        <w:pStyle w:val="ListParagraph"/>
        <w:numPr>
          <w:ilvl w:val="0"/>
          <w:numId w:val="43"/>
        </w:numPr>
        <w:spacing w:line="276" w:lineRule="auto"/>
        <w:rPr>
          <w:rFonts w:ascii="Cambria" w:hAnsi="Cambria"/>
          <w:b/>
          <w:color w:val="E36C0A" w:themeColor="accent6" w:themeShade="BF"/>
          <w:sz w:val="20"/>
          <w:szCs w:val="20"/>
        </w:rPr>
      </w:pPr>
      <w:bookmarkStart w:id="0" w:name="_GoBack"/>
      <w:bookmarkEnd w:id="0"/>
      <w:r w:rsidRPr="00DC3410">
        <w:rPr>
          <w:rFonts w:ascii="Cambria" w:eastAsia="Times New Roman" w:hAnsi="Cambria" w:cs="Times New Roman"/>
          <w:sz w:val="20"/>
          <w:szCs w:val="20"/>
        </w:rPr>
        <w:t>Recoveries in value may be recognized to</w:t>
      </w:r>
      <w:r w:rsidRPr="00DC3410">
        <w:rPr>
          <w:rFonts w:ascii="Cambria" w:eastAsia="Times New Roman" w:hAnsi="Cambria" w:cs="Times New Roman"/>
          <w:sz w:val="20"/>
          <w:szCs w:val="20"/>
        </w:rPr>
        <w:t xml:space="preserve"> the extent of previous losses</w:t>
      </w:r>
    </w:p>
    <w:p w14:paraId="3479F264" w14:textId="0569C792" w:rsidR="00355EAC" w:rsidRPr="00DC3410" w:rsidRDefault="00355EAC"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Held-for-sale items of property, plant, and equipment are separately reported as non-current assets unless they meet th</w:t>
      </w:r>
      <w:r w:rsidRPr="00DC3410">
        <w:rPr>
          <w:rFonts w:ascii="Cambria" w:eastAsia="Times New Roman" w:hAnsi="Cambria" w:cs="Times New Roman"/>
          <w:sz w:val="20"/>
          <w:szCs w:val="20"/>
        </w:rPr>
        <w:t>e definition of current assets</w:t>
      </w:r>
    </w:p>
    <w:p w14:paraId="625C2FD0" w14:textId="4619D866" w:rsidR="001C6574" w:rsidRPr="00DC3410" w:rsidRDefault="00355EAC"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Under ASPE, assets held for sale are only permitted to be reported in current assets if sold before the financial statements are completed and the proceeds on sale are expected within 12 months from the date of the statement of financial position (or operating cycle, if longer</w:t>
      </w:r>
      <w:r w:rsidRPr="00DC3410">
        <w:rPr>
          <w:rFonts w:ascii="Cambria" w:eastAsia="Times New Roman" w:hAnsi="Cambria" w:cs="Times New Roman"/>
          <w:sz w:val="20"/>
          <w:szCs w:val="20"/>
        </w:rPr>
        <w:t>)</w:t>
      </w:r>
    </w:p>
    <w:p w14:paraId="1D0822F5" w14:textId="7E5571FC" w:rsidR="001C6574" w:rsidRPr="00DC3410" w:rsidRDefault="001C6574" w:rsidP="00ED0C73">
      <w:pPr>
        <w:pStyle w:val="ListParagraph"/>
        <w:numPr>
          <w:ilvl w:val="0"/>
          <w:numId w:val="39"/>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Account for derecognition of property, plant, and equipment</w:t>
      </w:r>
    </w:p>
    <w:p w14:paraId="64664EF7" w14:textId="77777777"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Depreciation continues for PP&amp;E assets until they are classified as held for sale or derecognized</w:t>
      </w:r>
    </w:p>
    <w:p w14:paraId="1AAA4B1D" w14:textId="77777777"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At the date of disposal, all accounts related to the retired asset are removed from the books</w:t>
      </w:r>
    </w:p>
    <w:p w14:paraId="3F142CA9" w14:textId="77777777"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Gains and losses from the disposal of plant assets are shown on the income statement in income before discontinued operations, unless the conditions for reporting as a discontinued operation are met</w:t>
      </w:r>
    </w:p>
    <w:p w14:paraId="52859EDB" w14:textId="04022BEF"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For property, plant, and equipment donated to an organization outside the reporting entity, the donation is reported at its fair value with a gain or loss on disposal recognized</w:t>
      </w:r>
    </w:p>
    <w:p w14:paraId="09CEE6C8" w14:textId="5296A994" w:rsidR="001C6574" w:rsidRPr="00DC3410" w:rsidRDefault="001C6574" w:rsidP="00ED0C73">
      <w:pPr>
        <w:pStyle w:val="ListParagraph"/>
        <w:numPr>
          <w:ilvl w:val="0"/>
          <w:numId w:val="39"/>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Describe the types of disclosures required for property, plant, and equipment</w:t>
      </w:r>
    </w:p>
    <w:p w14:paraId="6CF854E4" w14:textId="77777777"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The type of information required to be disclosed for property, plant, and equipment is governed by the information needs of users</w:t>
      </w:r>
    </w:p>
    <w:p w14:paraId="755F5BB3" w14:textId="77777777"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Because users of private entities' financial information are often able to seek further specific information from a company, there are fewer required disclosures than for public companies reporting under IFRS</w:t>
      </w:r>
    </w:p>
    <w:p w14:paraId="64ECE317" w14:textId="664DD231"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The required disclosures under IFRS include those relating to measurement, changes in account balances and the reasons for the changes, information about how fair values are determined, and many others</w:t>
      </w:r>
    </w:p>
    <w:p w14:paraId="3235BCBF" w14:textId="0E888282" w:rsidR="001C6574" w:rsidRPr="00DC3410" w:rsidRDefault="001C6574" w:rsidP="00ED0C73">
      <w:pPr>
        <w:pStyle w:val="ListParagraph"/>
        <w:numPr>
          <w:ilvl w:val="0"/>
          <w:numId w:val="39"/>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Analyze a company’s investment in assets</w:t>
      </w:r>
    </w:p>
    <w:p w14:paraId="6AA59FCB" w14:textId="6620833C"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The efficiency of use of a company's investment in assets may be evaluated by calculating and interpreting the asset turnover rate, the profit margin, and the rate of return on assets</w:t>
      </w:r>
    </w:p>
    <w:p w14:paraId="2A4D3B2D" w14:textId="297E5C4D" w:rsidR="001C6574" w:rsidRPr="00DC3410" w:rsidRDefault="001C6574" w:rsidP="009E1077">
      <w:pPr>
        <w:pStyle w:val="ListParagraph"/>
        <w:numPr>
          <w:ilvl w:val="0"/>
          <w:numId w:val="39"/>
        </w:numPr>
        <w:spacing w:line="276" w:lineRule="auto"/>
        <w:ind w:left="360"/>
        <w:rPr>
          <w:rFonts w:ascii="Cambria" w:hAnsi="Cambria"/>
          <w:b/>
          <w:color w:val="E36C0A" w:themeColor="accent6" w:themeShade="BF"/>
          <w:sz w:val="20"/>
          <w:szCs w:val="20"/>
        </w:rPr>
      </w:pPr>
      <w:r w:rsidRPr="00DC3410">
        <w:rPr>
          <w:rFonts w:ascii="Cambria" w:hAnsi="Cambria"/>
          <w:b/>
          <w:color w:val="E36C0A" w:themeColor="accent6" w:themeShade="BF"/>
          <w:sz w:val="20"/>
          <w:szCs w:val="20"/>
        </w:rPr>
        <w:t>Identify differences in accounting between ASPE and IFRS, and what changes are expected in the near future</w:t>
      </w:r>
    </w:p>
    <w:p w14:paraId="5ED95F4B" w14:textId="77777777"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In most major ways, international and Canadian accounting standards for the depreciation of property, plant, and equipment are similar</w:t>
      </w:r>
    </w:p>
    <w:p w14:paraId="12FB0299" w14:textId="77777777"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Significant differences do exist, however, in the extent of componentization for depreciation, the impairment models applied, and the extent of disclosure</w:t>
      </w:r>
    </w:p>
    <w:p w14:paraId="6FA7BFC6" w14:textId="429F6121" w:rsidR="001C6574" w:rsidRPr="00DC3410" w:rsidRDefault="001C6574" w:rsidP="001C6574">
      <w:pPr>
        <w:pStyle w:val="ListParagraph"/>
        <w:numPr>
          <w:ilvl w:val="0"/>
          <w:numId w:val="43"/>
        </w:numPr>
        <w:spacing w:line="276" w:lineRule="auto"/>
        <w:rPr>
          <w:rFonts w:ascii="Cambria" w:hAnsi="Cambria"/>
          <w:b/>
          <w:color w:val="E36C0A" w:themeColor="accent6" w:themeShade="BF"/>
          <w:sz w:val="20"/>
          <w:szCs w:val="20"/>
        </w:rPr>
      </w:pPr>
      <w:r w:rsidRPr="00DC3410">
        <w:rPr>
          <w:rFonts w:ascii="Cambria" w:eastAsia="Times New Roman" w:hAnsi="Cambria" w:cs="Times New Roman"/>
          <w:sz w:val="20"/>
          <w:szCs w:val="20"/>
        </w:rPr>
        <w:t>The impairment differences relate to how it is determined whether an asset is impaired, how the impairment is measured, and the ability to recognize recoveries in value</w:t>
      </w:r>
    </w:p>
    <w:p w14:paraId="2087AA1F" w14:textId="77777777" w:rsidR="009E1077" w:rsidRPr="00DC3410" w:rsidRDefault="009E1077" w:rsidP="009E1077">
      <w:pPr>
        <w:spacing w:line="276" w:lineRule="auto"/>
        <w:rPr>
          <w:b/>
          <w:color w:val="E36C0A" w:themeColor="accent6" w:themeShade="BF"/>
          <w:sz w:val="20"/>
          <w:szCs w:val="20"/>
        </w:rPr>
      </w:pPr>
    </w:p>
    <w:p w14:paraId="0F96272E" w14:textId="77777777" w:rsidR="009E1077" w:rsidRPr="00DC3410" w:rsidRDefault="009E1077" w:rsidP="009E1077">
      <w:pPr>
        <w:spacing w:line="276" w:lineRule="auto"/>
        <w:rPr>
          <w:b/>
          <w:color w:val="E36C0A" w:themeColor="accent6" w:themeShade="BF"/>
          <w:sz w:val="20"/>
          <w:szCs w:val="20"/>
        </w:rPr>
      </w:pPr>
    </w:p>
    <w:p w14:paraId="0E69C0DE" w14:textId="77777777" w:rsidR="009E1077" w:rsidRPr="00DC3410" w:rsidRDefault="009E1077" w:rsidP="009E1077">
      <w:pPr>
        <w:spacing w:line="276" w:lineRule="auto"/>
        <w:rPr>
          <w:b/>
          <w:color w:val="E36C0A" w:themeColor="accent6" w:themeShade="BF"/>
          <w:sz w:val="20"/>
          <w:szCs w:val="20"/>
        </w:rPr>
      </w:pPr>
    </w:p>
    <w:sectPr w:rsidR="009E1077" w:rsidRPr="00DC3410" w:rsidSect="00AF0E8B">
      <w:pgSz w:w="12240" w:h="15840"/>
      <w:pgMar w:top="680" w:right="624" w:bottom="680"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21F9"/>
    <w:multiLevelType w:val="hybridMultilevel"/>
    <w:tmpl w:val="0548E982"/>
    <w:lvl w:ilvl="0" w:tplc="0409000F">
      <w:start w:val="1"/>
      <w:numFmt w:val="decimal"/>
      <w:lvlText w:val="%1."/>
      <w:lvlJc w:val="left"/>
      <w:pPr>
        <w:ind w:left="2444" w:hanging="360"/>
      </w:pPr>
    </w:lvl>
    <w:lvl w:ilvl="1" w:tplc="04090019">
      <w:start w:val="1"/>
      <w:numFmt w:val="lowerLetter"/>
      <w:lvlText w:val="%2."/>
      <w:lvlJc w:val="left"/>
      <w:pPr>
        <w:ind w:left="4538" w:hanging="360"/>
      </w:pPr>
    </w:lvl>
    <w:lvl w:ilvl="2" w:tplc="0409001B">
      <w:start w:val="1"/>
      <w:numFmt w:val="lowerRoman"/>
      <w:lvlText w:val="%3."/>
      <w:lvlJc w:val="right"/>
      <w:pPr>
        <w:ind w:left="5258" w:hanging="180"/>
      </w:pPr>
    </w:lvl>
    <w:lvl w:ilvl="3" w:tplc="0409000F" w:tentative="1">
      <w:start w:val="1"/>
      <w:numFmt w:val="decimal"/>
      <w:lvlText w:val="%4."/>
      <w:lvlJc w:val="left"/>
      <w:pPr>
        <w:ind w:left="5978" w:hanging="360"/>
      </w:pPr>
    </w:lvl>
    <w:lvl w:ilvl="4" w:tplc="04090019" w:tentative="1">
      <w:start w:val="1"/>
      <w:numFmt w:val="lowerLetter"/>
      <w:lvlText w:val="%5."/>
      <w:lvlJc w:val="left"/>
      <w:pPr>
        <w:ind w:left="6698" w:hanging="360"/>
      </w:pPr>
    </w:lvl>
    <w:lvl w:ilvl="5" w:tplc="0409001B" w:tentative="1">
      <w:start w:val="1"/>
      <w:numFmt w:val="lowerRoman"/>
      <w:lvlText w:val="%6."/>
      <w:lvlJc w:val="right"/>
      <w:pPr>
        <w:ind w:left="7418" w:hanging="180"/>
      </w:pPr>
    </w:lvl>
    <w:lvl w:ilvl="6" w:tplc="0409000F" w:tentative="1">
      <w:start w:val="1"/>
      <w:numFmt w:val="decimal"/>
      <w:lvlText w:val="%7."/>
      <w:lvlJc w:val="left"/>
      <w:pPr>
        <w:ind w:left="8138" w:hanging="360"/>
      </w:pPr>
    </w:lvl>
    <w:lvl w:ilvl="7" w:tplc="04090019" w:tentative="1">
      <w:start w:val="1"/>
      <w:numFmt w:val="lowerLetter"/>
      <w:lvlText w:val="%8."/>
      <w:lvlJc w:val="left"/>
      <w:pPr>
        <w:ind w:left="8858" w:hanging="360"/>
      </w:pPr>
    </w:lvl>
    <w:lvl w:ilvl="8" w:tplc="0409001B" w:tentative="1">
      <w:start w:val="1"/>
      <w:numFmt w:val="lowerRoman"/>
      <w:lvlText w:val="%9."/>
      <w:lvlJc w:val="right"/>
      <w:pPr>
        <w:ind w:left="9578" w:hanging="180"/>
      </w:pPr>
    </w:lvl>
  </w:abstractNum>
  <w:abstractNum w:abstractNumId="1">
    <w:nsid w:val="03F87A1D"/>
    <w:multiLevelType w:val="hybridMultilevel"/>
    <w:tmpl w:val="18FAA5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7D1EC2"/>
    <w:multiLevelType w:val="hybridMultilevel"/>
    <w:tmpl w:val="FE2A41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2C5542"/>
    <w:multiLevelType w:val="hybridMultilevel"/>
    <w:tmpl w:val="05D652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AF1615F"/>
    <w:multiLevelType w:val="hybridMultilevel"/>
    <w:tmpl w:val="907EB58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B0320DB"/>
    <w:multiLevelType w:val="hybridMultilevel"/>
    <w:tmpl w:val="4134CD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D3D7F14"/>
    <w:multiLevelType w:val="hybridMultilevel"/>
    <w:tmpl w:val="CFDA7F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2B024E"/>
    <w:multiLevelType w:val="hybridMultilevel"/>
    <w:tmpl w:val="C018025C"/>
    <w:lvl w:ilvl="0" w:tplc="334A193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9437A6"/>
    <w:multiLevelType w:val="hybridMultilevel"/>
    <w:tmpl w:val="5BEA9BA6"/>
    <w:lvl w:ilvl="0" w:tplc="8028DF00">
      <w:start w:val="1"/>
      <w:numFmt w:val="decimal"/>
      <w:lvlText w:val="1%1."/>
      <w:lvlJc w:val="left"/>
      <w:pPr>
        <w:ind w:left="36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ED4906"/>
    <w:multiLevelType w:val="hybridMultilevel"/>
    <w:tmpl w:val="604E08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877BE3"/>
    <w:multiLevelType w:val="hybridMultilevel"/>
    <w:tmpl w:val="F47E4E90"/>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3A5ED2"/>
    <w:multiLevelType w:val="hybridMultilevel"/>
    <w:tmpl w:val="CF660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AC82AFC"/>
    <w:multiLevelType w:val="hybridMultilevel"/>
    <w:tmpl w:val="893E8E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CE66185"/>
    <w:multiLevelType w:val="hybridMultilevel"/>
    <w:tmpl w:val="0C50AC3C"/>
    <w:lvl w:ilvl="0" w:tplc="11D226AE">
      <w:start w:val="1"/>
      <w:numFmt w:val="bullet"/>
      <w:lvlText w:val=""/>
      <w:lvlJc w:val="left"/>
      <w:pPr>
        <w:ind w:left="1070" w:hanging="360"/>
      </w:pPr>
      <w:rPr>
        <w:rFonts w:ascii="Symbol" w:hAnsi="Symbol" w:hint="default"/>
        <w:color w:val="000000" w:themeColor="text1"/>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
    <w:nsid w:val="1CE94F16"/>
    <w:multiLevelType w:val="hybridMultilevel"/>
    <w:tmpl w:val="8056D3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7923C1A"/>
    <w:multiLevelType w:val="hybridMultilevel"/>
    <w:tmpl w:val="FB80E7E8"/>
    <w:lvl w:ilvl="0" w:tplc="5248E30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D041F21"/>
    <w:multiLevelType w:val="hybridMultilevel"/>
    <w:tmpl w:val="F85EBF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D5C6DF2"/>
    <w:multiLevelType w:val="hybridMultilevel"/>
    <w:tmpl w:val="4984E3FC"/>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9B1529"/>
    <w:multiLevelType w:val="hybridMultilevel"/>
    <w:tmpl w:val="FB78A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2367D61"/>
    <w:multiLevelType w:val="hybridMultilevel"/>
    <w:tmpl w:val="8778AA46"/>
    <w:lvl w:ilvl="0" w:tplc="5248E30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EE23C7"/>
    <w:multiLevelType w:val="hybridMultilevel"/>
    <w:tmpl w:val="87E283CE"/>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5070CED"/>
    <w:multiLevelType w:val="hybridMultilevel"/>
    <w:tmpl w:val="AE847548"/>
    <w:lvl w:ilvl="0" w:tplc="5248E302">
      <w:start w:val="1"/>
      <w:numFmt w:val="bullet"/>
      <w:lvlText w:val=""/>
      <w:lvlJc w:val="left"/>
      <w:pPr>
        <w:ind w:left="1080" w:hanging="360"/>
      </w:pPr>
      <w:rPr>
        <w:rFonts w:ascii="Symbol" w:hAnsi="Symbol" w:hint="default"/>
        <w:color w:val="auto"/>
      </w:rPr>
    </w:lvl>
    <w:lvl w:ilvl="1" w:tplc="68A6365C">
      <w:start w:val="1"/>
      <w:numFmt w:val="bullet"/>
      <w:lvlText w:val="o"/>
      <w:lvlJc w:val="left"/>
      <w:pPr>
        <w:ind w:left="1440" w:hanging="360"/>
      </w:pPr>
      <w:rPr>
        <w:rFonts w:ascii="Courier New" w:hAnsi="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672DB1"/>
    <w:multiLevelType w:val="hybridMultilevel"/>
    <w:tmpl w:val="FD984F24"/>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693A6F"/>
    <w:multiLevelType w:val="hybridMultilevel"/>
    <w:tmpl w:val="DE8069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CF96B55"/>
    <w:multiLevelType w:val="hybridMultilevel"/>
    <w:tmpl w:val="B5B8FF8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3DE07233"/>
    <w:multiLevelType w:val="hybridMultilevel"/>
    <w:tmpl w:val="63509032"/>
    <w:lvl w:ilvl="0" w:tplc="5248E302">
      <w:start w:val="1"/>
      <w:numFmt w:val="bullet"/>
      <w:lvlText w:val=""/>
      <w:lvlJc w:val="left"/>
      <w:pPr>
        <w:ind w:left="1080" w:hanging="360"/>
      </w:pPr>
      <w:rPr>
        <w:rFonts w:ascii="Symbol" w:hAnsi="Symbol" w:hint="default"/>
        <w:color w:val="auto"/>
      </w:rPr>
    </w:lvl>
    <w:lvl w:ilvl="1" w:tplc="4D9CB360">
      <w:start w:val="1"/>
      <w:numFmt w:val="bullet"/>
      <w:lvlText w:val="o"/>
      <w:lvlJc w:val="left"/>
      <w:pPr>
        <w:ind w:left="1440" w:hanging="360"/>
      </w:pPr>
      <w:rPr>
        <w:rFonts w:ascii="Courier New" w:hAnsi="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0877E5"/>
    <w:multiLevelType w:val="hybridMultilevel"/>
    <w:tmpl w:val="D70C74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4B577F"/>
    <w:multiLevelType w:val="hybridMultilevel"/>
    <w:tmpl w:val="BB7C2BEA"/>
    <w:lvl w:ilvl="0" w:tplc="0012F78E">
      <w:start w:val="1"/>
      <w:numFmt w:val="none"/>
      <w:lvlText w:val="5."/>
      <w:lvlJc w:val="left"/>
      <w:pPr>
        <w:ind w:left="644" w:hanging="360"/>
      </w:pPr>
      <w:rPr>
        <w:rFonts w:hint="default"/>
      </w:rPr>
    </w:lvl>
    <w:lvl w:ilvl="1" w:tplc="04090019" w:tentative="1">
      <w:start w:val="1"/>
      <w:numFmt w:val="lowerLetter"/>
      <w:lvlText w:val="%2."/>
      <w:lvlJc w:val="left"/>
      <w:pPr>
        <w:ind w:left="-76" w:hanging="360"/>
      </w:pPr>
    </w:lvl>
    <w:lvl w:ilvl="2" w:tplc="0409001B" w:tentative="1">
      <w:start w:val="1"/>
      <w:numFmt w:val="lowerRoman"/>
      <w:lvlText w:val="%3."/>
      <w:lvlJc w:val="right"/>
      <w:pPr>
        <w:ind w:left="644" w:hanging="180"/>
      </w:pPr>
    </w:lvl>
    <w:lvl w:ilvl="3" w:tplc="0409000F" w:tentative="1">
      <w:start w:val="1"/>
      <w:numFmt w:val="decimal"/>
      <w:lvlText w:val="%4."/>
      <w:lvlJc w:val="left"/>
      <w:pPr>
        <w:ind w:left="1364" w:hanging="360"/>
      </w:pPr>
    </w:lvl>
    <w:lvl w:ilvl="4" w:tplc="04090019" w:tentative="1">
      <w:start w:val="1"/>
      <w:numFmt w:val="lowerLetter"/>
      <w:lvlText w:val="%5."/>
      <w:lvlJc w:val="left"/>
      <w:pPr>
        <w:ind w:left="2084" w:hanging="360"/>
      </w:pPr>
    </w:lvl>
    <w:lvl w:ilvl="5" w:tplc="0409001B" w:tentative="1">
      <w:start w:val="1"/>
      <w:numFmt w:val="lowerRoman"/>
      <w:lvlText w:val="%6."/>
      <w:lvlJc w:val="right"/>
      <w:pPr>
        <w:ind w:left="2804" w:hanging="180"/>
      </w:pPr>
    </w:lvl>
    <w:lvl w:ilvl="6" w:tplc="0409000F" w:tentative="1">
      <w:start w:val="1"/>
      <w:numFmt w:val="decimal"/>
      <w:lvlText w:val="%7."/>
      <w:lvlJc w:val="left"/>
      <w:pPr>
        <w:ind w:left="3524" w:hanging="360"/>
      </w:pPr>
    </w:lvl>
    <w:lvl w:ilvl="7" w:tplc="04090019" w:tentative="1">
      <w:start w:val="1"/>
      <w:numFmt w:val="lowerLetter"/>
      <w:lvlText w:val="%8."/>
      <w:lvlJc w:val="left"/>
      <w:pPr>
        <w:ind w:left="4244" w:hanging="360"/>
      </w:pPr>
    </w:lvl>
    <w:lvl w:ilvl="8" w:tplc="0409001B" w:tentative="1">
      <w:start w:val="1"/>
      <w:numFmt w:val="lowerRoman"/>
      <w:lvlText w:val="%9."/>
      <w:lvlJc w:val="right"/>
      <w:pPr>
        <w:ind w:left="4964" w:hanging="180"/>
      </w:pPr>
    </w:lvl>
  </w:abstractNum>
  <w:abstractNum w:abstractNumId="28">
    <w:nsid w:val="3F9D1B64"/>
    <w:multiLevelType w:val="hybridMultilevel"/>
    <w:tmpl w:val="EBB626A6"/>
    <w:lvl w:ilvl="0" w:tplc="334A193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A00C54"/>
    <w:multiLevelType w:val="hybridMultilevel"/>
    <w:tmpl w:val="3102A320"/>
    <w:lvl w:ilvl="0" w:tplc="0409001B">
      <w:start w:val="1"/>
      <w:numFmt w:val="lowerRoman"/>
      <w:lvlText w:val="%1."/>
      <w:lvlJc w:val="right"/>
      <w:pPr>
        <w:ind w:left="3651"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28115D0"/>
    <w:multiLevelType w:val="hybridMultilevel"/>
    <w:tmpl w:val="707CD860"/>
    <w:lvl w:ilvl="0" w:tplc="0409000F">
      <w:start w:val="1"/>
      <w:numFmt w:val="decimal"/>
      <w:lvlText w:val="%1."/>
      <w:lvlJc w:val="left"/>
      <w:pPr>
        <w:ind w:left="36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3F41FFD"/>
    <w:multiLevelType w:val="hybridMultilevel"/>
    <w:tmpl w:val="5F92F060"/>
    <w:lvl w:ilvl="0" w:tplc="55925B02">
      <w:start w:val="1"/>
      <w:numFmt w:val="lowerRoman"/>
      <w:lvlText w:val="%1."/>
      <w:lvlJc w:val="right"/>
      <w:pPr>
        <w:ind w:left="2520" w:hanging="360"/>
      </w:pPr>
      <w:rPr>
        <w:b w:val="0"/>
        <w:i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nsid w:val="44360177"/>
    <w:multiLevelType w:val="hybridMultilevel"/>
    <w:tmpl w:val="956259A0"/>
    <w:lvl w:ilvl="0" w:tplc="334A1934">
      <w:start w:val="1"/>
      <w:numFmt w:val="bullet"/>
      <w:lvlText w:val=""/>
      <w:lvlJc w:val="left"/>
      <w:pPr>
        <w:ind w:left="1440" w:hanging="360"/>
      </w:pPr>
      <w:rPr>
        <w:rFonts w:ascii="Symbol" w:hAnsi="Symbo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5F3C78"/>
    <w:multiLevelType w:val="hybridMultilevel"/>
    <w:tmpl w:val="FAB0B3A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79736AB"/>
    <w:multiLevelType w:val="hybridMultilevel"/>
    <w:tmpl w:val="F4D05BCC"/>
    <w:lvl w:ilvl="0" w:tplc="8028DF00">
      <w:start w:val="1"/>
      <w:numFmt w:val="decimal"/>
      <w:lvlText w:val="1%1."/>
      <w:lvlJc w:val="left"/>
      <w:pPr>
        <w:ind w:left="360" w:hanging="360"/>
      </w:pPr>
      <w:rPr>
        <w:rFonts w:hint="default"/>
        <w:b/>
        <w:color w:val="E36C0A" w:themeColor="accent6" w:themeShade="BF"/>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48C318B5"/>
    <w:multiLevelType w:val="hybridMultilevel"/>
    <w:tmpl w:val="B9A22002"/>
    <w:lvl w:ilvl="0" w:tplc="36B8A154">
      <w:start w:val="1"/>
      <w:numFmt w:val="none"/>
      <w:lvlText w:val="4."/>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F763590"/>
    <w:multiLevelType w:val="hybridMultilevel"/>
    <w:tmpl w:val="C1F2F712"/>
    <w:lvl w:ilvl="0" w:tplc="F66AEAB4">
      <w:start w:val="1"/>
      <w:numFmt w:val="none"/>
      <w:lvlText w:val="7."/>
      <w:lvlJc w:val="left"/>
      <w:pPr>
        <w:ind w:left="644" w:hanging="360"/>
      </w:pPr>
      <w:rPr>
        <w:rFonts w:hint="default"/>
        <w:b/>
        <w:color w:val="E36C0A" w:themeColor="accent6" w:themeShade="BF"/>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37">
    <w:nsid w:val="51503CF7"/>
    <w:multiLevelType w:val="hybridMultilevel"/>
    <w:tmpl w:val="301ABEF2"/>
    <w:lvl w:ilvl="0" w:tplc="04090011">
      <w:start w:val="1"/>
      <w:numFmt w:val="decimal"/>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38">
    <w:nsid w:val="52F54C59"/>
    <w:multiLevelType w:val="hybridMultilevel"/>
    <w:tmpl w:val="7BF6316A"/>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9">
    <w:nsid w:val="55AD0E1B"/>
    <w:multiLevelType w:val="hybridMultilevel"/>
    <w:tmpl w:val="9EA84028"/>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0">
    <w:nsid w:val="56CF0FE2"/>
    <w:multiLevelType w:val="hybridMultilevel"/>
    <w:tmpl w:val="F7644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DE6108D"/>
    <w:multiLevelType w:val="hybridMultilevel"/>
    <w:tmpl w:val="54BC45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0805304"/>
    <w:multiLevelType w:val="hybridMultilevel"/>
    <w:tmpl w:val="04E629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4347573"/>
    <w:multiLevelType w:val="hybridMultilevel"/>
    <w:tmpl w:val="5BEA9BA6"/>
    <w:lvl w:ilvl="0" w:tplc="8028DF00">
      <w:start w:val="1"/>
      <w:numFmt w:val="decimal"/>
      <w:lvlText w:val="1%1."/>
      <w:lvlJc w:val="left"/>
      <w:pPr>
        <w:ind w:left="36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5024C2E"/>
    <w:multiLevelType w:val="multilevel"/>
    <w:tmpl w:val="3102A320"/>
    <w:lvl w:ilvl="0">
      <w:start w:val="1"/>
      <w:numFmt w:val="lowerRoman"/>
      <w:lvlText w:val="%1."/>
      <w:lvlJc w:val="right"/>
      <w:pPr>
        <w:ind w:left="3651"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6572073A"/>
    <w:multiLevelType w:val="hybridMultilevel"/>
    <w:tmpl w:val="F2D6C188"/>
    <w:lvl w:ilvl="0" w:tplc="9060383C">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E77E0A"/>
    <w:multiLevelType w:val="hybridMultilevel"/>
    <w:tmpl w:val="81504BFA"/>
    <w:lvl w:ilvl="0" w:tplc="39DADB00">
      <w:start w:val="1"/>
      <w:numFmt w:val="bullet"/>
      <w:lvlText w:val=""/>
      <w:lvlJc w:val="left"/>
      <w:pPr>
        <w:ind w:left="1070" w:hanging="360"/>
      </w:pPr>
      <w:rPr>
        <w:rFonts w:ascii="Symbol" w:hAnsi="Symbol" w:hint="default"/>
        <w:color w:val="auto"/>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87B7B5F"/>
    <w:multiLevelType w:val="hybridMultilevel"/>
    <w:tmpl w:val="5D1A18B0"/>
    <w:lvl w:ilvl="0" w:tplc="04090011">
      <w:start w:val="1"/>
      <w:numFmt w:val="decimal"/>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48">
    <w:nsid w:val="6AA17834"/>
    <w:multiLevelType w:val="hybridMultilevel"/>
    <w:tmpl w:val="869C74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EE7755F"/>
    <w:multiLevelType w:val="hybridMultilevel"/>
    <w:tmpl w:val="8B8ABB78"/>
    <w:lvl w:ilvl="0" w:tplc="9402BA1A">
      <w:start w:val="1"/>
      <w:numFmt w:val="bullet"/>
      <w:lvlText w:val=""/>
      <w:lvlJc w:val="left"/>
      <w:pPr>
        <w:ind w:left="1495" w:hanging="360"/>
      </w:pPr>
      <w:rPr>
        <w:rFonts w:ascii="Symbol" w:hAnsi="Symbol" w:hint="default"/>
        <w:color w:val="000000" w:themeColor="text1"/>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0">
    <w:nsid w:val="70677484"/>
    <w:multiLevelType w:val="hybridMultilevel"/>
    <w:tmpl w:val="7A3CB6D8"/>
    <w:lvl w:ilvl="0" w:tplc="41BC46DE">
      <w:start w:val="1"/>
      <w:numFmt w:val="none"/>
      <w:lvlText w:val="6."/>
      <w:lvlJc w:val="left"/>
      <w:pPr>
        <w:ind w:left="644" w:hanging="360"/>
      </w:pPr>
      <w:rPr>
        <w:rFonts w:hint="default"/>
      </w:rPr>
    </w:lvl>
    <w:lvl w:ilvl="1" w:tplc="04090019" w:tentative="1">
      <w:start w:val="1"/>
      <w:numFmt w:val="lowerLetter"/>
      <w:lvlText w:val="%2."/>
      <w:lvlJc w:val="left"/>
      <w:pPr>
        <w:ind w:left="-76" w:hanging="360"/>
      </w:pPr>
    </w:lvl>
    <w:lvl w:ilvl="2" w:tplc="0409001B" w:tentative="1">
      <w:start w:val="1"/>
      <w:numFmt w:val="lowerRoman"/>
      <w:lvlText w:val="%3."/>
      <w:lvlJc w:val="right"/>
      <w:pPr>
        <w:ind w:left="644" w:hanging="180"/>
      </w:pPr>
    </w:lvl>
    <w:lvl w:ilvl="3" w:tplc="0409000F" w:tentative="1">
      <w:start w:val="1"/>
      <w:numFmt w:val="decimal"/>
      <w:lvlText w:val="%4."/>
      <w:lvlJc w:val="left"/>
      <w:pPr>
        <w:ind w:left="1364" w:hanging="360"/>
      </w:pPr>
    </w:lvl>
    <w:lvl w:ilvl="4" w:tplc="04090019" w:tentative="1">
      <w:start w:val="1"/>
      <w:numFmt w:val="lowerLetter"/>
      <w:lvlText w:val="%5."/>
      <w:lvlJc w:val="left"/>
      <w:pPr>
        <w:ind w:left="2084" w:hanging="360"/>
      </w:pPr>
    </w:lvl>
    <w:lvl w:ilvl="5" w:tplc="0409001B" w:tentative="1">
      <w:start w:val="1"/>
      <w:numFmt w:val="lowerRoman"/>
      <w:lvlText w:val="%6."/>
      <w:lvlJc w:val="right"/>
      <w:pPr>
        <w:ind w:left="2804" w:hanging="180"/>
      </w:pPr>
    </w:lvl>
    <w:lvl w:ilvl="6" w:tplc="0409000F" w:tentative="1">
      <w:start w:val="1"/>
      <w:numFmt w:val="decimal"/>
      <w:lvlText w:val="%7."/>
      <w:lvlJc w:val="left"/>
      <w:pPr>
        <w:ind w:left="3524" w:hanging="360"/>
      </w:pPr>
    </w:lvl>
    <w:lvl w:ilvl="7" w:tplc="04090019" w:tentative="1">
      <w:start w:val="1"/>
      <w:numFmt w:val="lowerLetter"/>
      <w:lvlText w:val="%8."/>
      <w:lvlJc w:val="left"/>
      <w:pPr>
        <w:ind w:left="4244" w:hanging="360"/>
      </w:pPr>
    </w:lvl>
    <w:lvl w:ilvl="8" w:tplc="0409001B" w:tentative="1">
      <w:start w:val="1"/>
      <w:numFmt w:val="lowerRoman"/>
      <w:lvlText w:val="%9."/>
      <w:lvlJc w:val="right"/>
      <w:pPr>
        <w:ind w:left="4964" w:hanging="180"/>
      </w:pPr>
    </w:lvl>
  </w:abstractNum>
  <w:abstractNum w:abstractNumId="51">
    <w:nsid w:val="71867230"/>
    <w:multiLevelType w:val="hybridMultilevel"/>
    <w:tmpl w:val="A4E693B6"/>
    <w:lvl w:ilvl="0" w:tplc="9060383C">
      <w:start w:val="1"/>
      <w:numFmt w:val="bullet"/>
      <w:lvlText w:val=""/>
      <w:lvlJc w:val="left"/>
      <w:pPr>
        <w:ind w:left="1440" w:hanging="360"/>
      </w:pPr>
      <w:rPr>
        <w:rFonts w:ascii="Symbol" w:hAnsi="Symbol" w:hint="default"/>
        <w:color w:val="000000" w:themeColor="text1"/>
      </w:rPr>
    </w:lvl>
    <w:lvl w:ilvl="1" w:tplc="25C2F220">
      <w:start w:val="1"/>
      <w:numFmt w:val="bullet"/>
      <w:lvlText w:val="o"/>
      <w:lvlJc w:val="left"/>
      <w:pPr>
        <w:ind w:left="2160" w:hanging="360"/>
      </w:pPr>
      <w:rPr>
        <w:rFonts w:ascii="Courier New" w:hAnsi="Courier New" w:hint="default"/>
        <w:color w:val="auto"/>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6C3B90"/>
    <w:multiLevelType w:val="hybridMultilevel"/>
    <w:tmpl w:val="9C16A2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BC4738"/>
    <w:multiLevelType w:val="hybridMultilevel"/>
    <w:tmpl w:val="BFEA2FF6"/>
    <w:lvl w:ilvl="0" w:tplc="04090001">
      <w:start w:val="1"/>
      <w:numFmt w:val="bullet"/>
      <w:lvlText w:val=""/>
      <w:lvlJc w:val="left"/>
      <w:pPr>
        <w:ind w:left="1364" w:hanging="360"/>
      </w:pPr>
      <w:rPr>
        <w:rFonts w:ascii="Symbol" w:hAnsi="Symbol" w:hint="default"/>
      </w:rPr>
    </w:lvl>
    <w:lvl w:ilvl="1" w:tplc="04090003">
      <w:start w:val="1"/>
      <w:numFmt w:val="bullet"/>
      <w:lvlText w:val="o"/>
      <w:lvlJc w:val="left"/>
      <w:pPr>
        <w:ind w:left="2084" w:hanging="360"/>
      </w:pPr>
      <w:rPr>
        <w:rFonts w:ascii="Courier New" w:hAnsi="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54">
    <w:nsid w:val="77EA0F62"/>
    <w:multiLevelType w:val="hybridMultilevel"/>
    <w:tmpl w:val="B8ECD76E"/>
    <w:lvl w:ilvl="0" w:tplc="9402BA1A">
      <w:start w:val="1"/>
      <w:numFmt w:val="bullet"/>
      <w:lvlText w:val=""/>
      <w:lvlJc w:val="left"/>
      <w:pPr>
        <w:ind w:left="1495"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9A909CF"/>
    <w:multiLevelType w:val="hybridMultilevel"/>
    <w:tmpl w:val="155E337C"/>
    <w:lvl w:ilvl="0" w:tplc="04090011">
      <w:start w:val="1"/>
      <w:numFmt w:val="decimal"/>
      <w:lvlText w:val="%1)"/>
      <w:lvlJc w:val="left"/>
      <w:pPr>
        <w:ind w:left="2211" w:hanging="360"/>
      </w:pPr>
    </w:lvl>
    <w:lvl w:ilvl="1" w:tplc="04090019" w:tentative="1">
      <w:start w:val="1"/>
      <w:numFmt w:val="lowerLetter"/>
      <w:lvlText w:val="%2."/>
      <w:lvlJc w:val="left"/>
      <w:pPr>
        <w:ind w:left="2931" w:hanging="360"/>
      </w:pPr>
    </w:lvl>
    <w:lvl w:ilvl="2" w:tplc="0409001B">
      <w:start w:val="1"/>
      <w:numFmt w:val="lowerRoman"/>
      <w:lvlText w:val="%3."/>
      <w:lvlJc w:val="right"/>
      <w:pPr>
        <w:ind w:left="3651" w:hanging="180"/>
      </w:pPr>
    </w:lvl>
    <w:lvl w:ilvl="3" w:tplc="0409000F" w:tentative="1">
      <w:start w:val="1"/>
      <w:numFmt w:val="decimal"/>
      <w:lvlText w:val="%4."/>
      <w:lvlJc w:val="left"/>
      <w:pPr>
        <w:ind w:left="4371" w:hanging="360"/>
      </w:pPr>
    </w:lvl>
    <w:lvl w:ilvl="4" w:tplc="04090019" w:tentative="1">
      <w:start w:val="1"/>
      <w:numFmt w:val="lowerLetter"/>
      <w:lvlText w:val="%5."/>
      <w:lvlJc w:val="left"/>
      <w:pPr>
        <w:ind w:left="5091" w:hanging="360"/>
      </w:pPr>
    </w:lvl>
    <w:lvl w:ilvl="5" w:tplc="0409001B" w:tentative="1">
      <w:start w:val="1"/>
      <w:numFmt w:val="lowerRoman"/>
      <w:lvlText w:val="%6."/>
      <w:lvlJc w:val="right"/>
      <w:pPr>
        <w:ind w:left="5811" w:hanging="180"/>
      </w:pPr>
    </w:lvl>
    <w:lvl w:ilvl="6" w:tplc="0409000F" w:tentative="1">
      <w:start w:val="1"/>
      <w:numFmt w:val="decimal"/>
      <w:lvlText w:val="%7."/>
      <w:lvlJc w:val="left"/>
      <w:pPr>
        <w:ind w:left="6531" w:hanging="360"/>
      </w:pPr>
    </w:lvl>
    <w:lvl w:ilvl="7" w:tplc="04090019" w:tentative="1">
      <w:start w:val="1"/>
      <w:numFmt w:val="lowerLetter"/>
      <w:lvlText w:val="%8."/>
      <w:lvlJc w:val="left"/>
      <w:pPr>
        <w:ind w:left="7251" w:hanging="360"/>
      </w:pPr>
    </w:lvl>
    <w:lvl w:ilvl="8" w:tplc="0409001B" w:tentative="1">
      <w:start w:val="1"/>
      <w:numFmt w:val="lowerRoman"/>
      <w:lvlText w:val="%9."/>
      <w:lvlJc w:val="right"/>
      <w:pPr>
        <w:ind w:left="7971" w:hanging="180"/>
      </w:pPr>
    </w:lvl>
  </w:abstractNum>
  <w:abstractNum w:abstractNumId="56">
    <w:nsid w:val="7AB36B5B"/>
    <w:multiLevelType w:val="hybridMultilevel"/>
    <w:tmpl w:val="7B7A88A8"/>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30405396">
      <w:start w:val="1"/>
      <w:numFmt w:val="decimal"/>
      <w:lvlText w:val="(%3)"/>
      <w:lvlJc w:val="left"/>
      <w:pPr>
        <w:ind w:left="2700" w:hanging="720"/>
      </w:pPr>
      <w:rPr>
        <w:rFonts w:eastAsia="Times New Roman" w:cs="Times New Roman" w:hint="default"/>
        <w:sz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9B2ADB"/>
    <w:multiLevelType w:val="hybridMultilevel"/>
    <w:tmpl w:val="C28AC9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E1A6FDA"/>
    <w:multiLevelType w:val="hybridMultilevel"/>
    <w:tmpl w:val="5BEA9BA6"/>
    <w:lvl w:ilvl="0" w:tplc="8028DF00">
      <w:start w:val="1"/>
      <w:numFmt w:val="decimal"/>
      <w:lvlText w:val="1%1."/>
      <w:lvlJc w:val="left"/>
      <w:pPr>
        <w:ind w:left="36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ECF2D20"/>
    <w:multiLevelType w:val="hybridMultilevel"/>
    <w:tmpl w:val="E0DA8B00"/>
    <w:lvl w:ilvl="0" w:tplc="0409000F">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0F">
      <w:start w:val="1"/>
      <w:numFmt w:val="decimal"/>
      <w:lvlText w:val="%3."/>
      <w:lvlJc w:val="left"/>
      <w:pPr>
        <w:ind w:left="2160" w:hanging="36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nsid w:val="7ED04C0E"/>
    <w:multiLevelType w:val="hybridMultilevel"/>
    <w:tmpl w:val="141235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33"/>
  </w:num>
  <w:num w:numId="3">
    <w:abstractNumId w:val="5"/>
  </w:num>
  <w:num w:numId="4">
    <w:abstractNumId w:val="42"/>
  </w:num>
  <w:num w:numId="5">
    <w:abstractNumId w:val="3"/>
  </w:num>
  <w:num w:numId="6">
    <w:abstractNumId w:val="1"/>
  </w:num>
  <w:num w:numId="7">
    <w:abstractNumId w:val="23"/>
  </w:num>
  <w:num w:numId="8">
    <w:abstractNumId w:val="6"/>
  </w:num>
  <w:num w:numId="9">
    <w:abstractNumId w:val="2"/>
  </w:num>
  <w:num w:numId="10">
    <w:abstractNumId w:val="7"/>
  </w:num>
  <w:num w:numId="11">
    <w:abstractNumId w:val="28"/>
  </w:num>
  <w:num w:numId="12">
    <w:abstractNumId w:val="32"/>
  </w:num>
  <w:num w:numId="13">
    <w:abstractNumId w:val="59"/>
  </w:num>
  <w:num w:numId="14">
    <w:abstractNumId w:val="0"/>
  </w:num>
  <w:num w:numId="15">
    <w:abstractNumId w:val="24"/>
  </w:num>
  <w:num w:numId="16">
    <w:abstractNumId w:val="11"/>
  </w:num>
  <w:num w:numId="17">
    <w:abstractNumId w:val="35"/>
  </w:num>
  <w:num w:numId="18">
    <w:abstractNumId w:val="27"/>
  </w:num>
  <w:num w:numId="19">
    <w:abstractNumId w:val="49"/>
  </w:num>
  <w:num w:numId="20">
    <w:abstractNumId w:val="54"/>
  </w:num>
  <w:num w:numId="21">
    <w:abstractNumId w:val="22"/>
  </w:num>
  <w:num w:numId="22">
    <w:abstractNumId w:val="50"/>
  </w:num>
  <w:num w:numId="23">
    <w:abstractNumId w:val="51"/>
  </w:num>
  <w:num w:numId="24">
    <w:abstractNumId w:val="45"/>
  </w:num>
  <w:num w:numId="25">
    <w:abstractNumId w:val="9"/>
  </w:num>
  <w:num w:numId="26">
    <w:abstractNumId w:val="40"/>
  </w:num>
  <w:num w:numId="27">
    <w:abstractNumId w:val="52"/>
  </w:num>
  <w:num w:numId="28">
    <w:abstractNumId w:val="14"/>
  </w:num>
  <w:num w:numId="29">
    <w:abstractNumId w:val="26"/>
  </w:num>
  <w:num w:numId="30">
    <w:abstractNumId w:val="17"/>
  </w:num>
  <w:num w:numId="31">
    <w:abstractNumId w:val="36"/>
  </w:num>
  <w:num w:numId="32">
    <w:abstractNumId w:val="53"/>
  </w:num>
  <w:num w:numId="33">
    <w:abstractNumId w:val="60"/>
  </w:num>
  <w:num w:numId="34">
    <w:abstractNumId w:val="12"/>
  </w:num>
  <w:num w:numId="35">
    <w:abstractNumId w:val="48"/>
  </w:num>
  <w:num w:numId="36">
    <w:abstractNumId w:val="20"/>
  </w:num>
  <w:num w:numId="37">
    <w:abstractNumId w:val="18"/>
  </w:num>
  <w:num w:numId="38">
    <w:abstractNumId w:val="10"/>
  </w:num>
  <w:num w:numId="39">
    <w:abstractNumId w:val="56"/>
  </w:num>
  <w:num w:numId="40">
    <w:abstractNumId w:val="41"/>
  </w:num>
  <w:num w:numId="41">
    <w:abstractNumId w:val="57"/>
  </w:num>
  <w:num w:numId="42">
    <w:abstractNumId w:val="4"/>
  </w:num>
  <w:num w:numId="43">
    <w:abstractNumId w:val="46"/>
  </w:num>
  <w:num w:numId="44">
    <w:abstractNumId w:val="31"/>
  </w:num>
  <w:num w:numId="45">
    <w:abstractNumId w:val="15"/>
  </w:num>
  <w:num w:numId="46">
    <w:abstractNumId w:val="25"/>
  </w:num>
  <w:num w:numId="47">
    <w:abstractNumId w:val="19"/>
  </w:num>
  <w:num w:numId="48">
    <w:abstractNumId w:val="21"/>
  </w:num>
  <w:num w:numId="49">
    <w:abstractNumId w:val="13"/>
  </w:num>
  <w:num w:numId="50">
    <w:abstractNumId w:val="16"/>
  </w:num>
  <w:num w:numId="51">
    <w:abstractNumId w:val="47"/>
  </w:num>
  <w:num w:numId="52">
    <w:abstractNumId w:val="39"/>
  </w:num>
  <w:num w:numId="53">
    <w:abstractNumId w:val="38"/>
  </w:num>
  <w:num w:numId="54">
    <w:abstractNumId w:val="34"/>
  </w:num>
  <w:num w:numId="55">
    <w:abstractNumId w:val="55"/>
  </w:num>
  <w:num w:numId="56">
    <w:abstractNumId w:val="29"/>
  </w:num>
  <w:num w:numId="57">
    <w:abstractNumId w:val="44"/>
  </w:num>
  <w:num w:numId="58">
    <w:abstractNumId w:val="37"/>
  </w:num>
  <w:num w:numId="59">
    <w:abstractNumId w:val="43"/>
  </w:num>
  <w:num w:numId="60">
    <w:abstractNumId w:val="58"/>
  </w:num>
  <w:num w:numId="61">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E2A"/>
    <w:rsid w:val="00003879"/>
    <w:rsid w:val="0002183B"/>
    <w:rsid w:val="00022E88"/>
    <w:rsid w:val="00051A77"/>
    <w:rsid w:val="00086E79"/>
    <w:rsid w:val="000B0A01"/>
    <w:rsid w:val="000B42B3"/>
    <w:rsid w:val="00107CA3"/>
    <w:rsid w:val="001108BD"/>
    <w:rsid w:val="00152751"/>
    <w:rsid w:val="00157C0B"/>
    <w:rsid w:val="0016664E"/>
    <w:rsid w:val="00173F3B"/>
    <w:rsid w:val="00196C65"/>
    <w:rsid w:val="001A7111"/>
    <w:rsid w:val="001B0D8A"/>
    <w:rsid w:val="001C6574"/>
    <w:rsid w:val="001D3C3E"/>
    <w:rsid w:val="001F0EA7"/>
    <w:rsid w:val="001F6DBA"/>
    <w:rsid w:val="002118A0"/>
    <w:rsid w:val="002203BB"/>
    <w:rsid w:val="002552EA"/>
    <w:rsid w:val="00262F9B"/>
    <w:rsid w:val="00263A71"/>
    <w:rsid w:val="00275EB8"/>
    <w:rsid w:val="00283F75"/>
    <w:rsid w:val="002A7C86"/>
    <w:rsid w:val="002B18DF"/>
    <w:rsid w:val="002C6BA4"/>
    <w:rsid w:val="002E592D"/>
    <w:rsid w:val="00300B7B"/>
    <w:rsid w:val="00321394"/>
    <w:rsid w:val="00323027"/>
    <w:rsid w:val="00334D6F"/>
    <w:rsid w:val="00355EAC"/>
    <w:rsid w:val="003673AC"/>
    <w:rsid w:val="00375A62"/>
    <w:rsid w:val="003A1C3D"/>
    <w:rsid w:val="003B3682"/>
    <w:rsid w:val="003D3067"/>
    <w:rsid w:val="003E6DEC"/>
    <w:rsid w:val="003F3843"/>
    <w:rsid w:val="00406B99"/>
    <w:rsid w:val="004135A4"/>
    <w:rsid w:val="004137FE"/>
    <w:rsid w:val="0042312C"/>
    <w:rsid w:val="00430BFF"/>
    <w:rsid w:val="00460A70"/>
    <w:rsid w:val="004739B0"/>
    <w:rsid w:val="00496B0D"/>
    <w:rsid w:val="004B6CFB"/>
    <w:rsid w:val="004C19F4"/>
    <w:rsid w:val="004C4B70"/>
    <w:rsid w:val="004F0FC6"/>
    <w:rsid w:val="004F3ECD"/>
    <w:rsid w:val="005011FE"/>
    <w:rsid w:val="005014EA"/>
    <w:rsid w:val="0052252C"/>
    <w:rsid w:val="00585E2A"/>
    <w:rsid w:val="005A50D5"/>
    <w:rsid w:val="005A7B5B"/>
    <w:rsid w:val="005C1B7C"/>
    <w:rsid w:val="006725C1"/>
    <w:rsid w:val="006C26C1"/>
    <w:rsid w:val="006D6845"/>
    <w:rsid w:val="00702FDC"/>
    <w:rsid w:val="00706229"/>
    <w:rsid w:val="00711393"/>
    <w:rsid w:val="00720464"/>
    <w:rsid w:val="00727C1A"/>
    <w:rsid w:val="00731715"/>
    <w:rsid w:val="00770F8F"/>
    <w:rsid w:val="007837A6"/>
    <w:rsid w:val="007A58A0"/>
    <w:rsid w:val="007B15F4"/>
    <w:rsid w:val="007D13AB"/>
    <w:rsid w:val="007D2D2E"/>
    <w:rsid w:val="00843A6A"/>
    <w:rsid w:val="0086185D"/>
    <w:rsid w:val="008759CF"/>
    <w:rsid w:val="008925BD"/>
    <w:rsid w:val="008C6AF6"/>
    <w:rsid w:val="00954B17"/>
    <w:rsid w:val="00957985"/>
    <w:rsid w:val="00970D87"/>
    <w:rsid w:val="009714A7"/>
    <w:rsid w:val="00976205"/>
    <w:rsid w:val="0099095C"/>
    <w:rsid w:val="00996AD7"/>
    <w:rsid w:val="009A5488"/>
    <w:rsid w:val="009D4A1D"/>
    <w:rsid w:val="009E1077"/>
    <w:rsid w:val="009F7354"/>
    <w:rsid w:val="009F74EA"/>
    <w:rsid w:val="00A068B8"/>
    <w:rsid w:val="00A06BC6"/>
    <w:rsid w:val="00A17F2D"/>
    <w:rsid w:val="00A51741"/>
    <w:rsid w:val="00A566CC"/>
    <w:rsid w:val="00A93771"/>
    <w:rsid w:val="00AF0E8B"/>
    <w:rsid w:val="00AF51B9"/>
    <w:rsid w:val="00AF5243"/>
    <w:rsid w:val="00AF6A9B"/>
    <w:rsid w:val="00B068CB"/>
    <w:rsid w:val="00B366FC"/>
    <w:rsid w:val="00B42EE6"/>
    <w:rsid w:val="00B4644E"/>
    <w:rsid w:val="00B547D7"/>
    <w:rsid w:val="00B642BD"/>
    <w:rsid w:val="00B813DD"/>
    <w:rsid w:val="00B92400"/>
    <w:rsid w:val="00B93999"/>
    <w:rsid w:val="00B96C3D"/>
    <w:rsid w:val="00B976FF"/>
    <w:rsid w:val="00BB17E0"/>
    <w:rsid w:val="00BE472A"/>
    <w:rsid w:val="00C04EAB"/>
    <w:rsid w:val="00C068D8"/>
    <w:rsid w:val="00C14C90"/>
    <w:rsid w:val="00C3214E"/>
    <w:rsid w:val="00C43D49"/>
    <w:rsid w:val="00C51776"/>
    <w:rsid w:val="00C57AAC"/>
    <w:rsid w:val="00C62BA5"/>
    <w:rsid w:val="00C649B3"/>
    <w:rsid w:val="00C7564D"/>
    <w:rsid w:val="00C84E55"/>
    <w:rsid w:val="00C95606"/>
    <w:rsid w:val="00CA48B1"/>
    <w:rsid w:val="00CB2629"/>
    <w:rsid w:val="00CB4B8A"/>
    <w:rsid w:val="00CE28CA"/>
    <w:rsid w:val="00D25643"/>
    <w:rsid w:val="00D40BC8"/>
    <w:rsid w:val="00D67090"/>
    <w:rsid w:val="00D737C4"/>
    <w:rsid w:val="00D84DC2"/>
    <w:rsid w:val="00DA1DA2"/>
    <w:rsid w:val="00DA4410"/>
    <w:rsid w:val="00DB6EFF"/>
    <w:rsid w:val="00DC2745"/>
    <w:rsid w:val="00DC3410"/>
    <w:rsid w:val="00DC4EF2"/>
    <w:rsid w:val="00DD79E1"/>
    <w:rsid w:val="00E01F5C"/>
    <w:rsid w:val="00E06241"/>
    <w:rsid w:val="00E105BD"/>
    <w:rsid w:val="00E310FA"/>
    <w:rsid w:val="00E4259E"/>
    <w:rsid w:val="00E66543"/>
    <w:rsid w:val="00E85ECD"/>
    <w:rsid w:val="00E95360"/>
    <w:rsid w:val="00EB2B63"/>
    <w:rsid w:val="00ED0C73"/>
    <w:rsid w:val="00ED2BCF"/>
    <w:rsid w:val="00F1380A"/>
    <w:rsid w:val="00F32182"/>
    <w:rsid w:val="00F55CD5"/>
    <w:rsid w:val="00F57F4E"/>
    <w:rsid w:val="00F71E91"/>
    <w:rsid w:val="00F94E73"/>
    <w:rsid w:val="00FA0B90"/>
    <w:rsid w:val="00FB7307"/>
    <w:rsid w:val="00FF04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EC2F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4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4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5283">
      <w:bodyDiv w:val="1"/>
      <w:marLeft w:val="0"/>
      <w:marRight w:val="0"/>
      <w:marTop w:val="0"/>
      <w:marBottom w:val="0"/>
      <w:divBdr>
        <w:top w:val="none" w:sz="0" w:space="0" w:color="auto"/>
        <w:left w:val="none" w:sz="0" w:space="0" w:color="auto"/>
        <w:bottom w:val="none" w:sz="0" w:space="0" w:color="auto"/>
        <w:right w:val="none" w:sz="0" w:space="0" w:color="auto"/>
      </w:divBdr>
      <w:divsChild>
        <w:div w:id="1087531651">
          <w:marLeft w:val="0"/>
          <w:marRight w:val="0"/>
          <w:marTop w:val="0"/>
          <w:marBottom w:val="0"/>
          <w:divBdr>
            <w:top w:val="none" w:sz="0" w:space="0" w:color="auto"/>
            <w:left w:val="none" w:sz="0" w:space="0" w:color="auto"/>
            <w:bottom w:val="none" w:sz="0" w:space="0" w:color="auto"/>
            <w:right w:val="none" w:sz="0" w:space="0" w:color="auto"/>
          </w:divBdr>
        </w:div>
        <w:div w:id="1396850972">
          <w:marLeft w:val="0"/>
          <w:marRight w:val="0"/>
          <w:marTop w:val="0"/>
          <w:marBottom w:val="0"/>
          <w:divBdr>
            <w:top w:val="none" w:sz="0" w:space="0" w:color="auto"/>
            <w:left w:val="none" w:sz="0" w:space="0" w:color="auto"/>
            <w:bottom w:val="none" w:sz="0" w:space="0" w:color="auto"/>
            <w:right w:val="none" w:sz="0" w:space="0" w:color="auto"/>
          </w:divBdr>
        </w:div>
        <w:div w:id="2001612691">
          <w:marLeft w:val="0"/>
          <w:marRight w:val="0"/>
          <w:marTop w:val="0"/>
          <w:marBottom w:val="0"/>
          <w:divBdr>
            <w:top w:val="none" w:sz="0" w:space="0" w:color="auto"/>
            <w:left w:val="none" w:sz="0" w:space="0" w:color="auto"/>
            <w:bottom w:val="none" w:sz="0" w:space="0" w:color="auto"/>
            <w:right w:val="none" w:sz="0" w:space="0" w:color="auto"/>
          </w:divBdr>
        </w:div>
        <w:div w:id="833377645">
          <w:marLeft w:val="0"/>
          <w:marRight w:val="0"/>
          <w:marTop w:val="0"/>
          <w:marBottom w:val="0"/>
          <w:divBdr>
            <w:top w:val="none" w:sz="0" w:space="0" w:color="auto"/>
            <w:left w:val="none" w:sz="0" w:space="0" w:color="auto"/>
            <w:bottom w:val="none" w:sz="0" w:space="0" w:color="auto"/>
            <w:right w:val="none" w:sz="0" w:space="0" w:color="auto"/>
          </w:divBdr>
        </w:div>
        <w:div w:id="1773043525">
          <w:marLeft w:val="0"/>
          <w:marRight w:val="0"/>
          <w:marTop w:val="0"/>
          <w:marBottom w:val="0"/>
          <w:divBdr>
            <w:top w:val="none" w:sz="0" w:space="0" w:color="auto"/>
            <w:left w:val="none" w:sz="0" w:space="0" w:color="auto"/>
            <w:bottom w:val="none" w:sz="0" w:space="0" w:color="auto"/>
            <w:right w:val="none" w:sz="0" w:space="0" w:color="auto"/>
          </w:divBdr>
        </w:div>
        <w:div w:id="392702809">
          <w:marLeft w:val="0"/>
          <w:marRight w:val="0"/>
          <w:marTop w:val="0"/>
          <w:marBottom w:val="0"/>
          <w:divBdr>
            <w:top w:val="none" w:sz="0" w:space="0" w:color="auto"/>
            <w:left w:val="none" w:sz="0" w:space="0" w:color="auto"/>
            <w:bottom w:val="none" w:sz="0" w:space="0" w:color="auto"/>
            <w:right w:val="none" w:sz="0" w:space="0" w:color="auto"/>
          </w:divBdr>
        </w:div>
      </w:divsChild>
    </w:div>
    <w:div w:id="14860521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4A171-D7DA-E24E-BC4D-74EDE5E15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8</Pages>
  <Words>4696</Words>
  <Characters>26772</Characters>
  <Application>Microsoft Macintosh Word</Application>
  <DocSecurity>0</DocSecurity>
  <Lines>223</Lines>
  <Paragraphs>62</Paragraphs>
  <ScaleCrop>false</ScaleCrop>
  <Company/>
  <LinksUpToDate>false</LinksUpToDate>
  <CharactersWithSpaces>31406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34</cp:revision>
  <cp:lastPrinted>2015-12-17T07:32:00Z</cp:lastPrinted>
  <dcterms:created xsi:type="dcterms:W3CDTF">2015-12-17T04:23:00Z</dcterms:created>
  <dcterms:modified xsi:type="dcterms:W3CDTF">2015-12-17T07:35:00Z</dcterms:modified>
</cp:coreProperties>
</file>