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A1B4F3" w14:textId="77777777" w:rsidR="008925BD" w:rsidRPr="00AF0E8B" w:rsidRDefault="00585E2A" w:rsidP="005014EA">
      <w:pPr>
        <w:jc w:val="center"/>
        <w:rPr>
          <w:u w:val="single"/>
        </w:rPr>
      </w:pPr>
      <w:r w:rsidRPr="00AF0E8B">
        <w:rPr>
          <w:u w:val="single"/>
        </w:rPr>
        <w:t>Summaries of Learning Objectives from Chapters 1-7</w:t>
      </w:r>
      <w:bookmarkStart w:id="0" w:name="_GoBack"/>
      <w:bookmarkEnd w:id="0"/>
    </w:p>
    <w:p w14:paraId="72A7AEEF" w14:textId="77777777" w:rsidR="005014EA" w:rsidRPr="00AF0E8B" w:rsidRDefault="005014EA" w:rsidP="005014EA">
      <w:pPr>
        <w:spacing w:line="276" w:lineRule="auto"/>
        <w:rPr>
          <w:b/>
          <w:color w:val="660066"/>
          <w:u w:val="single"/>
        </w:rPr>
      </w:pPr>
      <w:r w:rsidRPr="00AF0E8B">
        <w:rPr>
          <w:b/>
          <w:color w:val="660066"/>
          <w:u w:val="single"/>
        </w:rPr>
        <w:t>Chapter 1</w:t>
      </w:r>
    </w:p>
    <w:p w14:paraId="25EEECCE" w14:textId="2DE0338C" w:rsidR="005014EA" w:rsidRPr="00AF0E8B" w:rsidRDefault="005014EA" w:rsidP="00AF0E8B">
      <w:pPr>
        <w:pStyle w:val="ListParagraph"/>
        <w:numPr>
          <w:ilvl w:val="0"/>
          <w:numId w:val="1"/>
        </w:numPr>
        <w:spacing w:line="276" w:lineRule="auto"/>
        <w:ind w:left="360"/>
        <w:rPr>
          <w:b/>
          <w:color w:val="E36C0A" w:themeColor="accent6" w:themeShade="BF"/>
          <w:sz w:val="22"/>
        </w:rPr>
      </w:pPr>
      <w:r w:rsidRPr="00AF0E8B">
        <w:rPr>
          <w:b/>
          <w:color w:val="E36C0A" w:themeColor="accent6" w:themeShade="BF"/>
          <w:sz w:val="22"/>
        </w:rPr>
        <w:t>How accounting makes it possible to use sc</w:t>
      </w:r>
      <w:r w:rsidR="00051A77" w:rsidRPr="00AF0E8B">
        <w:rPr>
          <w:b/>
          <w:color w:val="E36C0A" w:themeColor="accent6" w:themeShade="BF"/>
          <w:sz w:val="22"/>
        </w:rPr>
        <w:t>arce resources more efficiently</w:t>
      </w:r>
    </w:p>
    <w:p w14:paraId="59FF568D" w14:textId="77777777" w:rsidR="005014EA" w:rsidRPr="00AF0E8B" w:rsidRDefault="005014EA" w:rsidP="00AF0E8B">
      <w:pPr>
        <w:pStyle w:val="ListParagraph"/>
        <w:numPr>
          <w:ilvl w:val="0"/>
          <w:numId w:val="2"/>
        </w:numPr>
        <w:spacing w:line="276" w:lineRule="auto"/>
        <w:ind w:left="1080"/>
        <w:rPr>
          <w:sz w:val="22"/>
        </w:rPr>
      </w:pPr>
      <w:r w:rsidRPr="00AF0E8B">
        <w:rPr>
          <w:sz w:val="22"/>
        </w:rPr>
        <w:t xml:space="preserve">Accounting provides </w:t>
      </w:r>
      <w:r w:rsidRPr="00AF0E8B">
        <w:rPr>
          <w:b/>
          <w:sz w:val="22"/>
        </w:rPr>
        <w:t>reliable, relevant</w:t>
      </w:r>
      <w:r w:rsidRPr="00AF0E8B">
        <w:rPr>
          <w:sz w:val="22"/>
        </w:rPr>
        <w:t xml:space="preserve"> and </w:t>
      </w:r>
      <w:r w:rsidRPr="00AF0E8B">
        <w:rPr>
          <w:b/>
          <w:sz w:val="22"/>
        </w:rPr>
        <w:t>timely</w:t>
      </w:r>
      <w:r w:rsidRPr="00AF0E8B">
        <w:rPr>
          <w:sz w:val="22"/>
        </w:rPr>
        <w:t xml:space="preserve"> information to managers, investors, and creditors so that resources are allocated to the most efficient enterprises</w:t>
      </w:r>
    </w:p>
    <w:p w14:paraId="33A85682" w14:textId="77777777" w:rsidR="005014EA" w:rsidRPr="00AF0E8B" w:rsidRDefault="005014EA" w:rsidP="00AF0E8B">
      <w:pPr>
        <w:pStyle w:val="ListParagraph"/>
        <w:numPr>
          <w:ilvl w:val="0"/>
          <w:numId w:val="2"/>
        </w:numPr>
        <w:spacing w:line="276" w:lineRule="auto"/>
        <w:ind w:left="1080"/>
        <w:rPr>
          <w:sz w:val="22"/>
        </w:rPr>
      </w:pPr>
      <w:r w:rsidRPr="00AF0E8B">
        <w:rPr>
          <w:sz w:val="22"/>
        </w:rPr>
        <w:t>Accounting also provides measurements of efficiency (profitability) and financial soundness</w:t>
      </w:r>
    </w:p>
    <w:p w14:paraId="5C0B99A8" w14:textId="77777777" w:rsidR="005014EA" w:rsidRPr="00AF0E8B" w:rsidRDefault="005014EA" w:rsidP="00AF0E8B">
      <w:pPr>
        <w:pStyle w:val="ListParagraph"/>
        <w:numPr>
          <w:ilvl w:val="0"/>
          <w:numId w:val="1"/>
        </w:numPr>
        <w:spacing w:line="276" w:lineRule="auto"/>
        <w:ind w:left="360"/>
        <w:rPr>
          <w:b/>
          <w:color w:val="E36C0A" w:themeColor="accent6" w:themeShade="BF"/>
          <w:sz w:val="22"/>
        </w:rPr>
      </w:pPr>
      <w:r w:rsidRPr="00AF0E8B">
        <w:rPr>
          <w:b/>
          <w:color w:val="E36C0A" w:themeColor="accent6" w:themeShade="BF"/>
          <w:sz w:val="22"/>
        </w:rPr>
        <w:t>The meaning of “stakeholder” &amp; key stakeholders in financial reporting and what is at stake for each one</w:t>
      </w:r>
    </w:p>
    <w:p w14:paraId="4412B978" w14:textId="77777777" w:rsidR="005014EA" w:rsidRPr="00AF0E8B" w:rsidRDefault="005014EA" w:rsidP="00AF0E8B">
      <w:pPr>
        <w:pStyle w:val="ListParagraph"/>
        <w:numPr>
          <w:ilvl w:val="0"/>
          <w:numId w:val="3"/>
        </w:numPr>
        <w:spacing w:line="276" w:lineRule="auto"/>
        <w:ind w:left="1080"/>
        <w:rPr>
          <w:sz w:val="22"/>
        </w:rPr>
      </w:pPr>
      <w:r w:rsidRPr="00AF0E8B">
        <w:rPr>
          <w:b/>
          <w:sz w:val="22"/>
        </w:rPr>
        <w:t>Stakeholder</w:t>
      </w:r>
      <w:r w:rsidRPr="00AF0E8B">
        <w:rPr>
          <w:sz w:val="22"/>
        </w:rPr>
        <w:t>: parties who have something at risk in the financial reporting environment</w:t>
      </w:r>
    </w:p>
    <w:p w14:paraId="1D61F89A" w14:textId="77777777" w:rsidR="005014EA" w:rsidRPr="00AF0E8B" w:rsidRDefault="005014EA" w:rsidP="00AF0E8B">
      <w:pPr>
        <w:pStyle w:val="ListParagraph"/>
        <w:numPr>
          <w:ilvl w:val="1"/>
          <w:numId w:val="3"/>
        </w:numPr>
        <w:spacing w:line="276" w:lineRule="auto"/>
        <w:ind w:left="1800"/>
        <w:rPr>
          <w:sz w:val="22"/>
        </w:rPr>
      </w:pPr>
      <w:r w:rsidRPr="00AF0E8B">
        <w:rPr>
          <w:sz w:val="22"/>
        </w:rPr>
        <w:t>Anyone who prepares, relies on, reviews, audits, or monitors financial info</w:t>
      </w:r>
    </w:p>
    <w:p w14:paraId="528AF4C6" w14:textId="77777777" w:rsidR="005014EA" w:rsidRPr="00AF0E8B" w:rsidRDefault="005014EA" w:rsidP="00AF0E8B">
      <w:pPr>
        <w:pStyle w:val="ListParagraph"/>
        <w:numPr>
          <w:ilvl w:val="0"/>
          <w:numId w:val="3"/>
        </w:numPr>
        <w:spacing w:line="276" w:lineRule="auto"/>
        <w:ind w:left="1080"/>
        <w:rPr>
          <w:sz w:val="22"/>
        </w:rPr>
      </w:pPr>
      <w:r w:rsidRPr="00AF0E8B">
        <w:rPr>
          <w:sz w:val="22"/>
        </w:rPr>
        <w:t>Key stakeholders (traditional users of financial info):</w:t>
      </w:r>
    </w:p>
    <w:p w14:paraId="37DD3F0D" w14:textId="77777777" w:rsidR="005014EA" w:rsidRPr="00AF0E8B" w:rsidRDefault="005014EA" w:rsidP="00AF0E8B">
      <w:pPr>
        <w:pStyle w:val="ListParagraph"/>
        <w:numPr>
          <w:ilvl w:val="1"/>
          <w:numId w:val="3"/>
        </w:numPr>
        <w:spacing w:line="276" w:lineRule="auto"/>
        <w:ind w:left="1800"/>
        <w:rPr>
          <w:sz w:val="22"/>
        </w:rPr>
      </w:pPr>
      <w:r w:rsidRPr="00AF0E8B">
        <w:rPr>
          <w:sz w:val="22"/>
        </w:rPr>
        <w:t>Investors – investment</w:t>
      </w:r>
    </w:p>
    <w:p w14:paraId="3DC89783" w14:textId="77777777" w:rsidR="005014EA" w:rsidRPr="00AF0E8B" w:rsidRDefault="005014EA" w:rsidP="00AF0E8B">
      <w:pPr>
        <w:pStyle w:val="ListParagraph"/>
        <w:numPr>
          <w:ilvl w:val="1"/>
          <w:numId w:val="3"/>
        </w:numPr>
        <w:spacing w:line="276" w:lineRule="auto"/>
        <w:ind w:left="1800"/>
        <w:rPr>
          <w:sz w:val="22"/>
        </w:rPr>
      </w:pPr>
      <w:r w:rsidRPr="00AF0E8B">
        <w:rPr>
          <w:sz w:val="22"/>
        </w:rPr>
        <w:t>Creditors – loan</w:t>
      </w:r>
    </w:p>
    <w:p w14:paraId="5369427F" w14:textId="77777777" w:rsidR="005014EA" w:rsidRPr="00AF0E8B" w:rsidRDefault="005014EA" w:rsidP="00AF0E8B">
      <w:pPr>
        <w:pStyle w:val="ListParagraph"/>
        <w:numPr>
          <w:ilvl w:val="1"/>
          <w:numId w:val="3"/>
        </w:numPr>
        <w:spacing w:line="276" w:lineRule="auto"/>
        <w:ind w:left="1800"/>
        <w:rPr>
          <w:sz w:val="22"/>
        </w:rPr>
      </w:pPr>
      <w:r w:rsidRPr="00AF0E8B">
        <w:rPr>
          <w:sz w:val="22"/>
        </w:rPr>
        <w:t>Management – job, bonus, reputation, salary, access to capital markets by company</w:t>
      </w:r>
    </w:p>
    <w:p w14:paraId="0828EE0A" w14:textId="77777777" w:rsidR="005014EA" w:rsidRPr="00AF0E8B" w:rsidRDefault="005014EA" w:rsidP="00AF0E8B">
      <w:pPr>
        <w:pStyle w:val="ListParagraph"/>
        <w:numPr>
          <w:ilvl w:val="1"/>
          <w:numId w:val="3"/>
        </w:numPr>
        <w:spacing w:line="276" w:lineRule="auto"/>
        <w:ind w:left="1800"/>
        <w:rPr>
          <w:sz w:val="22"/>
        </w:rPr>
      </w:pPr>
      <w:r w:rsidRPr="00AF0E8B">
        <w:rPr>
          <w:sz w:val="22"/>
        </w:rPr>
        <w:t>Securities Commissions &amp; Stock Exchanges – reputation, effective and efficient capital marketplace</w:t>
      </w:r>
    </w:p>
    <w:p w14:paraId="25409854" w14:textId="77777777" w:rsidR="005014EA" w:rsidRPr="00AF0E8B" w:rsidRDefault="005014EA" w:rsidP="00AF0E8B">
      <w:pPr>
        <w:pStyle w:val="ListParagraph"/>
        <w:numPr>
          <w:ilvl w:val="1"/>
          <w:numId w:val="3"/>
        </w:numPr>
        <w:spacing w:line="276" w:lineRule="auto"/>
        <w:ind w:left="1800"/>
        <w:rPr>
          <w:sz w:val="22"/>
        </w:rPr>
      </w:pPr>
      <w:r w:rsidRPr="00AF0E8B">
        <w:rPr>
          <w:sz w:val="22"/>
        </w:rPr>
        <w:t>Analysts &amp; Credit Rating Agencies – reputation, profits</w:t>
      </w:r>
    </w:p>
    <w:p w14:paraId="3A2085D0" w14:textId="77777777" w:rsidR="005014EA" w:rsidRPr="00AF0E8B" w:rsidRDefault="005014EA" w:rsidP="00AF0E8B">
      <w:pPr>
        <w:pStyle w:val="ListParagraph"/>
        <w:numPr>
          <w:ilvl w:val="1"/>
          <w:numId w:val="3"/>
        </w:numPr>
        <w:spacing w:line="276" w:lineRule="auto"/>
        <w:ind w:left="1800"/>
        <w:rPr>
          <w:sz w:val="22"/>
        </w:rPr>
      </w:pPr>
      <w:r w:rsidRPr="00AF0E8B">
        <w:rPr>
          <w:sz w:val="22"/>
        </w:rPr>
        <w:t>Auditors – reputation, profits (companies are their clients)</w:t>
      </w:r>
    </w:p>
    <w:p w14:paraId="0CBA585A" w14:textId="1F677155" w:rsidR="005014EA" w:rsidRPr="00AF0E8B" w:rsidRDefault="005014EA" w:rsidP="00AF0E8B">
      <w:pPr>
        <w:pStyle w:val="ListParagraph"/>
        <w:numPr>
          <w:ilvl w:val="1"/>
          <w:numId w:val="3"/>
        </w:numPr>
        <w:spacing w:line="276" w:lineRule="auto"/>
        <w:ind w:left="1800"/>
        <w:rPr>
          <w:sz w:val="22"/>
        </w:rPr>
      </w:pPr>
      <w:r w:rsidRPr="00AF0E8B">
        <w:rPr>
          <w:sz w:val="22"/>
        </w:rPr>
        <w:t xml:space="preserve">Standard setters </w:t>
      </w:r>
      <w:r w:rsidR="00B547D7" w:rsidRPr="00AF0E8B">
        <w:rPr>
          <w:sz w:val="22"/>
        </w:rPr>
        <w:t xml:space="preserve">– </w:t>
      </w:r>
      <w:r w:rsidRPr="00AF0E8B">
        <w:rPr>
          <w:sz w:val="22"/>
        </w:rPr>
        <w:t>reputation</w:t>
      </w:r>
    </w:p>
    <w:p w14:paraId="08FDF676" w14:textId="1960E9C2" w:rsidR="004135A4" w:rsidRPr="00AF0E8B" w:rsidRDefault="004135A4" w:rsidP="00AF0E8B">
      <w:pPr>
        <w:pStyle w:val="ListParagraph"/>
        <w:numPr>
          <w:ilvl w:val="0"/>
          <w:numId w:val="1"/>
        </w:numPr>
        <w:spacing w:line="276" w:lineRule="auto"/>
        <w:ind w:left="360"/>
        <w:rPr>
          <w:b/>
          <w:color w:val="E36C0A" w:themeColor="accent6" w:themeShade="BF"/>
          <w:sz w:val="22"/>
        </w:rPr>
      </w:pPr>
      <w:r w:rsidRPr="00AF0E8B">
        <w:rPr>
          <w:b/>
          <w:color w:val="E36C0A" w:themeColor="accent6" w:themeShade="BF"/>
          <w:sz w:val="22"/>
        </w:rPr>
        <w:t>Objective of financial reporting</w:t>
      </w:r>
    </w:p>
    <w:p w14:paraId="0B89C317" w14:textId="10BEA2D8" w:rsidR="004135A4" w:rsidRPr="00AF0E8B" w:rsidRDefault="004135A4" w:rsidP="00AF0E8B">
      <w:pPr>
        <w:pStyle w:val="ListParagraph"/>
        <w:numPr>
          <w:ilvl w:val="0"/>
          <w:numId w:val="4"/>
        </w:numPr>
        <w:spacing w:line="276" w:lineRule="auto"/>
        <w:ind w:left="1080"/>
        <w:rPr>
          <w:sz w:val="22"/>
        </w:rPr>
      </w:pPr>
      <w:r w:rsidRPr="00AF0E8B">
        <w:rPr>
          <w:sz w:val="22"/>
        </w:rPr>
        <w:t>To communicate information that is useful to key decisions maker such as investors and creditors in making resource allocation decisions (including assessing</w:t>
      </w:r>
      <w:r w:rsidR="002203BB" w:rsidRPr="00AF0E8B">
        <w:rPr>
          <w:sz w:val="22"/>
        </w:rPr>
        <w:t xml:space="preserve"> management stewardship)</w:t>
      </w:r>
      <w:r w:rsidRPr="00AF0E8B">
        <w:rPr>
          <w:sz w:val="22"/>
        </w:rPr>
        <w:t xml:space="preserve"> about the resources and claims to resources of an entity and how these are changing</w:t>
      </w:r>
    </w:p>
    <w:p w14:paraId="5E606AFB" w14:textId="0EA6D90A" w:rsidR="00C43D49" w:rsidRPr="00AF0E8B" w:rsidRDefault="00C43D49" w:rsidP="00AF0E8B">
      <w:pPr>
        <w:pStyle w:val="ListParagraph"/>
        <w:numPr>
          <w:ilvl w:val="0"/>
          <w:numId w:val="1"/>
        </w:numPr>
        <w:spacing w:line="276" w:lineRule="auto"/>
        <w:ind w:left="360"/>
        <w:rPr>
          <w:b/>
          <w:color w:val="E36C0A" w:themeColor="accent6" w:themeShade="BF"/>
          <w:sz w:val="22"/>
        </w:rPr>
      </w:pPr>
      <w:r w:rsidRPr="00AF0E8B">
        <w:rPr>
          <w:b/>
          <w:color w:val="E36C0A" w:themeColor="accent6" w:themeShade="BF"/>
          <w:sz w:val="22"/>
        </w:rPr>
        <w:t>How information asymmetry and bias interfere with the objective of financial reporting</w:t>
      </w:r>
    </w:p>
    <w:p w14:paraId="332E34A8" w14:textId="2B12E970" w:rsidR="00C43D49" w:rsidRPr="00AF0E8B" w:rsidRDefault="00C43D49" w:rsidP="00AF0E8B">
      <w:pPr>
        <w:pStyle w:val="ListParagraph"/>
        <w:numPr>
          <w:ilvl w:val="0"/>
          <w:numId w:val="5"/>
        </w:numPr>
        <w:spacing w:line="276" w:lineRule="auto"/>
        <w:ind w:left="1080"/>
        <w:rPr>
          <w:sz w:val="22"/>
        </w:rPr>
      </w:pPr>
      <w:r w:rsidRPr="00AF0E8B">
        <w:rPr>
          <w:b/>
          <w:sz w:val="22"/>
        </w:rPr>
        <w:t xml:space="preserve">Information symmetry: </w:t>
      </w:r>
      <w:r w:rsidRPr="00AF0E8B">
        <w:rPr>
          <w:sz w:val="22"/>
        </w:rPr>
        <w:t>all stakeholders should have access to the same info in order to ensure that good decisions are made in the capital marketplace</w:t>
      </w:r>
    </w:p>
    <w:p w14:paraId="2E33015C" w14:textId="77777777" w:rsidR="00C43D49" w:rsidRPr="00AF0E8B" w:rsidRDefault="00C43D49" w:rsidP="00AF0E8B">
      <w:pPr>
        <w:pStyle w:val="ListParagraph"/>
        <w:numPr>
          <w:ilvl w:val="0"/>
          <w:numId w:val="5"/>
        </w:numPr>
        <w:spacing w:line="276" w:lineRule="auto"/>
        <w:ind w:left="1080"/>
        <w:rPr>
          <w:sz w:val="22"/>
        </w:rPr>
      </w:pPr>
      <w:r w:rsidRPr="00AF0E8B">
        <w:rPr>
          <w:sz w:val="22"/>
        </w:rPr>
        <w:t xml:space="preserve">Why </w:t>
      </w:r>
      <w:r w:rsidRPr="00AF0E8B">
        <w:rPr>
          <w:b/>
          <w:sz w:val="22"/>
        </w:rPr>
        <w:t xml:space="preserve">information asymmetry </w:t>
      </w:r>
      <w:r w:rsidRPr="00AF0E8B">
        <w:rPr>
          <w:sz w:val="22"/>
        </w:rPr>
        <w:t xml:space="preserve">exists: </w:t>
      </w:r>
    </w:p>
    <w:p w14:paraId="0F922FB4" w14:textId="75C7E18A" w:rsidR="00C43D49" w:rsidRPr="00AF0E8B" w:rsidRDefault="00C43D49" w:rsidP="00AF0E8B">
      <w:pPr>
        <w:pStyle w:val="ListParagraph"/>
        <w:numPr>
          <w:ilvl w:val="1"/>
          <w:numId w:val="5"/>
        </w:numPr>
        <w:spacing w:line="276" w:lineRule="auto"/>
        <w:ind w:left="1800"/>
        <w:rPr>
          <w:sz w:val="22"/>
        </w:rPr>
      </w:pPr>
      <w:r w:rsidRPr="00AF0E8B">
        <w:rPr>
          <w:sz w:val="22"/>
        </w:rPr>
        <w:t>Of necessity, management has access to more info so that it can run the company and they must ensure they don’t give away info that can harm the company, such as in a lawsuit, where disclosure might cause the company to lose</w:t>
      </w:r>
    </w:p>
    <w:p w14:paraId="1024510A" w14:textId="4F185752" w:rsidR="00C43D49" w:rsidRPr="00AF0E8B" w:rsidRDefault="00C43D49" w:rsidP="00AF0E8B">
      <w:pPr>
        <w:pStyle w:val="ListParagraph"/>
        <w:numPr>
          <w:ilvl w:val="1"/>
          <w:numId w:val="5"/>
        </w:numPr>
        <w:spacing w:line="276" w:lineRule="auto"/>
        <w:ind w:left="1800"/>
        <w:rPr>
          <w:sz w:val="22"/>
        </w:rPr>
      </w:pPr>
      <w:r w:rsidRPr="00AF0E8B">
        <w:rPr>
          <w:b/>
          <w:sz w:val="22"/>
        </w:rPr>
        <w:t xml:space="preserve">Moral hazard theory: </w:t>
      </w:r>
      <w:r w:rsidRPr="00AF0E8B">
        <w:rPr>
          <w:sz w:val="22"/>
          <w:u w:val="single"/>
        </w:rPr>
        <w:t>Management bias</w:t>
      </w:r>
      <w:r w:rsidRPr="00AF0E8B">
        <w:rPr>
          <w:sz w:val="22"/>
        </w:rPr>
        <w:t xml:space="preserve"> whereby management act in its own self-interest, such as wanting to maximize management bonuses</w:t>
      </w:r>
    </w:p>
    <w:p w14:paraId="2E0DF17F" w14:textId="77777777" w:rsidR="00C43D49" w:rsidRPr="00AF0E8B" w:rsidRDefault="00C43D49" w:rsidP="00AF0E8B">
      <w:pPr>
        <w:pStyle w:val="ListParagraph"/>
        <w:numPr>
          <w:ilvl w:val="0"/>
          <w:numId w:val="5"/>
        </w:numPr>
        <w:spacing w:line="276" w:lineRule="auto"/>
        <w:ind w:left="1080"/>
        <w:rPr>
          <w:sz w:val="22"/>
        </w:rPr>
      </w:pPr>
      <w:r w:rsidRPr="00AF0E8B">
        <w:rPr>
          <w:sz w:val="22"/>
        </w:rPr>
        <w:t>Information asymmetry may cause:</w:t>
      </w:r>
    </w:p>
    <w:p w14:paraId="1B5756F7" w14:textId="1472FAF3" w:rsidR="00C43D49" w:rsidRPr="00AF0E8B" w:rsidRDefault="00C43D49" w:rsidP="00AF0E8B">
      <w:pPr>
        <w:pStyle w:val="ListParagraph"/>
        <w:numPr>
          <w:ilvl w:val="1"/>
          <w:numId w:val="5"/>
        </w:numPr>
        <w:spacing w:line="276" w:lineRule="auto"/>
        <w:ind w:left="1800"/>
        <w:rPr>
          <w:sz w:val="22"/>
        </w:rPr>
      </w:pPr>
      <w:r w:rsidRPr="00AF0E8B">
        <w:rPr>
          <w:sz w:val="22"/>
        </w:rPr>
        <w:t>Capital markets to be less efficient</w:t>
      </w:r>
    </w:p>
    <w:p w14:paraId="73DABDA7" w14:textId="3D69ADD0" w:rsidR="00C43D49" w:rsidRPr="00AF0E8B" w:rsidRDefault="00C43D49" w:rsidP="00AF0E8B">
      <w:pPr>
        <w:pStyle w:val="ListParagraph"/>
        <w:numPr>
          <w:ilvl w:val="1"/>
          <w:numId w:val="5"/>
        </w:numPr>
        <w:spacing w:line="276" w:lineRule="auto"/>
        <w:ind w:left="1800"/>
        <w:rPr>
          <w:sz w:val="22"/>
        </w:rPr>
      </w:pPr>
      <w:r w:rsidRPr="00AF0E8B">
        <w:rPr>
          <w:sz w:val="22"/>
        </w:rPr>
        <w:t>Stock prices to be discounted or costs of capital to increase</w:t>
      </w:r>
    </w:p>
    <w:p w14:paraId="1A3DCBE6" w14:textId="6BFBCB8A" w:rsidR="00C43D49" w:rsidRPr="00AF0E8B" w:rsidRDefault="00C43D49" w:rsidP="00AF0E8B">
      <w:pPr>
        <w:pStyle w:val="ListParagraph"/>
        <w:numPr>
          <w:ilvl w:val="1"/>
          <w:numId w:val="5"/>
        </w:numPr>
        <w:spacing w:line="276" w:lineRule="auto"/>
        <w:ind w:left="1800"/>
        <w:rPr>
          <w:sz w:val="22"/>
        </w:rPr>
      </w:pPr>
      <w:r w:rsidRPr="00AF0E8B">
        <w:rPr>
          <w:sz w:val="22"/>
        </w:rPr>
        <w:t>Detract good companies from raising capital in the particular market where relevant info is not available (</w:t>
      </w:r>
      <w:r w:rsidRPr="00AF0E8B">
        <w:rPr>
          <w:b/>
          <w:sz w:val="22"/>
        </w:rPr>
        <w:t>adverse selection</w:t>
      </w:r>
      <w:r w:rsidRPr="00AF0E8B">
        <w:rPr>
          <w:sz w:val="22"/>
        </w:rPr>
        <w:t>)</w:t>
      </w:r>
    </w:p>
    <w:p w14:paraId="27C45394" w14:textId="31C728C3" w:rsidR="00BB17E0" w:rsidRPr="00AF0E8B" w:rsidRDefault="00BB17E0" w:rsidP="00AF0E8B">
      <w:pPr>
        <w:pStyle w:val="ListParagraph"/>
        <w:numPr>
          <w:ilvl w:val="0"/>
          <w:numId w:val="5"/>
        </w:numPr>
        <w:spacing w:line="276" w:lineRule="auto"/>
        <w:ind w:left="1080"/>
        <w:rPr>
          <w:sz w:val="22"/>
        </w:rPr>
      </w:pPr>
      <w:r w:rsidRPr="00AF0E8B">
        <w:rPr>
          <w:b/>
          <w:sz w:val="22"/>
        </w:rPr>
        <w:t>The efficient markets hypothesis</w:t>
      </w:r>
      <w:r w:rsidRPr="00AF0E8B">
        <w:rPr>
          <w:sz w:val="22"/>
        </w:rPr>
        <w:t xml:space="preserve"> is felt to exist only in a semi-strong form, meaning that only publicly available info is assimilated into stock prices</w:t>
      </w:r>
    </w:p>
    <w:p w14:paraId="322D8BCD" w14:textId="255AE86F" w:rsidR="00FA0B90" w:rsidRPr="00AF0E8B" w:rsidRDefault="00FA0B90" w:rsidP="00AF0E8B">
      <w:pPr>
        <w:pStyle w:val="ListParagraph"/>
        <w:numPr>
          <w:ilvl w:val="0"/>
          <w:numId w:val="5"/>
        </w:numPr>
        <w:spacing w:line="276" w:lineRule="auto"/>
        <w:ind w:left="1080"/>
        <w:rPr>
          <w:sz w:val="22"/>
        </w:rPr>
      </w:pPr>
      <w:r w:rsidRPr="00AF0E8B">
        <w:rPr>
          <w:b/>
          <w:sz w:val="22"/>
        </w:rPr>
        <w:t xml:space="preserve">Aggressive accounting </w:t>
      </w:r>
      <w:r w:rsidRPr="00AF0E8B">
        <w:rPr>
          <w:sz w:val="22"/>
        </w:rPr>
        <w:t>– when managers decide to downplay the negative and focus on the positive (in form of overstated assets and/or net income, understated liabilities and/or expenses, or carefully selected note disclosures that emphasize only positive events)</w:t>
      </w:r>
    </w:p>
    <w:p w14:paraId="2B93B0AF" w14:textId="76C99F0C" w:rsidR="00FA0B90" w:rsidRPr="00AF0E8B" w:rsidRDefault="00FA0B90" w:rsidP="00AF0E8B">
      <w:pPr>
        <w:pStyle w:val="ListParagraph"/>
        <w:numPr>
          <w:ilvl w:val="0"/>
          <w:numId w:val="5"/>
        </w:numPr>
        <w:spacing w:line="276" w:lineRule="auto"/>
        <w:ind w:left="1080"/>
        <w:rPr>
          <w:sz w:val="22"/>
        </w:rPr>
      </w:pPr>
      <w:r w:rsidRPr="00AF0E8B">
        <w:rPr>
          <w:b/>
          <w:sz w:val="22"/>
        </w:rPr>
        <w:t>Conservative accounting</w:t>
      </w:r>
      <w:r w:rsidRPr="00AF0E8B">
        <w:rPr>
          <w:sz w:val="22"/>
        </w:rPr>
        <w:t xml:space="preserve"> – opposite of aggressive accounting</w:t>
      </w:r>
    </w:p>
    <w:p w14:paraId="6AD4BB9E" w14:textId="4EC29CD3" w:rsidR="00DB6EFF" w:rsidRPr="00AF0E8B" w:rsidRDefault="00DB6EFF" w:rsidP="00AF0E8B">
      <w:pPr>
        <w:pStyle w:val="ListParagraph"/>
        <w:numPr>
          <w:ilvl w:val="0"/>
          <w:numId w:val="1"/>
        </w:numPr>
        <w:spacing w:line="276" w:lineRule="auto"/>
        <w:ind w:left="360"/>
        <w:rPr>
          <w:b/>
          <w:color w:val="E36C0A" w:themeColor="accent6" w:themeShade="BF"/>
          <w:sz w:val="22"/>
        </w:rPr>
      </w:pPr>
      <w:r w:rsidRPr="00AF0E8B">
        <w:rPr>
          <w:b/>
          <w:color w:val="E36C0A" w:themeColor="accent6" w:themeShade="BF"/>
          <w:sz w:val="22"/>
        </w:rPr>
        <w:t>The need for accounting standards</w:t>
      </w:r>
    </w:p>
    <w:p w14:paraId="723D12BD" w14:textId="08CD76A0" w:rsidR="00DB6EFF" w:rsidRPr="00AF0E8B" w:rsidRDefault="00DB6EFF" w:rsidP="00AF0E8B">
      <w:pPr>
        <w:pStyle w:val="ListParagraph"/>
        <w:numPr>
          <w:ilvl w:val="0"/>
          <w:numId w:val="6"/>
        </w:numPr>
        <w:spacing w:line="276" w:lineRule="auto"/>
        <w:ind w:left="1080"/>
        <w:rPr>
          <w:sz w:val="22"/>
        </w:rPr>
      </w:pPr>
      <w:r w:rsidRPr="00AF0E8B">
        <w:rPr>
          <w:b/>
          <w:sz w:val="22"/>
        </w:rPr>
        <w:t>GAAP (generally accepted accounting principles)</w:t>
      </w:r>
      <w:r w:rsidRPr="00AF0E8B">
        <w:rPr>
          <w:sz w:val="22"/>
        </w:rPr>
        <w:t>: a set of standards that is generally accepted and universally practiced</w:t>
      </w:r>
    </w:p>
    <w:p w14:paraId="57C239AE" w14:textId="46902A17" w:rsidR="00727C1A" w:rsidRPr="00AF0E8B" w:rsidRDefault="00727C1A" w:rsidP="00AF0E8B">
      <w:pPr>
        <w:pStyle w:val="ListParagraph"/>
        <w:numPr>
          <w:ilvl w:val="0"/>
          <w:numId w:val="6"/>
        </w:numPr>
        <w:spacing w:line="276" w:lineRule="auto"/>
        <w:ind w:left="1080"/>
        <w:rPr>
          <w:sz w:val="22"/>
        </w:rPr>
      </w:pPr>
      <w:r w:rsidRPr="00AF0E8B">
        <w:rPr>
          <w:sz w:val="22"/>
        </w:rPr>
        <w:t xml:space="preserve">Without this set of standards each enterprise would have to develop their own set of standards </w:t>
      </w:r>
      <w:r w:rsidR="00C57AAC" w:rsidRPr="00AF0E8B">
        <w:rPr>
          <w:sz w:val="22"/>
        </w:rPr>
        <w:t xml:space="preserve">and readers of financial statements would have to become familiar with every company’s particular </w:t>
      </w:r>
      <w:r w:rsidR="00C57AAC" w:rsidRPr="00AF0E8B">
        <w:rPr>
          <w:sz w:val="22"/>
        </w:rPr>
        <w:lastRenderedPageBreak/>
        <w:t xml:space="preserve">accounting and reporting practices which would make it almost impossible to </w:t>
      </w:r>
      <w:r w:rsidR="003673AC" w:rsidRPr="00AF0E8B">
        <w:rPr>
          <w:sz w:val="22"/>
        </w:rPr>
        <w:t>prepare statements that could be compared</w:t>
      </w:r>
    </w:p>
    <w:p w14:paraId="694992C3" w14:textId="519B1258" w:rsidR="003673AC" w:rsidRPr="00AF0E8B" w:rsidRDefault="003673AC" w:rsidP="00AF0E8B">
      <w:pPr>
        <w:pStyle w:val="ListParagraph"/>
        <w:numPr>
          <w:ilvl w:val="0"/>
          <w:numId w:val="6"/>
        </w:numPr>
        <w:spacing w:line="276" w:lineRule="auto"/>
        <w:ind w:left="1080"/>
        <w:rPr>
          <w:sz w:val="22"/>
        </w:rPr>
      </w:pPr>
      <w:r w:rsidRPr="00AF0E8B">
        <w:rPr>
          <w:sz w:val="22"/>
        </w:rPr>
        <w:t>Accounting standards help deal with the information asymmetry problem</w:t>
      </w:r>
    </w:p>
    <w:p w14:paraId="16BC51CE" w14:textId="0CF73D56" w:rsidR="003673AC" w:rsidRPr="00AF0E8B" w:rsidRDefault="003673AC" w:rsidP="00AF0E8B">
      <w:pPr>
        <w:pStyle w:val="ListParagraph"/>
        <w:numPr>
          <w:ilvl w:val="0"/>
          <w:numId w:val="1"/>
        </w:numPr>
        <w:spacing w:line="276" w:lineRule="auto"/>
        <w:ind w:left="360"/>
        <w:rPr>
          <w:b/>
          <w:color w:val="E36C0A" w:themeColor="accent6" w:themeShade="BF"/>
          <w:sz w:val="22"/>
        </w:rPr>
      </w:pPr>
      <w:r w:rsidRPr="00AF0E8B">
        <w:rPr>
          <w:b/>
          <w:color w:val="E36C0A" w:themeColor="accent6" w:themeShade="BF"/>
          <w:sz w:val="22"/>
        </w:rPr>
        <w:t>Major entities that influence the standard-setting process and how they influence financial reporting</w:t>
      </w:r>
    </w:p>
    <w:p w14:paraId="2A392697" w14:textId="1579103A" w:rsidR="003673AC" w:rsidRPr="00AF0E8B" w:rsidRDefault="003673AC" w:rsidP="00AF0E8B">
      <w:pPr>
        <w:pStyle w:val="ListParagraph"/>
        <w:numPr>
          <w:ilvl w:val="0"/>
          <w:numId w:val="7"/>
        </w:numPr>
        <w:spacing w:line="276" w:lineRule="auto"/>
        <w:ind w:left="1080"/>
        <w:rPr>
          <w:sz w:val="22"/>
        </w:rPr>
      </w:pPr>
      <w:r w:rsidRPr="00AF0E8B">
        <w:rPr>
          <w:b/>
          <w:sz w:val="22"/>
        </w:rPr>
        <w:t>The Canadian Accounting Standards Board (AcSB)</w:t>
      </w:r>
      <w:r w:rsidRPr="00AF0E8B">
        <w:rPr>
          <w:sz w:val="22"/>
        </w:rPr>
        <w:t>: the main standard-setting body in Canada for private companies, pension plans, and not-for-profit organizations. Its mandate comes from the Canada Business Corporations Act and Regulations as well as provincial acts of incorporation.</w:t>
      </w:r>
    </w:p>
    <w:p w14:paraId="77FA11A4" w14:textId="01283488" w:rsidR="00B42EE6" w:rsidRPr="00AF0E8B" w:rsidRDefault="00B42EE6" w:rsidP="00AF0E8B">
      <w:pPr>
        <w:pStyle w:val="ListParagraph"/>
        <w:numPr>
          <w:ilvl w:val="0"/>
          <w:numId w:val="7"/>
        </w:numPr>
        <w:spacing w:line="276" w:lineRule="auto"/>
        <w:ind w:left="1080"/>
        <w:rPr>
          <w:sz w:val="22"/>
        </w:rPr>
      </w:pPr>
      <w:r w:rsidRPr="00AF0E8B">
        <w:rPr>
          <w:b/>
          <w:sz w:val="22"/>
        </w:rPr>
        <w:t>The International Accounting Standards Board:</w:t>
      </w:r>
      <w:r w:rsidRPr="00AF0E8B">
        <w:rPr>
          <w:sz w:val="22"/>
        </w:rPr>
        <w:t xml:space="preserve"> established IFRS for public companies</w:t>
      </w:r>
    </w:p>
    <w:p w14:paraId="22E2C721" w14:textId="77777777" w:rsidR="00B42EE6" w:rsidRPr="00AF0E8B" w:rsidRDefault="00B42EE6" w:rsidP="00AF0E8B">
      <w:pPr>
        <w:pStyle w:val="ListParagraph"/>
        <w:numPr>
          <w:ilvl w:val="0"/>
          <w:numId w:val="7"/>
        </w:numPr>
        <w:spacing w:line="276" w:lineRule="auto"/>
        <w:ind w:left="1080"/>
        <w:rPr>
          <w:sz w:val="22"/>
        </w:rPr>
      </w:pPr>
      <w:r w:rsidRPr="00AF0E8B">
        <w:rPr>
          <w:b/>
          <w:sz w:val="22"/>
        </w:rPr>
        <w:t>International Financial Reporting Standards (IFRS):</w:t>
      </w:r>
      <w:r w:rsidRPr="00AF0E8B">
        <w:rPr>
          <w:sz w:val="22"/>
        </w:rPr>
        <w:t xml:space="preserve"> public companies’ GAAP that public companies must follow in order to access capital markets</w:t>
      </w:r>
    </w:p>
    <w:p w14:paraId="5850EAF4" w14:textId="3351D312" w:rsidR="00B42EE6" w:rsidRPr="00AF0E8B" w:rsidRDefault="00B42EE6" w:rsidP="00AF0E8B">
      <w:pPr>
        <w:pStyle w:val="ListParagraph"/>
        <w:numPr>
          <w:ilvl w:val="0"/>
          <w:numId w:val="7"/>
        </w:numPr>
        <w:spacing w:line="276" w:lineRule="auto"/>
        <w:ind w:left="1080"/>
        <w:rPr>
          <w:sz w:val="22"/>
        </w:rPr>
      </w:pPr>
      <w:r w:rsidRPr="00AF0E8B">
        <w:rPr>
          <w:b/>
          <w:sz w:val="22"/>
        </w:rPr>
        <w:t>Provincial securities commissions</w:t>
      </w:r>
      <w:r w:rsidRPr="00AF0E8B">
        <w:rPr>
          <w:sz w:val="22"/>
        </w:rPr>
        <w:t xml:space="preserve">: monitor the access to capital markets by public companies and require public companies to use IFRS in order to access capital markets </w:t>
      </w:r>
    </w:p>
    <w:p w14:paraId="6EDD1A96" w14:textId="441EC206" w:rsidR="00B42EE6" w:rsidRPr="00AF0E8B" w:rsidRDefault="00B42EE6" w:rsidP="00AF0E8B">
      <w:pPr>
        <w:pStyle w:val="ListParagraph"/>
        <w:numPr>
          <w:ilvl w:val="0"/>
          <w:numId w:val="7"/>
        </w:numPr>
        <w:spacing w:line="276" w:lineRule="auto"/>
        <w:ind w:left="1080"/>
        <w:rPr>
          <w:sz w:val="22"/>
        </w:rPr>
      </w:pPr>
      <w:r w:rsidRPr="00AF0E8B">
        <w:rPr>
          <w:b/>
          <w:sz w:val="22"/>
        </w:rPr>
        <w:t xml:space="preserve">The Financial Accounting Standards Board (FASB): </w:t>
      </w:r>
      <w:r w:rsidRPr="00AF0E8B">
        <w:rPr>
          <w:sz w:val="22"/>
        </w:rPr>
        <w:t>influences IFRS standard setting</w:t>
      </w:r>
    </w:p>
    <w:p w14:paraId="4CBB2F9F" w14:textId="658852CC" w:rsidR="00B42EE6" w:rsidRPr="00AF0E8B" w:rsidRDefault="00B42EE6" w:rsidP="00AF0E8B">
      <w:pPr>
        <w:pStyle w:val="ListParagraph"/>
        <w:numPr>
          <w:ilvl w:val="0"/>
          <w:numId w:val="7"/>
        </w:numPr>
        <w:spacing w:line="276" w:lineRule="auto"/>
        <w:ind w:left="1080"/>
        <w:rPr>
          <w:sz w:val="22"/>
        </w:rPr>
      </w:pPr>
      <w:r w:rsidRPr="00AF0E8B">
        <w:rPr>
          <w:sz w:val="22"/>
        </w:rPr>
        <w:t xml:space="preserve">Private companies may choose to use IFRS (especially if planning to go get access to capital markets eventually) </w:t>
      </w:r>
    </w:p>
    <w:p w14:paraId="6B1D7E6F" w14:textId="5EF5CA5B" w:rsidR="00B42EE6" w:rsidRPr="00AF0E8B" w:rsidRDefault="00B42EE6" w:rsidP="00AF0E8B">
      <w:pPr>
        <w:pStyle w:val="ListParagraph"/>
        <w:numPr>
          <w:ilvl w:val="0"/>
          <w:numId w:val="7"/>
        </w:numPr>
        <w:spacing w:line="276" w:lineRule="auto"/>
        <w:ind w:left="1080"/>
        <w:rPr>
          <w:sz w:val="22"/>
        </w:rPr>
      </w:pPr>
      <w:r w:rsidRPr="00AF0E8B">
        <w:rPr>
          <w:sz w:val="22"/>
        </w:rPr>
        <w:t>Public companies that list on the U.S. stock exchange may choose to follow U.S. GAAP</w:t>
      </w:r>
    </w:p>
    <w:p w14:paraId="64384D2E" w14:textId="2F635454" w:rsidR="00B42EE6" w:rsidRPr="00AF0E8B" w:rsidRDefault="00C04EAB" w:rsidP="00AF0E8B">
      <w:pPr>
        <w:pStyle w:val="ListParagraph"/>
        <w:numPr>
          <w:ilvl w:val="0"/>
          <w:numId w:val="1"/>
        </w:numPr>
        <w:spacing w:line="276" w:lineRule="auto"/>
        <w:ind w:left="360"/>
        <w:rPr>
          <w:b/>
          <w:color w:val="E36C0A" w:themeColor="accent6" w:themeShade="BF"/>
          <w:sz w:val="22"/>
        </w:rPr>
      </w:pPr>
      <w:r w:rsidRPr="00AF0E8B">
        <w:rPr>
          <w:b/>
          <w:color w:val="E36C0A" w:themeColor="accent6" w:themeShade="BF"/>
          <w:sz w:val="22"/>
        </w:rPr>
        <w:t xml:space="preserve">&amp; 8. </w:t>
      </w:r>
      <w:r w:rsidRPr="00AF0E8B">
        <w:rPr>
          <w:b/>
          <w:color w:val="E36C0A" w:themeColor="accent6" w:themeShade="BF"/>
          <w:sz w:val="22"/>
        </w:rPr>
        <w:tab/>
      </w:r>
      <w:r w:rsidR="00B42EE6" w:rsidRPr="00AF0E8B">
        <w:rPr>
          <w:b/>
          <w:color w:val="E36C0A" w:themeColor="accent6" w:themeShade="BF"/>
          <w:sz w:val="22"/>
        </w:rPr>
        <w:t>The meaning of GAAP (Generally Accepted Accounting Principles)</w:t>
      </w:r>
      <w:r w:rsidRPr="00AF0E8B">
        <w:rPr>
          <w:b/>
          <w:color w:val="E36C0A" w:themeColor="accent6" w:themeShade="BF"/>
          <w:sz w:val="22"/>
        </w:rPr>
        <w:t xml:space="preserve"> &amp; the significance of professional judgment in applying GAAP</w:t>
      </w:r>
    </w:p>
    <w:p w14:paraId="2DD2E53F" w14:textId="211EA1E2" w:rsidR="00B42EE6" w:rsidRPr="00AF0E8B" w:rsidRDefault="00C04EAB" w:rsidP="00AF0E8B">
      <w:pPr>
        <w:pStyle w:val="ListParagraph"/>
        <w:numPr>
          <w:ilvl w:val="0"/>
          <w:numId w:val="8"/>
        </w:numPr>
        <w:spacing w:line="276" w:lineRule="auto"/>
        <w:ind w:left="1080"/>
        <w:rPr>
          <w:sz w:val="22"/>
        </w:rPr>
      </w:pPr>
      <w:r w:rsidRPr="00AF0E8B">
        <w:rPr>
          <w:sz w:val="22"/>
        </w:rPr>
        <w:t xml:space="preserve">Either principles that have substantial authoritative support, such as the </w:t>
      </w:r>
      <w:r w:rsidRPr="00AF0E8B">
        <w:rPr>
          <w:i/>
          <w:sz w:val="22"/>
        </w:rPr>
        <w:t>CICA Handbook</w:t>
      </w:r>
      <w:r w:rsidRPr="00AF0E8B">
        <w:rPr>
          <w:sz w:val="22"/>
        </w:rPr>
        <w:t xml:space="preserve">, or those arrived at through the use of </w:t>
      </w:r>
      <w:r w:rsidRPr="00AF0E8B">
        <w:rPr>
          <w:b/>
          <w:sz w:val="22"/>
        </w:rPr>
        <w:t>professional judgment</w:t>
      </w:r>
      <w:r w:rsidRPr="00AF0E8B">
        <w:rPr>
          <w:sz w:val="22"/>
        </w:rPr>
        <w:t xml:space="preserve"> and the conceptual framework</w:t>
      </w:r>
    </w:p>
    <w:p w14:paraId="10A6D689" w14:textId="5EAD0033" w:rsidR="00C04EAB" w:rsidRPr="00AF0E8B" w:rsidRDefault="00C04EAB" w:rsidP="00AF0E8B">
      <w:pPr>
        <w:pStyle w:val="ListParagraph"/>
        <w:numPr>
          <w:ilvl w:val="0"/>
          <w:numId w:val="8"/>
        </w:numPr>
        <w:spacing w:line="276" w:lineRule="auto"/>
        <w:ind w:left="1080"/>
        <w:rPr>
          <w:sz w:val="22"/>
        </w:rPr>
      </w:pPr>
      <w:r w:rsidRPr="00AF0E8B">
        <w:rPr>
          <w:b/>
          <w:sz w:val="22"/>
        </w:rPr>
        <w:t xml:space="preserve">Professional judgment </w:t>
      </w:r>
      <w:r w:rsidRPr="00AF0E8B">
        <w:rPr>
          <w:sz w:val="22"/>
        </w:rPr>
        <w:t xml:space="preserve">plays an important role in </w:t>
      </w:r>
      <w:r w:rsidRPr="00AF0E8B">
        <w:rPr>
          <w:b/>
          <w:sz w:val="22"/>
        </w:rPr>
        <w:t>Accounting Standards for Private Enterprises (ASPE)</w:t>
      </w:r>
      <w:r w:rsidRPr="00AF0E8B">
        <w:rPr>
          <w:sz w:val="22"/>
        </w:rPr>
        <w:t xml:space="preserve"> and IFRS since much of GAAP is based on general principles, which need to be interpreted</w:t>
      </w:r>
    </w:p>
    <w:p w14:paraId="3DA42F07" w14:textId="2FBB554D" w:rsidR="00C04EAB" w:rsidRPr="00AF0E8B" w:rsidRDefault="00C04EAB" w:rsidP="00AF0E8B">
      <w:pPr>
        <w:pStyle w:val="ListParagraph"/>
        <w:numPr>
          <w:ilvl w:val="0"/>
          <w:numId w:val="9"/>
        </w:numPr>
        <w:spacing w:line="276" w:lineRule="auto"/>
        <w:ind w:left="360"/>
        <w:rPr>
          <w:b/>
          <w:color w:val="E36C0A" w:themeColor="accent6" w:themeShade="BF"/>
          <w:sz w:val="22"/>
        </w:rPr>
      </w:pPr>
      <w:r w:rsidRPr="00AF0E8B">
        <w:rPr>
          <w:b/>
          <w:color w:val="E36C0A" w:themeColor="accent6" w:themeShade="BF"/>
          <w:sz w:val="22"/>
        </w:rPr>
        <w:t>Challenges and Opportunities of Accounting</w:t>
      </w:r>
    </w:p>
    <w:p w14:paraId="11949C4F" w14:textId="7782E1E1" w:rsidR="00C04EAB" w:rsidRPr="00AF0E8B" w:rsidRDefault="00C04EAB" w:rsidP="00AF0E8B">
      <w:pPr>
        <w:pStyle w:val="ListParagraph"/>
        <w:numPr>
          <w:ilvl w:val="0"/>
          <w:numId w:val="10"/>
        </w:numPr>
        <w:spacing w:line="276" w:lineRule="auto"/>
        <w:ind w:left="1080"/>
        <w:rPr>
          <w:sz w:val="22"/>
        </w:rPr>
      </w:pPr>
      <w:r w:rsidRPr="00AF0E8B">
        <w:rPr>
          <w:sz w:val="22"/>
        </w:rPr>
        <w:t>Challenges: oversight in the capital markets, centrality of ethics, standard setting in a political environment, principles-based versus rules-based standard setting, the impact of technology, and integrated reporting</w:t>
      </w:r>
    </w:p>
    <w:p w14:paraId="3993C001" w14:textId="158187B6" w:rsidR="00051A77" w:rsidRPr="00AF0E8B" w:rsidRDefault="00C04EAB" w:rsidP="00AF0E8B">
      <w:pPr>
        <w:pStyle w:val="ListParagraph"/>
        <w:numPr>
          <w:ilvl w:val="1"/>
          <w:numId w:val="10"/>
        </w:numPr>
        <w:spacing w:line="276" w:lineRule="auto"/>
        <w:ind w:left="1800"/>
        <w:rPr>
          <w:sz w:val="22"/>
        </w:rPr>
      </w:pPr>
      <w:r w:rsidRPr="00AF0E8B">
        <w:rPr>
          <w:sz w:val="22"/>
        </w:rPr>
        <w:t>All of these require the accounting profession to continue to strive for excellence and to understand how accounting adds value in the capital marketplace</w:t>
      </w:r>
    </w:p>
    <w:p w14:paraId="0E039DCB" w14:textId="2DA61510" w:rsidR="00051A77" w:rsidRPr="00AF0E8B" w:rsidRDefault="00051A77" w:rsidP="00AF0E8B">
      <w:pPr>
        <w:spacing w:line="276" w:lineRule="auto"/>
        <w:rPr>
          <w:b/>
          <w:color w:val="660066"/>
          <w:u w:val="single"/>
        </w:rPr>
      </w:pPr>
      <w:r w:rsidRPr="00AF0E8B">
        <w:rPr>
          <w:b/>
          <w:color w:val="660066"/>
          <w:u w:val="single"/>
        </w:rPr>
        <w:t>Chapter 2</w:t>
      </w:r>
    </w:p>
    <w:p w14:paraId="4F9E7BE3" w14:textId="324B7405" w:rsidR="00051A77" w:rsidRPr="00AF0E8B" w:rsidRDefault="00051A77" w:rsidP="00AF0E8B">
      <w:pPr>
        <w:pStyle w:val="ListParagraph"/>
        <w:numPr>
          <w:ilvl w:val="0"/>
          <w:numId w:val="11"/>
        </w:numPr>
        <w:spacing w:line="276" w:lineRule="auto"/>
        <w:ind w:left="360"/>
        <w:rPr>
          <w:b/>
          <w:color w:val="E36C0A" w:themeColor="accent6" w:themeShade="BF"/>
          <w:sz w:val="22"/>
        </w:rPr>
      </w:pPr>
      <w:r w:rsidRPr="00AF0E8B">
        <w:rPr>
          <w:b/>
          <w:color w:val="E36C0A" w:themeColor="accent6" w:themeShade="BF"/>
          <w:sz w:val="22"/>
        </w:rPr>
        <w:t>Usefulness and main components of a conceptual framework for financial reporting</w:t>
      </w:r>
    </w:p>
    <w:p w14:paraId="5DA150F2" w14:textId="2541965D" w:rsidR="00C04EAB" w:rsidRPr="00AF0E8B" w:rsidRDefault="00051A77" w:rsidP="00AF0E8B">
      <w:pPr>
        <w:pStyle w:val="ListParagraph"/>
        <w:numPr>
          <w:ilvl w:val="0"/>
          <w:numId w:val="12"/>
        </w:numPr>
        <w:spacing w:line="276" w:lineRule="auto"/>
        <w:ind w:left="1080"/>
        <w:rPr>
          <w:sz w:val="22"/>
        </w:rPr>
      </w:pPr>
      <w:r w:rsidRPr="00AF0E8B">
        <w:rPr>
          <w:sz w:val="22"/>
        </w:rPr>
        <w:t>A conceptual framework is needed to (1) create standards that build on an established body of concepts and objectives, (2) provide a framework for solving new and emerging practical problems, (3) increase financial statement users’ understanding of and confidence in financial reporting, and (4) enhance comparability among different companies</w:t>
      </w:r>
      <w:r w:rsidR="002B18DF" w:rsidRPr="00AF0E8B">
        <w:rPr>
          <w:sz w:val="22"/>
        </w:rPr>
        <w:t>’ financial statements</w:t>
      </w:r>
    </w:p>
    <w:p w14:paraId="0429B913" w14:textId="53E22DA3" w:rsidR="00CB4B8A" w:rsidRPr="00AF0E8B" w:rsidRDefault="00CB4B8A" w:rsidP="00AF0E8B">
      <w:pPr>
        <w:pStyle w:val="ListParagraph"/>
        <w:numPr>
          <w:ilvl w:val="0"/>
          <w:numId w:val="12"/>
        </w:numPr>
        <w:spacing w:line="276" w:lineRule="auto"/>
        <w:ind w:left="1080"/>
        <w:rPr>
          <w:sz w:val="22"/>
        </w:rPr>
      </w:pPr>
      <w:r w:rsidRPr="00AF0E8B">
        <w:rPr>
          <w:sz w:val="22"/>
        </w:rPr>
        <w:t xml:space="preserve">The first level deals with the </w:t>
      </w:r>
      <w:r w:rsidRPr="00AF0E8B">
        <w:rPr>
          <w:b/>
          <w:sz w:val="22"/>
        </w:rPr>
        <w:t>objective</w:t>
      </w:r>
      <w:r w:rsidRPr="00AF0E8B">
        <w:rPr>
          <w:sz w:val="22"/>
        </w:rPr>
        <w:t xml:space="preserve"> of financial reporting</w:t>
      </w:r>
      <w:r w:rsidR="007D13AB" w:rsidRPr="00AF0E8B">
        <w:rPr>
          <w:sz w:val="22"/>
        </w:rPr>
        <w:t xml:space="preserve"> – the “why”</w:t>
      </w:r>
    </w:p>
    <w:p w14:paraId="345F5D18" w14:textId="2CF026DF" w:rsidR="00CB4B8A" w:rsidRPr="00AF0E8B" w:rsidRDefault="00CB4B8A" w:rsidP="00AF0E8B">
      <w:pPr>
        <w:pStyle w:val="ListParagraph"/>
        <w:numPr>
          <w:ilvl w:val="0"/>
          <w:numId w:val="12"/>
        </w:numPr>
        <w:spacing w:line="276" w:lineRule="auto"/>
        <w:ind w:left="1080"/>
        <w:rPr>
          <w:sz w:val="22"/>
        </w:rPr>
      </w:pPr>
      <w:r w:rsidRPr="00AF0E8B">
        <w:rPr>
          <w:sz w:val="22"/>
        </w:rPr>
        <w:t xml:space="preserve">The second level includes </w:t>
      </w:r>
      <w:r w:rsidRPr="00AF0E8B">
        <w:rPr>
          <w:b/>
          <w:sz w:val="22"/>
        </w:rPr>
        <w:t>qualitative characteristics</w:t>
      </w:r>
      <w:r w:rsidRPr="00AF0E8B">
        <w:rPr>
          <w:sz w:val="22"/>
        </w:rPr>
        <w:t xml:space="preserve"> of useful info and </w:t>
      </w:r>
      <w:r w:rsidRPr="00AF0E8B">
        <w:rPr>
          <w:b/>
          <w:sz w:val="22"/>
        </w:rPr>
        <w:t>elements of financial statements</w:t>
      </w:r>
      <w:r w:rsidR="007D13AB" w:rsidRPr="00AF0E8B">
        <w:rPr>
          <w:sz w:val="22"/>
        </w:rPr>
        <w:t xml:space="preserve"> – bridge between levels 1 and 2</w:t>
      </w:r>
    </w:p>
    <w:p w14:paraId="0ECE9A5F" w14:textId="4864A87F" w:rsidR="00CB4B8A" w:rsidRPr="00AF0E8B" w:rsidRDefault="00CB4B8A" w:rsidP="00AF0E8B">
      <w:pPr>
        <w:pStyle w:val="ListParagraph"/>
        <w:numPr>
          <w:ilvl w:val="0"/>
          <w:numId w:val="12"/>
        </w:numPr>
        <w:spacing w:line="276" w:lineRule="auto"/>
        <w:ind w:left="1080"/>
        <w:rPr>
          <w:sz w:val="22"/>
        </w:rPr>
      </w:pPr>
      <w:r w:rsidRPr="00AF0E8B">
        <w:rPr>
          <w:sz w:val="22"/>
        </w:rPr>
        <w:t xml:space="preserve">The third level includes </w:t>
      </w:r>
      <w:r w:rsidRPr="00AF0E8B">
        <w:rPr>
          <w:b/>
          <w:sz w:val="22"/>
        </w:rPr>
        <w:t>foundational principles</w:t>
      </w:r>
      <w:r w:rsidRPr="00AF0E8B">
        <w:rPr>
          <w:sz w:val="22"/>
        </w:rPr>
        <w:t xml:space="preserve"> and conventions</w:t>
      </w:r>
      <w:r w:rsidR="007D13AB" w:rsidRPr="00AF0E8B">
        <w:rPr>
          <w:sz w:val="22"/>
        </w:rPr>
        <w:t xml:space="preserve"> – the “how”</w:t>
      </w:r>
    </w:p>
    <w:p w14:paraId="7CBCE665" w14:textId="674CB0DB" w:rsidR="00CB4B8A" w:rsidRPr="00AF0E8B" w:rsidRDefault="00CB4B8A" w:rsidP="00AF0E8B">
      <w:pPr>
        <w:pStyle w:val="ListParagraph"/>
        <w:numPr>
          <w:ilvl w:val="0"/>
          <w:numId w:val="11"/>
        </w:numPr>
        <w:spacing w:line="276" w:lineRule="auto"/>
        <w:ind w:left="360"/>
        <w:rPr>
          <w:b/>
          <w:color w:val="E36C0A" w:themeColor="accent6" w:themeShade="BF"/>
          <w:sz w:val="22"/>
        </w:rPr>
      </w:pPr>
      <w:r w:rsidRPr="00AF0E8B">
        <w:rPr>
          <w:b/>
          <w:color w:val="E36C0A" w:themeColor="accent6" w:themeShade="BF"/>
          <w:sz w:val="22"/>
        </w:rPr>
        <w:t>Qualitative characteristics of accounting information</w:t>
      </w:r>
    </w:p>
    <w:p w14:paraId="25FE3AD1" w14:textId="6FAA6EA7" w:rsidR="00CB4B8A" w:rsidRPr="00AF0E8B" w:rsidRDefault="007D13AB" w:rsidP="00AF0E8B">
      <w:pPr>
        <w:pStyle w:val="ListParagraph"/>
        <w:numPr>
          <w:ilvl w:val="0"/>
          <w:numId w:val="12"/>
        </w:numPr>
        <w:spacing w:line="276" w:lineRule="auto"/>
        <w:ind w:left="1080"/>
        <w:rPr>
          <w:sz w:val="22"/>
        </w:rPr>
      </w:pPr>
      <w:r w:rsidRPr="00AF0E8B">
        <w:rPr>
          <w:sz w:val="22"/>
        </w:rPr>
        <w:t xml:space="preserve">The overriding criterion by which accounting choices can be judged is </w:t>
      </w:r>
      <w:r w:rsidRPr="00AF0E8B">
        <w:rPr>
          <w:b/>
          <w:sz w:val="22"/>
        </w:rPr>
        <w:t>decision usefulness</w:t>
      </w:r>
      <w:r w:rsidRPr="00AF0E8B">
        <w:rPr>
          <w:sz w:val="22"/>
        </w:rPr>
        <w:t>; that is, the goal is to provide the info that is the most useful for decision-making</w:t>
      </w:r>
    </w:p>
    <w:p w14:paraId="7863E198" w14:textId="6B4A5054" w:rsidR="007D13AB" w:rsidRPr="00AF0E8B" w:rsidRDefault="007D13AB" w:rsidP="00AF0E8B">
      <w:pPr>
        <w:pStyle w:val="ListParagraph"/>
        <w:numPr>
          <w:ilvl w:val="0"/>
          <w:numId w:val="12"/>
        </w:numPr>
        <w:spacing w:line="276" w:lineRule="auto"/>
        <w:ind w:left="1080"/>
        <w:rPr>
          <w:sz w:val="22"/>
        </w:rPr>
      </w:pPr>
      <w:r w:rsidRPr="00AF0E8B">
        <w:rPr>
          <w:sz w:val="22"/>
        </w:rPr>
        <w:t>Fundamental characteristics (2 characteristics that MUST be present):</w:t>
      </w:r>
    </w:p>
    <w:p w14:paraId="2AD277D6" w14:textId="0C6FABF3" w:rsidR="007D13AB" w:rsidRPr="00AF0E8B" w:rsidRDefault="007D13AB" w:rsidP="00AF0E8B">
      <w:pPr>
        <w:pStyle w:val="ListParagraph"/>
        <w:numPr>
          <w:ilvl w:val="1"/>
          <w:numId w:val="12"/>
        </w:numPr>
        <w:spacing w:line="276" w:lineRule="auto"/>
        <w:ind w:left="1800"/>
        <w:rPr>
          <w:b/>
          <w:sz w:val="22"/>
        </w:rPr>
      </w:pPr>
      <w:r w:rsidRPr="00AF0E8B">
        <w:rPr>
          <w:b/>
          <w:sz w:val="22"/>
        </w:rPr>
        <w:t>Relevance</w:t>
      </w:r>
    </w:p>
    <w:p w14:paraId="6B43A3E8" w14:textId="7A0C42BA" w:rsidR="007D13AB" w:rsidRPr="00AF0E8B" w:rsidRDefault="007D13AB" w:rsidP="00AF0E8B">
      <w:pPr>
        <w:pStyle w:val="ListParagraph"/>
        <w:numPr>
          <w:ilvl w:val="1"/>
          <w:numId w:val="12"/>
        </w:numPr>
        <w:spacing w:line="276" w:lineRule="auto"/>
        <w:ind w:left="1800"/>
        <w:rPr>
          <w:b/>
          <w:sz w:val="22"/>
        </w:rPr>
      </w:pPr>
      <w:r w:rsidRPr="00AF0E8B">
        <w:rPr>
          <w:b/>
          <w:sz w:val="22"/>
        </w:rPr>
        <w:t>Representational faithfulness</w:t>
      </w:r>
    </w:p>
    <w:p w14:paraId="1CF883F4" w14:textId="1C59DF5B" w:rsidR="007D13AB" w:rsidRPr="00AF0E8B" w:rsidRDefault="007D13AB" w:rsidP="00AF0E8B">
      <w:pPr>
        <w:pStyle w:val="ListParagraph"/>
        <w:numPr>
          <w:ilvl w:val="0"/>
          <w:numId w:val="12"/>
        </w:numPr>
        <w:spacing w:line="276" w:lineRule="auto"/>
        <w:ind w:left="1080"/>
        <w:rPr>
          <w:b/>
          <w:sz w:val="22"/>
        </w:rPr>
      </w:pPr>
      <w:r w:rsidRPr="00AF0E8B">
        <w:rPr>
          <w:sz w:val="22"/>
        </w:rPr>
        <w:t xml:space="preserve">Enhancing Characteristics (may be trade-offs): </w:t>
      </w:r>
    </w:p>
    <w:p w14:paraId="20550022" w14:textId="4F3137D2" w:rsidR="007D13AB" w:rsidRPr="00AF0E8B" w:rsidRDefault="007D13AB" w:rsidP="00AF0E8B">
      <w:pPr>
        <w:pStyle w:val="ListParagraph"/>
        <w:numPr>
          <w:ilvl w:val="1"/>
          <w:numId w:val="12"/>
        </w:numPr>
        <w:spacing w:line="276" w:lineRule="auto"/>
        <w:ind w:left="1800"/>
        <w:rPr>
          <w:b/>
          <w:sz w:val="22"/>
        </w:rPr>
      </w:pPr>
      <w:r w:rsidRPr="00AF0E8B">
        <w:rPr>
          <w:b/>
          <w:sz w:val="22"/>
        </w:rPr>
        <w:t>Comparability</w:t>
      </w:r>
    </w:p>
    <w:p w14:paraId="3873F656" w14:textId="6CEF498E" w:rsidR="007D13AB" w:rsidRPr="00AF0E8B" w:rsidRDefault="007D13AB" w:rsidP="00AF0E8B">
      <w:pPr>
        <w:pStyle w:val="ListParagraph"/>
        <w:numPr>
          <w:ilvl w:val="1"/>
          <w:numId w:val="12"/>
        </w:numPr>
        <w:spacing w:line="276" w:lineRule="auto"/>
        <w:ind w:left="1800"/>
        <w:rPr>
          <w:b/>
          <w:sz w:val="22"/>
        </w:rPr>
      </w:pPr>
      <w:r w:rsidRPr="00AF0E8B">
        <w:rPr>
          <w:b/>
          <w:sz w:val="22"/>
        </w:rPr>
        <w:t>Verifiability</w:t>
      </w:r>
    </w:p>
    <w:p w14:paraId="2E3759F1" w14:textId="0AE72B16" w:rsidR="007D13AB" w:rsidRPr="00AF0E8B" w:rsidRDefault="007D13AB" w:rsidP="00AF0E8B">
      <w:pPr>
        <w:pStyle w:val="ListParagraph"/>
        <w:numPr>
          <w:ilvl w:val="1"/>
          <w:numId w:val="12"/>
        </w:numPr>
        <w:spacing w:line="276" w:lineRule="auto"/>
        <w:ind w:left="1800"/>
        <w:rPr>
          <w:b/>
          <w:sz w:val="22"/>
        </w:rPr>
      </w:pPr>
      <w:r w:rsidRPr="00AF0E8B">
        <w:rPr>
          <w:b/>
          <w:sz w:val="22"/>
        </w:rPr>
        <w:t>Timeliness</w:t>
      </w:r>
    </w:p>
    <w:p w14:paraId="32E5BAE2" w14:textId="4F3AC30E" w:rsidR="007D13AB" w:rsidRPr="00AF0E8B" w:rsidRDefault="007D13AB" w:rsidP="00AF0E8B">
      <w:pPr>
        <w:pStyle w:val="ListParagraph"/>
        <w:numPr>
          <w:ilvl w:val="1"/>
          <w:numId w:val="12"/>
        </w:numPr>
        <w:spacing w:line="276" w:lineRule="auto"/>
        <w:ind w:left="1800"/>
        <w:rPr>
          <w:b/>
          <w:sz w:val="22"/>
        </w:rPr>
      </w:pPr>
      <w:r w:rsidRPr="00AF0E8B">
        <w:rPr>
          <w:b/>
          <w:sz w:val="22"/>
        </w:rPr>
        <w:t xml:space="preserve">Understandability </w:t>
      </w:r>
    </w:p>
    <w:p w14:paraId="5B1AB0A8" w14:textId="31F97278" w:rsidR="004739B0" w:rsidRPr="00AF0E8B" w:rsidRDefault="004739B0" w:rsidP="00AF0E8B">
      <w:pPr>
        <w:pStyle w:val="ListParagraph"/>
        <w:numPr>
          <w:ilvl w:val="0"/>
          <w:numId w:val="11"/>
        </w:numPr>
        <w:spacing w:line="276" w:lineRule="auto"/>
        <w:ind w:left="360"/>
        <w:rPr>
          <w:b/>
          <w:color w:val="E36C0A" w:themeColor="accent6" w:themeShade="BF"/>
          <w:sz w:val="22"/>
        </w:rPr>
      </w:pPr>
      <w:r w:rsidRPr="00AF0E8B">
        <w:rPr>
          <w:b/>
          <w:color w:val="E36C0A" w:themeColor="accent6" w:themeShade="BF"/>
          <w:sz w:val="22"/>
        </w:rPr>
        <w:t>The basic elements of financial statements</w:t>
      </w:r>
    </w:p>
    <w:p w14:paraId="3A252258" w14:textId="585DFB3E" w:rsidR="004739B0" w:rsidRPr="00AF0E8B" w:rsidRDefault="004739B0" w:rsidP="00AF0E8B">
      <w:pPr>
        <w:pStyle w:val="ListParagraph"/>
        <w:numPr>
          <w:ilvl w:val="0"/>
          <w:numId w:val="13"/>
        </w:numPr>
        <w:spacing w:line="276" w:lineRule="auto"/>
        <w:ind w:left="1080"/>
        <w:rPr>
          <w:b/>
          <w:sz w:val="22"/>
        </w:rPr>
      </w:pPr>
      <w:r w:rsidRPr="00AF0E8B">
        <w:rPr>
          <w:b/>
          <w:sz w:val="22"/>
        </w:rPr>
        <w:t>Assets</w:t>
      </w:r>
      <w:r w:rsidR="00283F75" w:rsidRPr="00AF0E8B">
        <w:rPr>
          <w:b/>
          <w:sz w:val="22"/>
        </w:rPr>
        <w:t>:</w:t>
      </w:r>
      <w:r w:rsidR="00283F75" w:rsidRPr="00AF0E8B">
        <w:rPr>
          <w:sz w:val="22"/>
        </w:rPr>
        <w:t xml:space="preserve"> the three essential characteristics are:</w:t>
      </w:r>
    </w:p>
    <w:p w14:paraId="5436E0E1" w14:textId="1738E7FF" w:rsidR="00283F75" w:rsidRPr="00AF0E8B" w:rsidRDefault="00283F75" w:rsidP="00AF0E8B">
      <w:pPr>
        <w:pStyle w:val="ListParagraph"/>
        <w:numPr>
          <w:ilvl w:val="0"/>
          <w:numId w:val="15"/>
        </w:numPr>
        <w:spacing w:line="276" w:lineRule="auto"/>
        <w:ind w:left="1800"/>
        <w:rPr>
          <w:sz w:val="22"/>
        </w:rPr>
      </w:pPr>
      <w:r w:rsidRPr="00AF0E8B">
        <w:rPr>
          <w:sz w:val="22"/>
        </w:rPr>
        <w:t>There is some economic benefit to the entity</w:t>
      </w:r>
    </w:p>
    <w:p w14:paraId="36D151B9" w14:textId="0517EB27" w:rsidR="00283F75" w:rsidRPr="00AF0E8B" w:rsidRDefault="00283F75" w:rsidP="00AF0E8B">
      <w:pPr>
        <w:pStyle w:val="ListParagraph"/>
        <w:numPr>
          <w:ilvl w:val="0"/>
          <w:numId w:val="15"/>
        </w:numPr>
        <w:spacing w:line="276" w:lineRule="auto"/>
        <w:ind w:left="1800"/>
        <w:rPr>
          <w:sz w:val="22"/>
        </w:rPr>
      </w:pPr>
      <w:r w:rsidRPr="00AF0E8B">
        <w:rPr>
          <w:sz w:val="22"/>
        </w:rPr>
        <w:t>The entity has control over the benefit</w:t>
      </w:r>
    </w:p>
    <w:p w14:paraId="5CB41F0C" w14:textId="03754076" w:rsidR="00283F75" w:rsidRPr="00AF0E8B" w:rsidRDefault="00283F75" w:rsidP="00AF0E8B">
      <w:pPr>
        <w:pStyle w:val="ListParagraph"/>
        <w:numPr>
          <w:ilvl w:val="0"/>
          <w:numId w:val="15"/>
        </w:numPr>
        <w:spacing w:line="276" w:lineRule="auto"/>
        <w:ind w:left="1800"/>
        <w:rPr>
          <w:sz w:val="22"/>
        </w:rPr>
      </w:pPr>
      <w:r w:rsidRPr="00AF0E8B">
        <w:rPr>
          <w:sz w:val="22"/>
        </w:rPr>
        <w:t>The benefits result from a past transaction or event</w:t>
      </w:r>
    </w:p>
    <w:p w14:paraId="7BE3F40D" w14:textId="5EB2CE17" w:rsidR="004739B0" w:rsidRPr="00AF0E8B" w:rsidRDefault="004739B0" w:rsidP="00AF0E8B">
      <w:pPr>
        <w:pStyle w:val="ListParagraph"/>
        <w:numPr>
          <w:ilvl w:val="0"/>
          <w:numId w:val="14"/>
        </w:numPr>
        <w:spacing w:line="276" w:lineRule="auto"/>
        <w:ind w:left="1080"/>
        <w:rPr>
          <w:b/>
          <w:sz w:val="22"/>
        </w:rPr>
      </w:pPr>
      <w:r w:rsidRPr="00AF0E8B">
        <w:rPr>
          <w:b/>
          <w:sz w:val="22"/>
        </w:rPr>
        <w:t>Liabilities</w:t>
      </w:r>
      <w:r w:rsidR="00283F75" w:rsidRPr="00AF0E8B">
        <w:rPr>
          <w:b/>
          <w:sz w:val="22"/>
        </w:rPr>
        <w:t>:</w:t>
      </w:r>
      <w:r w:rsidR="00283F75" w:rsidRPr="00AF0E8B">
        <w:rPr>
          <w:sz w:val="22"/>
        </w:rPr>
        <w:t xml:space="preserve"> the three essential characteristics are:</w:t>
      </w:r>
    </w:p>
    <w:p w14:paraId="0C922C1B" w14:textId="287D6B7A" w:rsidR="00283F75" w:rsidRPr="00AF0E8B" w:rsidRDefault="00283F75" w:rsidP="00AF0E8B">
      <w:pPr>
        <w:pStyle w:val="ListParagraph"/>
        <w:numPr>
          <w:ilvl w:val="0"/>
          <w:numId w:val="16"/>
        </w:numPr>
        <w:spacing w:line="276" w:lineRule="auto"/>
        <w:ind w:left="2084"/>
        <w:rPr>
          <w:sz w:val="22"/>
        </w:rPr>
      </w:pPr>
      <w:r w:rsidRPr="00AF0E8B">
        <w:rPr>
          <w:sz w:val="22"/>
        </w:rPr>
        <w:t>They repre</w:t>
      </w:r>
      <w:r w:rsidR="004137FE" w:rsidRPr="00AF0E8B">
        <w:rPr>
          <w:sz w:val="22"/>
        </w:rPr>
        <w:t>sent a present duty or responsibility</w:t>
      </w:r>
    </w:p>
    <w:p w14:paraId="278F4BF6" w14:textId="5A939A7F" w:rsidR="004137FE" w:rsidRPr="00AF0E8B" w:rsidRDefault="004137FE" w:rsidP="00AF0E8B">
      <w:pPr>
        <w:pStyle w:val="ListParagraph"/>
        <w:numPr>
          <w:ilvl w:val="0"/>
          <w:numId w:val="16"/>
        </w:numPr>
        <w:spacing w:line="276" w:lineRule="auto"/>
        <w:ind w:left="2084"/>
        <w:rPr>
          <w:sz w:val="22"/>
        </w:rPr>
      </w:pPr>
      <w:r w:rsidRPr="00AF0E8B">
        <w:rPr>
          <w:sz w:val="22"/>
        </w:rPr>
        <w:t>The duty or responsibility obligates the entity, leaving it little to no discretion to avoid it</w:t>
      </w:r>
    </w:p>
    <w:p w14:paraId="3D78B3B9" w14:textId="4E110A9C" w:rsidR="004137FE" w:rsidRPr="00AF0E8B" w:rsidRDefault="004137FE" w:rsidP="00AF0E8B">
      <w:pPr>
        <w:pStyle w:val="ListParagraph"/>
        <w:numPr>
          <w:ilvl w:val="0"/>
          <w:numId w:val="16"/>
        </w:numPr>
        <w:spacing w:line="276" w:lineRule="auto"/>
        <w:ind w:left="2084"/>
        <w:rPr>
          <w:sz w:val="22"/>
        </w:rPr>
      </w:pPr>
      <w:r w:rsidRPr="00AF0E8B">
        <w:rPr>
          <w:sz w:val="22"/>
        </w:rPr>
        <w:t>The transaction or event results from a past transaction or event</w:t>
      </w:r>
    </w:p>
    <w:p w14:paraId="45274E27" w14:textId="440B0D33" w:rsidR="004739B0" w:rsidRPr="00AF0E8B" w:rsidRDefault="004739B0" w:rsidP="00AF0E8B">
      <w:pPr>
        <w:pStyle w:val="ListParagraph"/>
        <w:numPr>
          <w:ilvl w:val="0"/>
          <w:numId w:val="14"/>
        </w:numPr>
        <w:spacing w:line="276" w:lineRule="auto"/>
        <w:ind w:left="1080"/>
        <w:rPr>
          <w:b/>
          <w:sz w:val="22"/>
        </w:rPr>
      </w:pPr>
      <w:r w:rsidRPr="00AF0E8B">
        <w:rPr>
          <w:b/>
          <w:sz w:val="22"/>
        </w:rPr>
        <w:t>Equity</w:t>
      </w:r>
      <w:r w:rsidR="00A17F2D" w:rsidRPr="00AF0E8B">
        <w:rPr>
          <w:sz w:val="22"/>
        </w:rPr>
        <w:t xml:space="preserve"> is a </w:t>
      </w:r>
      <w:r w:rsidR="00A17F2D" w:rsidRPr="00AF0E8B">
        <w:rPr>
          <w:b/>
          <w:sz w:val="22"/>
        </w:rPr>
        <w:t>residual interest</w:t>
      </w:r>
      <w:r w:rsidR="00A17F2D" w:rsidRPr="00AF0E8B">
        <w:rPr>
          <w:sz w:val="22"/>
        </w:rPr>
        <w:t xml:space="preserve"> in an entity that remains after deducting its liabilities from its assets</w:t>
      </w:r>
    </w:p>
    <w:p w14:paraId="3C4568EA" w14:textId="6059C80E" w:rsidR="004739B0" w:rsidRPr="00AF0E8B" w:rsidRDefault="004739B0" w:rsidP="00AF0E8B">
      <w:pPr>
        <w:pStyle w:val="ListParagraph"/>
        <w:numPr>
          <w:ilvl w:val="0"/>
          <w:numId w:val="14"/>
        </w:numPr>
        <w:spacing w:line="276" w:lineRule="auto"/>
        <w:ind w:left="1080"/>
        <w:rPr>
          <w:b/>
          <w:sz w:val="22"/>
        </w:rPr>
      </w:pPr>
      <w:r w:rsidRPr="00AF0E8B">
        <w:rPr>
          <w:b/>
          <w:sz w:val="22"/>
        </w:rPr>
        <w:t>Revenues</w:t>
      </w:r>
      <w:r w:rsidR="00A17F2D" w:rsidRPr="00AF0E8B">
        <w:rPr>
          <w:sz w:val="22"/>
        </w:rPr>
        <w:t xml:space="preserve"> are increases in economic resources</w:t>
      </w:r>
      <w:r w:rsidR="00F94E73" w:rsidRPr="00AF0E8B">
        <w:rPr>
          <w:sz w:val="22"/>
        </w:rPr>
        <w:t xml:space="preserve">, either by inflows/other enhancements of an entity’s assets or by settlement of its liabilities, which result from an entity’s </w:t>
      </w:r>
      <w:r w:rsidR="00F94E73" w:rsidRPr="00AF0E8B">
        <w:rPr>
          <w:sz w:val="22"/>
          <w:u w:val="single"/>
        </w:rPr>
        <w:t>ordinary activities.</w:t>
      </w:r>
    </w:p>
    <w:p w14:paraId="3DB261DF" w14:textId="15840306" w:rsidR="004739B0" w:rsidRPr="00AF0E8B" w:rsidRDefault="004739B0" w:rsidP="00AF0E8B">
      <w:pPr>
        <w:pStyle w:val="ListParagraph"/>
        <w:numPr>
          <w:ilvl w:val="0"/>
          <w:numId w:val="14"/>
        </w:numPr>
        <w:spacing w:line="276" w:lineRule="auto"/>
        <w:ind w:left="1080"/>
        <w:rPr>
          <w:b/>
          <w:sz w:val="22"/>
        </w:rPr>
      </w:pPr>
      <w:r w:rsidRPr="00AF0E8B">
        <w:rPr>
          <w:b/>
          <w:sz w:val="22"/>
        </w:rPr>
        <w:t>Expenses</w:t>
      </w:r>
      <w:r w:rsidR="00F94E73" w:rsidRPr="00AF0E8B">
        <w:rPr>
          <w:sz w:val="22"/>
        </w:rPr>
        <w:t xml:space="preserve"> are decreased in economic resources, either by outflow/reductions of assets or by the incurrence of liabilities that result from an entity’s </w:t>
      </w:r>
      <w:r w:rsidR="00F94E73" w:rsidRPr="00AF0E8B">
        <w:rPr>
          <w:b/>
          <w:sz w:val="22"/>
        </w:rPr>
        <w:t>ordinary revenue-generated activities</w:t>
      </w:r>
    </w:p>
    <w:p w14:paraId="590A6D86" w14:textId="51440980" w:rsidR="004739B0" w:rsidRPr="00AF0E8B" w:rsidRDefault="004739B0" w:rsidP="00AF0E8B">
      <w:pPr>
        <w:pStyle w:val="ListParagraph"/>
        <w:numPr>
          <w:ilvl w:val="0"/>
          <w:numId w:val="14"/>
        </w:numPr>
        <w:spacing w:line="276" w:lineRule="auto"/>
        <w:ind w:left="1080"/>
        <w:rPr>
          <w:b/>
          <w:sz w:val="22"/>
        </w:rPr>
      </w:pPr>
      <w:r w:rsidRPr="00AF0E8B">
        <w:rPr>
          <w:b/>
          <w:sz w:val="22"/>
        </w:rPr>
        <w:t>Gains</w:t>
      </w:r>
      <w:r w:rsidR="00F94E73" w:rsidRPr="00AF0E8B">
        <w:rPr>
          <w:b/>
          <w:sz w:val="22"/>
        </w:rPr>
        <w:t xml:space="preserve"> </w:t>
      </w:r>
      <w:r w:rsidR="00F94E73" w:rsidRPr="00AF0E8B">
        <w:rPr>
          <w:sz w:val="22"/>
        </w:rPr>
        <w:t xml:space="preserve">are increases in equity (net assets) from an entity’s </w:t>
      </w:r>
      <w:r w:rsidR="00F94E73" w:rsidRPr="00AF0E8B">
        <w:rPr>
          <w:b/>
          <w:sz w:val="22"/>
        </w:rPr>
        <w:t>peripheral or incidental transactions</w:t>
      </w:r>
      <w:r w:rsidR="00F94E73" w:rsidRPr="00AF0E8B">
        <w:rPr>
          <w:sz w:val="22"/>
        </w:rPr>
        <w:t xml:space="preserve"> and from all other transactions and other events and circumstances </w:t>
      </w:r>
      <w:r w:rsidR="00152751" w:rsidRPr="00AF0E8B">
        <w:rPr>
          <w:sz w:val="22"/>
        </w:rPr>
        <w:t>affecting</w:t>
      </w:r>
      <w:r w:rsidR="00F94E73" w:rsidRPr="00AF0E8B">
        <w:rPr>
          <w:sz w:val="22"/>
        </w:rPr>
        <w:t xml:space="preserve"> the </w:t>
      </w:r>
      <w:r w:rsidR="00152751" w:rsidRPr="00AF0E8B">
        <w:rPr>
          <w:sz w:val="22"/>
        </w:rPr>
        <w:t xml:space="preserve">entity </w:t>
      </w:r>
      <w:r w:rsidR="00F94E73" w:rsidRPr="00AF0E8B">
        <w:rPr>
          <w:sz w:val="22"/>
        </w:rPr>
        <w:t>during a period, except those that result from revenues or investments by owners</w:t>
      </w:r>
    </w:p>
    <w:p w14:paraId="74341ACD" w14:textId="31373490" w:rsidR="00152751" w:rsidRPr="00AF0E8B" w:rsidRDefault="004739B0" w:rsidP="00AF0E8B">
      <w:pPr>
        <w:pStyle w:val="ListParagraph"/>
        <w:numPr>
          <w:ilvl w:val="0"/>
          <w:numId w:val="14"/>
        </w:numPr>
        <w:spacing w:line="276" w:lineRule="auto"/>
        <w:ind w:left="1080"/>
        <w:rPr>
          <w:b/>
          <w:sz w:val="22"/>
        </w:rPr>
      </w:pPr>
      <w:r w:rsidRPr="00AF0E8B">
        <w:rPr>
          <w:b/>
          <w:sz w:val="22"/>
        </w:rPr>
        <w:t>Losses</w:t>
      </w:r>
      <w:r w:rsidR="00152751" w:rsidRPr="00AF0E8B">
        <w:rPr>
          <w:b/>
          <w:sz w:val="22"/>
        </w:rPr>
        <w:t xml:space="preserve"> </w:t>
      </w:r>
      <w:r w:rsidR="00152751" w:rsidRPr="00AF0E8B">
        <w:rPr>
          <w:sz w:val="22"/>
        </w:rPr>
        <w:t xml:space="preserve">are decreases in equity (net assets) from an entity’s </w:t>
      </w:r>
      <w:r w:rsidR="00152751" w:rsidRPr="00AF0E8B">
        <w:rPr>
          <w:b/>
          <w:sz w:val="22"/>
        </w:rPr>
        <w:t>peripheral or incidental transactions</w:t>
      </w:r>
      <w:r w:rsidR="00152751" w:rsidRPr="00AF0E8B">
        <w:rPr>
          <w:sz w:val="22"/>
        </w:rPr>
        <w:t xml:space="preserve"> and from all other transactions and other events and circumstances affecting the entity during a period, except those that result from expenses or distributions to owners</w:t>
      </w:r>
    </w:p>
    <w:p w14:paraId="0DCC3A2C" w14:textId="3170FDE7" w:rsidR="00B642BD" w:rsidRPr="00AF0E8B" w:rsidRDefault="00B642BD" w:rsidP="00AF0E8B">
      <w:pPr>
        <w:pStyle w:val="ListParagraph"/>
        <w:numPr>
          <w:ilvl w:val="0"/>
          <w:numId w:val="14"/>
        </w:numPr>
        <w:spacing w:line="276" w:lineRule="auto"/>
        <w:ind w:left="1080"/>
        <w:rPr>
          <w:b/>
          <w:sz w:val="22"/>
        </w:rPr>
      </w:pPr>
      <w:r w:rsidRPr="00AF0E8B">
        <w:rPr>
          <w:b/>
          <w:sz w:val="22"/>
        </w:rPr>
        <w:t>Comprehensive Income</w:t>
      </w:r>
      <w:r w:rsidRPr="00AF0E8B">
        <w:rPr>
          <w:sz w:val="22"/>
        </w:rPr>
        <w:t xml:space="preserve"> includes net income and other comprehensive income</w:t>
      </w:r>
    </w:p>
    <w:p w14:paraId="6EE06433" w14:textId="1CC3BE28" w:rsidR="00B642BD" w:rsidRPr="00AF0E8B" w:rsidRDefault="00B642BD" w:rsidP="00AF0E8B">
      <w:pPr>
        <w:pStyle w:val="ListParagraph"/>
        <w:numPr>
          <w:ilvl w:val="0"/>
          <w:numId w:val="14"/>
        </w:numPr>
        <w:spacing w:line="276" w:lineRule="auto"/>
        <w:ind w:left="1080"/>
        <w:rPr>
          <w:b/>
          <w:sz w:val="22"/>
        </w:rPr>
      </w:pPr>
      <w:r w:rsidRPr="00AF0E8B">
        <w:rPr>
          <w:b/>
          <w:sz w:val="22"/>
        </w:rPr>
        <w:t>Other comprehensive income</w:t>
      </w:r>
      <w:r w:rsidR="00DC2745" w:rsidRPr="00AF0E8B">
        <w:rPr>
          <w:b/>
          <w:sz w:val="22"/>
        </w:rPr>
        <w:t xml:space="preserve"> </w:t>
      </w:r>
      <w:r w:rsidR="00DC2745" w:rsidRPr="00AF0E8B">
        <w:rPr>
          <w:sz w:val="22"/>
        </w:rPr>
        <w:t>is made up of revenues, expenses, gains, and losses that are recognized in comprehensive income but not in net income. Examples:</w:t>
      </w:r>
    </w:p>
    <w:p w14:paraId="55626BBD" w14:textId="602836F1" w:rsidR="00DC2745" w:rsidRPr="00AF0E8B" w:rsidRDefault="00DC2745" w:rsidP="00AF0E8B">
      <w:pPr>
        <w:pStyle w:val="ListParagraph"/>
        <w:numPr>
          <w:ilvl w:val="0"/>
          <w:numId w:val="17"/>
        </w:numPr>
        <w:spacing w:line="276" w:lineRule="auto"/>
        <w:ind w:left="1800"/>
        <w:rPr>
          <w:sz w:val="22"/>
        </w:rPr>
      </w:pPr>
      <w:r w:rsidRPr="00AF0E8B">
        <w:rPr>
          <w:sz w:val="22"/>
        </w:rPr>
        <w:t>Unrealized holding gains and losses on certain securities and property, plant, and equipment (revaluation method)</w:t>
      </w:r>
    </w:p>
    <w:p w14:paraId="01D0B1F1" w14:textId="30ED5591" w:rsidR="00DC2745" w:rsidRPr="00AF0E8B" w:rsidRDefault="00DC2745" w:rsidP="00AF0E8B">
      <w:pPr>
        <w:pStyle w:val="ListParagraph"/>
        <w:numPr>
          <w:ilvl w:val="0"/>
          <w:numId w:val="17"/>
        </w:numPr>
        <w:spacing w:line="276" w:lineRule="auto"/>
        <w:ind w:left="1800"/>
        <w:rPr>
          <w:sz w:val="22"/>
        </w:rPr>
      </w:pPr>
      <w:r w:rsidRPr="00AF0E8B">
        <w:rPr>
          <w:sz w:val="22"/>
        </w:rPr>
        <w:t>Certain gains and losses related to foreign exchange instruments, foreign operations, and certain types of hedges</w:t>
      </w:r>
    </w:p>
    <w:p w14:paraId="1BF8670E" w14:textId="3F490A4C" w:rsidR="00DC2745" w:rsidRPr="00AF0E8B" w:rsidRDefault="00DC2745" w:rsidP="00AF0E8B">
      <w:pPr>
        <w:pStyle w:val="ListParagraph"/>
        <w:numPr>
          <w:ilvl w:val="0"/>
          <w:numId w:val="17"/>
        </w:numPr>
        <w:spacing w:line="276" w:lineRule="auto"/>
        <w:ind w:left="1800"/>
        <w:rPr>
          <w:sz w:val="22"/>
        </w:rPr>
      </w:pPr>
      <w:r w:rsidRPr="00AF0E8B">
        <w:rPr>
          <w:sz w:val="22"/>
        </w:rPr>
        <w:t>Certain gains and losses related to remeasurement of defined benefit plans and liabilities measured at fair value</w:t>
      </w:r>
    </w:p>
    <w:p w14:paraId="701CD781" w14:textId="712AD5CF" w:rsidR="00C3214E" w:rsidRPr="00AF0E8B" w:rsidRDefault="001108BD" w:rsidP="00AF0E8B">
      <w:pPr>
        <w:pStyle w:val="ListParagraph"/>
        <w:numPr>
          <w:ilvl w:val="0"/>
          <w:numId w:val="19"/>
        </w:numPr>
        <w:spacing w:line="276" w:lineRule="auto"/>
        <w:ind w:left="360"/>
        <w:rPr>
          <w:b/>
          <w:color w:val="E36C0A" w:themeColor="accent6" w:themeShade="BF"/>
          <w:sz w:val="22"/>
        </w:rPr>
      </w:pPr>
      <w:r w:rsidRPr="00AF0E8B">
        <w:rPr>
          <w:b/>
          <w:color w:val="E36C0A" w:themeColor="accent6" w:themeShade="BF"/>
          <w:sz w:val="22"/>
        </w:rPr>
        <w:t>The Foundational Principles of Accounting</w:t>
      </w:r>
    </w:p>
    <w:p w14:paraId="6D51BE9A" w14:textId="7B441ABE" w:rsidR="001108BD" w:rsidRPr="00AF0E8B" w:rsidRDefault="001108BD" w:rsidP="00AF0E8B">
      <w:pPr>
        <w:pStyle w:val="ListParagraph"/>
        <w:numPr>
          <w:ilvl w:val="0"/>
          <w:numId w:val="18"/>
        </w:numPr>
        <w:spacing w:line="276" w:lineRule="auto"/>
        <w:ind w:left="1080"/>
        <w:rPr>
          <w:sz w:val="22"/>
        </w:rPr>
      </w:pPr>
      <w:r w:rsidRPr="00AF0E8B">
        <w:rPr>
          <w:b/>
          <w:sz w:val="22"/>
        </w:rPr>
        <w:t xml:space="preserve">Economic Entity: </w:t>
      </w:r>
      <w:r w:rsidRPr="00AF0E8B">
        <w:rPr>
          <w:sz w:val="22"/>
        </w:rPr>
        <w:t>the assumption that the activities of a business enterprise an be kept separate and distinct from its owners and any other business unit</w:t>
      </w:r>
    </w:p>
    <w:p w14:paraId="3C322462" w14:textId="2498C936" w:rsidR="00262F9B" w:rsidRPr="00AF0E8B" w:rsidRDefault="00262F9B" w:rsidP="00AF0E8B">
      <w:pPr>
        <w:pStyle w:val="ListParagraph"/>
        <w:numPr>
          <w:ilvl w:val="0"/>
          <w:numId w:val="18"/>
        </w:numPr>
        <w:spacing w:line="276" w:lineRule="auto"/>
        <w:ind w:left="1080"/>
        <w:rPr>
          <w:sz w:val="22"/>
        </w:rPr>
      </w:pPr>
      <w:r w:rsidRPr="00AF0E8B">
        <w:rPr>
          <w:b/>
          <w:sz w:val="22"/>
        </w:rPr>
        <w:t>Control:</w:t>
      </w:r>
      <w:r w:rsidRPr="00AF0E8B">
        <w:rPr>
          <w:sz w:val="22"/>
        </w:rPr>
        <w:t xml:space="preserve"> the entity has the power to make decisions and reap the benefits or be exposed to the losses (which are variable)</w:t>
      </w:r>
    </w:p>
    <w:p w14:paraId="2FCB4813" w14:textId="3164D51D" w:rsidR="00262F9B" w:rsidRPr="00AF0E8B" w:rsidRDefault="00262F9B" w:rsidP="00AF0E8B">
      <w:pPr>
        <w:pStyle w:val="ListParagraph"/>
        <w:numPr>
          <w:ilvl w:val="0"/>
          <w:numId w:val="18"/>
        </w:numPr>
        <w:spacing w:line="276" w:lineRule="auto"/>
        <w:ind w:left="1080"/>
        <w:rPr>
          <w:sz w:val="22"/>
        </w:rPr>
      </w:pPr>
      <w:r w:rsidRPr="00AF0E8B">
        <w:rPr>
          <w:b/>
          <w:sz w:val="22"/>
        </w:rPr>
        <w:t>Revenue recognition:</w:t>
      </w:r>
      <w:r w:rsidRPr="00AF0E8B">
        <w:rPr>
          <w:sz w:val="22"/>
        </w:rPr>
        <w:t xml:space="preserve"> revenue is generally recognize when it’s (a) earned, (b) measureable, and (c) collectible/realizable</w:t>
      </w:r>
    </w:p>
    <w:p w14:paraId="4A68CBF2" w14:textId="358F2EE3" w:rsidR="00262F9B" w:rsidRPr="00AF0E8B" w:rsidRDefault="00262F9B" w:rsidP="00AF0E8B">
      <w:pPr>
        <w:pStyle w:val="ListParagraph"/>
        <w:numPr>
          <w:ilvl w:val="0"/>
          <w:numId w:val="18"/>
        </w:numPr>
        <w:spacing w:line="276" w:lineRule="auto"/>
        <w:ind w:left="1080"/>
        <w:rPr>
          <w:sz w:val="22"/>
        </w:rPr>
      </w:pPr>
      <w:r w:rsidRPr="00AF0E8B">
        <w:rPr>
          <w:b/>
          <w:sz w:val="22"/>
        </w:rPr>
        <w:t>Matching principle:</w:t>
      </w:r>
      <w:r w:rsidRPr="00AF0E8B">
        <w:rPr>
          <w:sz w:val="22"/>
        </w:rPr>
        <w:t xml:space="preserve"> the assumption assists in the measurement of income by assuring that costs (related to long-lived assets) incurred in earning revenues are booked in the same periods to facilitate timely reporting</w:t>
      </w:r>
    </w:p>
    <w:p w14:paraId="47AF925F" w14:textId="1541F4B3" w:rsidR="00262F9B" w:rsidRPr="00AF0E8B" w:rsidRDefault="00262F9B" w:rsidP="00AF0E8B">
      <w:pPr>
        <w:pStyle w:val="ListParagraph"/>
        <w:numPr>
          <w:ilvl w:val="0"/>
          <w:numId w:val="18"/>
        </w:numPr>
        <w:spacing w:line="276" w:lineRule="auto"/>
        <w:ind w:left="1080"/>
        <w:rPr>
          <w:sz w:val="22"/>
        </w:rPr>
      </w:pPr>
      <w:r w:rsidRPr="00AF0E8B">
        <w:rPr>
          <w:b/>
          <w:sz w:val="22"/>
        </w:rPr>
        <w:t>Monetary unit:</w:t>
      </w:r>
      <w:r w:rsidRPr="00AF0E8B">
        <w:rPr>
          <w:sz w:val="22"/>
        </w:rPr>
        <w:t xml:space="preserve"> the assumption that money is the common denominator by which economic activity is conducted, and that the monetary unit gives an appropriate basis for measurement and analysis</w:t>
      </w:r>
    </w:p>
    <w:p w14:paraId="0499A455" w14:textId="4349B42D" w:rsidR="00262F9B" w:rsidRPr="00AF0E8B" w:rsidRDefault="00262F9B" w:rsidP="00AF0E8B">
      <w:pPr>
        <w:pStyle w:val="ListParagraph"/>
        <w:numPr>
          <w:ilvl w:val="0"/>
          <w:numId w:val="18"/>
        </w:numPr>
        <w:spacing w:line="276" w:lineRule="auto"/>
        <w:ind w:left="1080"/>
        <w:rPr>
          <w:sz w:val="22"/>
        </w:rPr>
      </w:pPr>
      <w:r w:rsidRPr="00AF0E8B">
        <w:rPr>
          <w:b/>
          <w:sz w:val="22"/>
        </w:rPr>
        <w:t>Going concern:</w:t>
      </w:r>
      <w:r w:rsidRPr="00AF0E8B">
        <w:rPr>
          <w:sz w:val="22"/>
        </w:rPr>
        <w:t xml:space="preserve"> the assumption that the business enterprise will have a long life</w:t>
      </w:r>
    </w:p>
    <w:p w14:paraId="7D91EEFF" w14:textId="49E9BBB2" w:rsidR="00262F9B" w:rsidRPr="00AF0E8B" w:rsidRDefault="00262F9B" w:rsidP="00AF0E8B">
      <w:pPr>
        <w:pStyle w:val="ListParagraph"/>
        <w:numPr>
          <w:ilvl w:val="0"/>
          <w:numId w:val="18"/>
        </w:numPr>
        <w:spacing w:line="276" w:lineRule="auto"/>
        <w:ind w:left="1080"/>
        <w:rPr>
          <w:sz w:val="22"/>
        </w:rPr>
      </w:pPr>
      <w:r w:rsidRPr="00AF0E8B">
        <w:rPr>
          <w:b/>
          <w:sz w:val="22"/>
        </w:rPr>
        <w:t>Historical cost principle:</w:t>
      </w:r>
      <w:r w:rsidRPr="00AF0E8B">
        <w:rPr>
          <w:sz w:val="22"/>
        </w:rPr>
        <w:t xml:space="preserve"> existing GAAP requires that many assets and liabilities be accounted for and reported based on their acquisition price</w:t>
      </w:r>
    </w:p>
    <w:p w14:paraId="063C1477" w14:textId="33D9B40B" w:rsidR="00262F9B" w:rsidRPr="00AF0E8B" w:rsidRDefault="00262F9B" w:rsidP="00AF0E8B">
      <w:pPr>
        <w:pStyle w:val="ListParagraph"/>
        <w:numPr>
          <w:ilvl w:val="0"/>
          <w:numId w:val="18"/>
        </w:numPr>
        <w:spacing w:line="276" w:lineRule="auto"/>
        <w:ind w:left="1080"/>
        <w:rPr>
          <w:sz w:val="22"/>
        </w:rPr>
      </w:pPr>
      <w:r w:rsidRPr="00AF0E8B">
        <w:rPr>
          <w:b/>
          <w:sz w:val="22"/>
        </w:rPr>
        <w:t>Fair value principle:</w:t>
      </w:r>
      <w:r w:rsidRPr="00AF0E8B">
        <w:rPr>
          <w:sz w:val="22"/>
        </w:rPr>
        <w:t xml:space="preserve"> assets and liabilities are valued at fair value – that is, an exit price – and viewed from a market participant perspective</w:t>
      </w:r>
    </w:p>
    <w:p w14:paraId="30FB4D85" w14:textId="37013ADC" w:rsidR="00262F9B" w:rsidRPr="00AF0E8B" w:rsidRDefault="00262F9B" w:rsidP="00AF0E8B">
      <w:pPr>
        <w:pStyle w:val="ListParagraph"/>
        <w:numPr>
          <w:ilvl w:val="0"/>
          <w:numId w:val="18"/>
        </w:numPr>
        <w:spacing w:line="276" w:lineRule="auto"/>
        <w:ind w:left="1080"/>
        <w:rPr>
          <w:sz w:val="22"/>
        </w:rPr>
      </w:pPr>
      <w:r w:rsidRPr="00AF0E8B">
        <w:rPr>
          <w:b/>
          <w:sz w:val="22"/>
        </w:rPr>
        <w:t xml:space="preserve">Full disclosure principle: </w:t>
      </w:r>
      <w:r w:rsidRPr="00AF0E8B">
        <w:rPr>
          <w:sz w:val="22"/>
        </w:rPr>
        <w:t>accountants follow the general practice of providing info that is important enough to influence in informed user’s judgment and decisions</w:t>
      </w:r>
    </w:p>
    <w:p w14:paraId="6B13727C" w14:textId="77777777" w:rsidR="002118A0" w:rsidRPr="00AF0E8B" w:rsidRDefault="002118A0" w:rsidP="00AF0E8B">
      <w:pPr>
        <w:pStyle w:val="ListParagraph"/>
        <w:spacing w:line="276" w:lineRule="auto"/>
        <w:ind w:left="1080"/>
        <w:rPr>
          <w:sz w:val="22"/>
        </w:rPr>
      </w:pPr>
    </w:p>
    <w:p w14:paraId="20F51B9A" w14:textId="5B1194F1" w:rsidR="007837A6" w:rsidRPr="00AF0E8B" w:rsidRDefault="007837A6" w:rsidP="00AF0E8B">
      <w:pPr>
        <w:pStyle w:val="ListParagraph"/>
        <w:numPr>
          <w:ilvl w:val="0"/>
          <w:numId w:val="20"/>
        </w:numPr>
        <w:spacing w:line="276" w:lineRule="auto"/>
        <w:ind w:left="284"/>
        <w:rPr>
          <w:b/>
          <w:color w:val="E36C0A" w:themeColor="accent6" w:themeShade="BF"/>
          <w:sz w:val="22"/>
        </w:rPr>
      </w:pPr>
      <w:r w:rsidRPr="00AF0E8B">
        <w:rPr>
          <w:b/>
          <w:color w:val="E36C0A" w:themeColor="accent6" w:themeShade="BF"/>
          <w:sz w:val="22"/>
        </w:rPr>
        <w:t>Factors that contribute to choice and/or bias in financial reporting decisions</w:t>
      </w:r>
    </w:p>
    <w:p w14:paraId="000A15BF" w14:textId="7AC23303" w:rsidR="002118A0" w:rsidRPr="00AF0E8B" w:rsidRDefault="002118A0" w:rsidP="00AF0E8B">
      <w:pPr>
        <w:pStyle w:val="ListParagraph"/>
        <w:numPr>
          <w:ilvl w:val="0"/>
          <w:numId w:val="21"/>
        </w:numPr>
        <w:spacing w:line="276" w:lineRule="auto"/>
        <w:ind w:left="1135"/>
        <w:rPr>
          <w:b/>
          <w:color w:val="E36C0A" w:themeColor="accent6" w:themeShade="BF"/>
          <w:sz w:val="22"/>
        </w:rPr>
      </w:pPr>
      <w:r w:rsidRPr="00AF0E8B">
        <w:rPr>
          <w:color w:val="000000" w:themeColor="text1"/>
          <w:sz w:val="22"/>
        </w:rPr>
        <w:t>Choice is the result of many things, including principles-based standards, measurement uncertainty, and increasingly complex business transactions</w:t>
      </w:r>
    </w:p>
    <w:p w14:paraId="072BE278" w14:textId="0E757BB6" w:rsidR="00C068D8" w:rsidRPr="00AF0E8B" w:rsidRDefault="00C068D8" w:rsidP="00AF0E8B">
      <w:pPr>
        <w:pStyle w:val="ListParagraph"/>
        <w:numPr>
          <w:ilvl w:val="0"/>
          <w:numId w:val="21"/>
        </w:numPr>
        <w:spacing w:line="276" w:lineRule="auto"/>
        <w:ind w:left="1135"/>
        <w:rPr>
          <w:b/>
          <w:color w:val="E36C0A" w:themeColor="accent6" w:themeShade="BF"/>
          <w:sz w:val="22"/>
        </w:rPr>
      </w:pPr>
      <w:r w:rsidRPr="00AF0E8B">
        <w:rPr>
          <w:color w:val="000000" w:themeColor="text1"/>
          <w:sz w:val="22"/>
        </w:rPr>
        <w:t>If there is no primary source of GAAP for a specific decision, then professional judgment must be used, making sure that the accounting policies chosen are consistent with the primary sources of GAAP and the conceptual framework</w:t>
      </w:r>
    </w:p>
    <w:p w14:paraId="6B509BCA" w14:textId="4C87EECB" w:rsidR="00C068D8" w:rsidRPr="00AF0E8B" w:rsidRDefault="00C068D8" w:rsidP="00AF0E8B">
      <w:pPr>
        <w:pStyle w:val="ListParagraph"/>
        <w:numPr>
          <w:ilvl w:val="0"/>
          <w:numId w:val="21"/>
        </w:numPr>
        <w:spacing w:line="276" w:lineRule="auto"/>
        <w:ind w:left="1135"/>
        <w:rPr>
          <w:b/>
          <w:color w:val="E36C0A" w:themeColor="accent6" w:themeShade="BF"/>
          <w:sz w:val="22"/>
        </w:rPr>
      </w:pPr>
      <w:r w:rsidRPr="00AF0E8B">
        <w:rPr>
          <w:b/>
          <w:color w:val="000000" w:themeColor="text1"/>
          <w:sz w:val="22"/>
        </w:rPr>
        <w:t>Financial Engineering</w:t>
      </w:r>
      <w:r w:rsidRPr="00AF0E8B">
        <w:rPr>
          <w:color w:val="000000" w:themeColor="text1"/>
          <w:sz w:val="22"/>
        </w:rPr>
        <w:t xml:space="preserve"> is the process of legally structuring a business arrangement or transaction so that it meets the company’s financial reporting objective which can be a dangerous practice since it often results in biased info</w:t>
      </w:r>
    </w:p>
    <w:p w14:paraId="768D7B4E" w14:textId="6DCF468D" w:rsidR="00C068D8" w:rsidRPr="00AF0E8B" w:rsidRDefault="00C068D8" w:rsidP="00AF0E8B">
      <w:pPr>
        <w:pStyle w:val="ListParagraph"/>
        <w:numPr>
          <w:ilvl w:val="0"/>
          <w:numId w:val="21"/>
        </w:numPr>
        <w:spacing w:line="276" w:lineRule="auto"/>
        <w:ind w:left="1135"/>
        <w:rPr>
          <w:b/>
          <w:color w:val="E36C0A" w:themeColor="accent6" w:themeShade="BF"/>
          <w:sz w:val="22"/>
        </w:rPr>
      </w:pPr>
      <w:r w:rsidRPr="00AF0E8B">
        <w:rPr>
          <w:b/>
          <w:color w:val="000000" w:themeColor="text1"/>
          <w:sz w:val="22"/>
        </w:rPr>
        <w:t xml:space="preserve">Fraudulent Financial Reporting </w:t>
      </w:r>
      <w:r w:rsidRPr="00AF0E8B">
        <w:rPr>
          <w:color w:val="000000" w:themeColor="text1"/>
          <w:sz w:val="22"/>
        </w:rPr>
        <w:t>often results from pressures on individuals or the company which may come from various sources, including worsening company, industry, or economic conditions; unrealistic internal budgets; and financial statement focal points related to contractual, regulatory, or capital markets expectations</w:t>
      </w:r>
    </w:p>
    <w:p w14:paraId="6C39506D" w14:textId="399C1F7D" w:rsidR="00C068D8" w:rsidRPr="00AF0E8B" w:rsidRDefault="00C068D8" w:rsidP="00AF0E8B">
      <w:pPr>
        <w:pStyle w:val="ListParagraph"/>
        <w:numPr>
          <w:ilvl w:val="1"/>
          <w:numId w:val="21"/>
        </w:numPr>
        <w:spacing w:line="276" w:lineRule="auto"/>
        <w:ind w:left="1855"/>
        <w:rPr>
          <w:color w:val="000000" w:themeColor="text1"/>
          <w:sz w:val="22"/>
        </w:rPr>
      </w:pPr>
      <w:r w:rsidRPr="00AF0E8B">
        <w:rPr>
          <w:color w:val="000000" w:themeColor="text1"/>
          <w:sz w:val="22"/>
        </w:rPr>
        <w:t>Weak internal controls and governance also contribute to fraudulent financial reporting</w:t>
      </w:r>
    </w:p>
    <w:p w14:paraId="3570D11E" w14:textId="14B35441" w:rsidR="00C068D8" w:rsidRPr="00AF0E8B" w:rsidRDefault="00C068D8" w:rsidP="00AF0E8B">
      <w:pPr>
        <w:pStyle w:val="ListParagraph"/>
        <w:numPr>
          <w:ilvl w:val="0"/>
          <w:numId w:val="24"/>
        </w:numPr>
        <w:spacing w:line="276" w:lineRule="auto"/>
        <w:ind w:left="284"/>
        <w:rPr>
          <w:b/>
          <w:color w:val="E36C0A" w:themeColor="accent6" w:themeShade="BF"/>
          <w:sz w:val="22"/>
        </w:rPr>
      </w:pPr>
      <w:r w:rsidRPr="00AF0E8B">
        <w:rPr>
          <w:b/>
          <w:color w:val="E36C0A" w:themeColor="accent6" w:themeShade="BF"/>
          <w:sz w:val="22"/>
        </w:rPr>
        <w:t>Current trends in standard setting for the conceptual framework</w:t>
      </w:r>
    </w:p>
    <w:p w14:paraId="66417324" w14:textId="4F95F80E" w:rsidR="00C068D8" w:rsidRPr="00AF0E8B" w:rsidRDefault="00C068D8" w:rsidP="00AF0E8B">
      <w:pPr>
        <w:pStyle w:val="ListParagraph"/>
        <w:numPr>
          <w:ilvl w:val="0"/>
          <w:numId w:val="22"/>
        </w:numPr>
        <w:spacing w:line="276" w:lineRule="auto"/>
        <w:ind w:left="1135"/>
        <w:rPr>
          <w:color w:val="000000" w:themeColor="text1"/>
          <w:sz w:val="22"/>
        </w:rPr>
      </w:pPr>
      <w:r w:rsidRPr="00AF0E8B">
        <w:rPr>
          <w:color w:val="000000" w:themeColor="text1"/>
          <w:sz w:val="22"/>
        </w:rPr>
        <w:t>The IASB And FASB will continue to work toward a common conceptual framework</w:t>
      </w:r>
    </w:p>
    <w:p w14:paraId="5AE99F6D" w14:textId="10D8B588" w:rsidR="00C068D8" w:rsidRPr="00AF0E8B" w:rsidRDefault="00C068D8" w:rsidP="00AF0E8B">
      <w:pPr>
        <w:pStyle w:val="ListParagraph"/>
        <w:numPr>
          <w:ilvl w:val="0"/>
          <w:numId w:val="22"/>
        </w:numPr>
        <w:spacing w:line="276" w:lineRule="auto"/>
        <w:ind w:left="1135"/>
        <w:rPr>
          <w:color w:val="000000" w:themeColor="text1"/>
          <w:sz w:val="22"/>
        </w:rPr>
      </w:pPr>
      <w:r w:rsidRPr="00AF0E8B">
        <w:rPr>
          <w:color w:val="000000" w:themeColor="text1"/>
          <w:sz w:val="22"/>
        </w:rPr>
        <w:t>The pr</w:t>
      </w:r>
      <w:r w:rsidR="00CE28CA" w:rsidRPr="00AF0E8B">
        <w:rPr>
          <w:color w:val="000000" w:themeColor="text1"/>
          <w:sz w:val="22"/>
        </w:rPr>
        <w:t>o</w:t>
      </w:r>
      <w:r w:rsidRPr="00AF0E8B">
        <w:rPr>
          <w:color w:val="000000" w:themeColor="text1"/>
          <w:sz w:val="22"/>
        </w:rPr>
        <w:t xml:space="preserve">ject on objectives and </w:t>
      </w:r>
      <w:r w:rsidR="00CE28CA" w:rsidRPr="00AF0E8B">
        <w:rPr>
          <w:color w:val="000000" w:themeColor="text1"/>
          <w:sz w:val="22"/>
        </w:rPr>
        <w:t>qualitative</w:t>
      </w:r>
      <w:r w:rsidRPr="00AF0E8B">
        <w:rPr>
          <w:color w:val="000000" w:themeColor="text1"/>
          <w:sz w:val="22"/>
        </w:rPr>
        <w:t xml:space="preserve"> characteristics is complete</w:t>
      </w:r>
    </w:p>
    <w:p w14:paraId="656964CF" w14:textId="3BF10C0D" w:rsidR="00C068D8" w:rsidRPr="00AF0E8B" w:rsidRDefault="00C068D8" w:rsidP="00AF0E8B">
      <w:pPr>
        <w:pStyle w:val="ListParagraph"/>
        <w:numPr>
          <w:ilvl w:val="0"/>
          <w:numId w:val="22"/>
        </w:numPr>
        <w:spacing w:line="276" w:lineRule="auto"/>
        <w:ind w:left="1135"/>
        <w:rPr>
          <w:color w:val="000000" w:themeColor="text1"/>
          <w:sz w:val="22"/>
        </w:rPr>
      </w:pPr>
      <w:r w:rsidRPr="00AF0E8B">
        <w:rPr>
          <w:color w:val="000000" w:themeColor="text1"/>
          <w:sz w:val="22"/>
        </w:rPr>
        <w:t>The</w:t>
      </w:r>
      <w:r w:rsidR="00CE28CA" w:rsidRPr="00AF0E8B">
        <w:rPr>
          <w:color w:val="000000" w:themeColor="text1"/>
          <w:sz w:val="22"/>
        </w:rPr>
        <w:t xml:space="preserve"> b</w:t>
      </w:r>
      <w:r w:rsidRPr="00AF0E8B">
        <w:rPr>
          <w:color w:val="000000" w:themeColor="text1"/>
          <w:sz w:val="22"/>
        </w:rPr>
        <w:t xml:space="preserve">oards are </w:t>
      </w:r>
      <w:r w:rsidR="00CE28CA" w:rsidRPr="00AF0E8B">
        <w:rPr>
          <w:color w:val="000000" w:themeColor="text1"/>
          <w:sz w:val="22"/>
        </w:rPr>
        <w:t>focusing</w:t>
      </w:r>
      <w:r w:rsidRPr="00AF0E8B">
        <w:rPr>
          <w:color w:val="000000" w:themeColor="text1"/>
          <w:sz w:val="22"/>
        </w:rPr>
        <w:t xml:space="preserve"> on defining elements and the recognition</w:t>
      </w:r>
      <w:r w:rsidR="00CE28CA" w:rsidRPr="00AF0E8B">
        <w:rPr>
          <w:color w:val="000000" w:themeColor="text1"/>
          <w:sz w:val="22"/>
        </w:rPr>
        <w:t>/measurement frameworks</w:t>
      </w:r>
    </w:p>
    <w:p w14:paraId="05FC4F0F" w14:textId="1F162B0A" w:rsidR="00157C0B" w:rsidRPr="00AF0E8B" w:rsidRDefault="00157C0B" w:rsidP="00AF0E8B">
      <w:pPr>
        <w:pStyle w:val="ListParagraph"/>
        <w:numPr>
          <w:ilvl w:val="0"/>
          <w:numId w:val="34"/>
        </w:numPr>
        <w:spacing w:line="276" w:lineRule="auto"/>
        <w:ind w:left="284"/>
        <w:rPr>
          <w:b/>
          <w:color w:val="E36C0A" w:themeColor="accent6" w:themeShade="BF"/>
          <w:sz w:val="22"/>
        </w:rPr>
      </w:pPr>
      <w:r w:rsidRPr="00AF0E8B">
        <w:rPr>
          <w:b/>
          <w:color w:val="E36C0A" w:themeColor="accent6" w:themeShade="BF"/>
          <w:sz w:val="22"/>
        </w:rPr>
        <w:t>How fair value is measured (Appendix 2A)</w:t>
      </w:r>
    </w:p>
    <w:p w14:paraId="4237F4F9" w14:textId="78CE8B01" w:rsidR="00157C0B" w:rsidRPr="00AF0E8B" w:rsidRDefault="00157C0B" w:rsidP="00AF0E8B">
      <w:pPr>
        <w:pStyle w:val="ListParagraph"/>
        <w:numPr>
          <w:ilvl w:val="0"/>
          <w:numId w:val="35"/>
        </w:numPr>
        <w:spacing w:line="276" w:lineRule="auto"/>
        <w:ind w:left="1004"/>
        <w:rPr>
          <w:sz w:val="22"/>
        </w:rPr>
      </w:pPr>
      <w:r w:rsidRPr="00AF0E8B">
        <w:rPr>
          <w:sz w:val="22"/>
        </w:rPr>
        <w:t>Fair value measurement is a market-based approach that incorporates the specific attributes of the asset/liabilities being measures, the valuation premise (how the asset/liability is to be used), the principal market, and the valuation technique</w:t>
      </w:r>
    </w:p>
    <w:p w14:paraId="36131ED3" w14:textId="3463A929" w:rsidR="00157C0B" w:rsidRPr="00AF0E8B" w:rsidRDefault="00157C0B" w:rsidP="00AF0E8B">
      <w:pPr>
        <w:pStyle w:val="ListParagraph"/>
        <w:numPr>
          <w:ilvl w:val="0"/>
          <w:numId w:val="35"/>
        </w:numPr>
        <w:spacing w:line="276" w:lineRule="auto"/>
        <w:ind w:left="1004"/>
        <w:rPr>
          <w:sz w:val="22"/>
        </w:rPr>
      </w:pPr>
      <w:r w:rsidRPr="00AF0E8B">
        <w:rPr>
          <w:sz w:val="22"/>
        </w:rPr>
        <w:t>Since market prices are not always available, valuation models are used to measure the value</w:t>
      </w:r>
    </w:p>
    <w:p w14:paraId="7E1C7257" w14:textId="252F8001" w:rsidR="00157C0B" w:rsidRPr="00AF0E8B" w:rsidRDefault="00157C0B" w:rsidP="00AF0E8B">
      <w:pPr>
        <w:pStyle w:val="ListParagraph"/>
        <w:numPr>
          <w:ilvl w:val="1"/>
          <w:numId w:val="35"/>
        </w:numPr>
        <w:spacing w:line="276" w:lineRule="auto"/>
        <w:ind w:left="1724"/>
        <w:rPr>
          <w:sz w:val="22"/>
        </w:rPr>
      </w:pPr>
      <w:r w:rsidRPr="00AF0E8B">
        <w:rPr>
          <w:sz w:val="22"/>
        </w:rPr>
        <w:t>Inputs to these models are either observable in the market or not</w:t>
      </w:r>
    </w:p>
    <w:p w14:paraId="478966A1" w14:textId="5C837F57" w:rsidR="00157C0B" w:rsidRPr="00AF0E8B" w:rsidRDefault="00157C0B" w:rsidP="00AF0E8B">
      <w:pPr>
        <w:pStyle w:val="ListParagraph"/>
        <w:numPr>
          <w:ilvl w:val="1"/>
          <w:numId w:val="35"/>
        </w:numPr>
        <w:spacing w:line="276" w:lineRule="auto"/>
        <w:ind w:left="1724"/>
        <w:rPr>
          <w:sz w:val="22"/>
        </w:rPr>
      </w:pPr>
      <w:r w:rsidRPr="00AF0E8B">
        <w:rPr>
          <w:sz w:val="22"/>
        </w:rPr>
        <w:t>Observable inputs are most useful since they are most objective</w:t>
      </w:r>
    </w:p>
    <w:p w14:paraId="7C2CC4B6" w14:textId="22C9D98F" w:rsidR="00157C0B" w:rsidRPr="00AF0E8B" w:rsidRDefault="00157C0B" w:rsidP="00AF0E8B">
      <w:pPr>
        <w:pStyle w:val="ListParagraph"/>
        <w:numPr>
          <w:ilvl w:val="1"/>
          <w:numId w:val="35"/>
        </w:numPr>
        <w:spacing w:line="276" w:lineRule="auto"/>
        <w:ind w:left="1724"/>
        <w:rPr>
          <w:sz w:val="22"/>
        </w:rPr>
      </w:pPr>
      <w:r w:rsidRPr="00AF0E8B">
        <w:rPr>
          <w:sz w:val="22"/>
        </w:rPr>
        <w:t>The fair value hierarchy established three levels of inputs, with level 1 being the highest and best type of input (based on observable market prices). Because level 3 inputs are more subjective, additional disclosures are required</w:t>
      </w:r>
    </w:p>
    <w:p w14:paraId="69BF2628" w14:textId="44ECC383" w:rsidR="00157C0B" w:rsidRPr="00AF0E8B" w:rsidRDefault="00157C0B" w:rsidP="00AF0E8B">
      <w:pPr>
        <w:pStyle w:val="ListParagraph"/>
        <w:numPr>
          <w:ilvl w:val="0"/>
          <w:numId w:val="35"/>
        </w:numPr>
        <w:spacing w:line="276" w:lineRule="auto"/>
        <w:ind w:left="1004"/>
        <w:rPr>
          <w:sz w:val="22"/>
        </w:rPr>
      </w:pPr>
      <w:r w:rsidRPr="00AF0E8B">
        <w:rPr>
          <w:sz w:val="22"/>
        </w:rPr>
        <w:t>Valuation models include discounted cash flow and options pricing models</w:t>
      </w:r>
    </w:p>
    <w:p w14:paraId="24F59A76" w14:textId="6FF60962" w:rsidR="00003879" w:rsidRPr="00AF0E8B" w:rsidRDefault="00003879" w:rsidP="00AF0E8B">
      <w:pPr>
        <w:spacing w:line="276" w:lineRule="auto"/>
        <w:rPr>
          <w:b/>
          <w:color w:val="660066"/>
          <w:u w:val="single"/>
        </w:rPr>
      </w:pPr>
      <w:r w:rsidRPr="00AF0E8B">
        <w:rPr>
          <w:b/>
          <w:color w:val="660066"/>
          <w:u w:val="single"/>
        </w:rPr>
        <w:t>Chapter 3</w:t>
      </w:r>
    </w:p>
    <w:p w14:paraId="3EB407F9" w14:textId="71297673" w:rsidR="001F6DBA" w:rsidRPr="00AF0E8B" w:rsidRDefault="00003879" w:rsidP="00AF0E8B">
      <w:pPr>
        <w:pStyle w:val="ListParagraph"/>
        <w:numPr>
          <w:ilvl w:val="0"/>
          <w:numId w:val="23"/>
        </w:numPr>
        <w:spacing w:line="276" w:lineRule="auto"/>
        <w:ind w:left="360"/>
        <w:rPr>
          <w:b/>
          <w:color w:val="E36C0A" w:themeColor="accent6" w:themeShade="BF"/>
          <w:sz w:val="22"/>
        </w:rPr>
      </w:pPr>
      <w:r w:rsidRPr="00AF0E8B">
        <w:rPr>
          <w:b/>
          <w:color w:val="E36C0A" w:themeColor="accent6" w:themeShade="BF"/>
          <w:sz w:val="22"/>
        </w:rPr>
        <w:t>Basic accounting terminology</w:t>
      </w:r>
    </w:p>
    <w:p w14:paraId="5EB21974" w14:textId="46A4471D" w:rsidR="001F6DBA" w:rsidRPr="00AF0E8B" w:rsidRDefault="001F6DBA" w:rsidP="00AF0E8B">
      <w:pPr>
        <w:pStyle w:val="ListParagraph"/>
        <w:numPr>
          <w:ilvl w:val="0"/>
          <w:numId w:val="25"/>
        </w:numPr>
        <w:spacing w:line="276" w:lineRule="auto"/>
        <w:ind w:left="1080"/>
        <w:rPr>
          <w:b/>
          <w:color w:val="E36C0A" w:themeColor="accent6" w:themeShade="BF"/>
          <w:sz w:val="22"/>
        </w:rPr>
      </w:pPr>
      <w:r w:rsidRPr="00AF0E8B">
        <w:rPr>
          <w:b/>
          <w:color w:val="000000" w:themeColor="text1"/>
          <w:sz w:val="22"/>
        </w:rPr>
        <w:t>Event</w:t>
      </w:r>
      <w:r w:rsidR="00D40BC8" w:rsidRPr="00AF0E8B">
        <w:rPr>
          <w:b/>
          <w:color w:val="000000" w:themeColor="text1"/>
          <w:sz w:val="22"/>
        </w:rPr>
        <w:t xml:space="preserve"> – </w:t>
      </w:r>
      <w:r w:rsidR="00D40BC8" w:rsidRPr="00AF0E8B">
        <w:rPr>
          <w:color w:val="000000" w:themeColor="text1"/>
          <w:sz w:val="22"/>
        </w:rPr>
        <w:t>generally the source or cause of changes in assets, liabilities, and equity</w:t>
      </w:r>
    </w:p>
    <w:p w14:paraId="6B18381F" w14:textId="045F0169" w:rsidR="001F6DBA" w:rsidRPr="00AF0E8B" w:rsidRDefault="001F6DBA" w:rsidP="00AF0E8B">
      <w:pPr>
        <w:pStyle w:val="ListParagraph"/>
        <w:numPr>
          <w:ilvl w:val="0"/>
          <w:numId w:val="25"/>
        </w:numPr>
        <w:spacing w:line="276" w:lineRule="auto"/>
        <w:ind w:left="1080"/>
        <w:rPr>
          <w:b/>
          <w:color w:val="E36C0A" w:themeColor="accent6" w:themeShade="BF"/>
          <w:sz w:val="22"/>
        </w:rPr>
      </w:pPr>
      <w:r w:rsidRPr="00AF0E8B">
        <w:rPr>
          <w:b/>
          <w:color w:val="000000" w:themeColor="text1"/>
          <w:sz w:val="22"/>
        </w:rPr>
        <w:t>Transaction</w:t>
      </w:r>
      <w:r w:rsidR="00D40BC8" w:rsidRPr="00AF0E8B">
        <w:rPr>
          <w:b/>
          <w:color w:val="000000" w:themeColor="text1"/>
          <w:sz w:val="22"/>
        </w:rPr>
        <w:t xml:space="preserve"> – </w:t>
      </w:r>
      <w:r w:rsidR="00D40BC8" w:rsidRPr="00AF0E8B">
        <w:rPr>
          <w:color w:val="000000" w:themeColor="text1"/>
          <w:sz w:val="22"/>
        </w:rPr>
        <w:t xml:space="preserve">an </w:t>
      </w:r>
      <w:r w:rsidR="00D40BC8" w:rsidRPr="00AF0E8B">
        <w:rPr>
          <w:b/>
          <w:color w:val="000000" w:themeColor="text1"/>
          <w:sz w:val="22"/>
        </w:rPr>
        <w:t>external event</w:t>
      </w:r>
      <w:r w:rsidR="00D40BC8" w:rsidRPr="00AF0E8B">
        <w:rPr>
          <w:color w:val="000000" w:themeColor="text1"/>
          <w:sz w:val="22"/>
        </w:rPr>
        <w:t xml:space="preserve"> involving a transfer or exchange between two or more entities or parties</w:t>
      </w:r>
    </w:p>
    <w:p w14:paraId="6F3B1DAE" w14:textId="458B5FD9" w:rsidR="001F6DBA" w:rsidRPr="00AF0E8B" w:rsidRDefault="001F6DBA" w:rsidP="00AF0E8B">
      <w:pPr>
        <w:pStyle w:val="ListParagraph"/>
        <w:numPr>
          <w:ilvl w:val="0"/>
          <w:numId w:val="25"/>
        </w:numPr>
        <w:spacing w:line="276" w:lineRule="auto"/>
        <w:ind w:left="1080"/>
        <w:rPr>
          <w:b/>
          <w:color w:val="E36C0A" w:themeColor="accent6" w:themeShade="BF"/>
          <w:sz w:val="22"/>
        </w:rPr>
      </w:pPr>
      <w:r w:rsidRPr="00AF0E8B">
        <w:rPr>
          <w:b/>
          <w:color w:val="000000" w:themeColor="text1"/>
          <w:sz w:val="22"/>
        </w:rPr>
        <w:t>Account</w:t>
      </w:r>
      <w:r w:rsidR="00D40BC8" w:rsidRPr="00AF0E8B">
        <w:rPr>
          <w:b/>
          <w:color w:val="000000" w:themeColor="text1"/>
          <w:sz w:val="22"/>
        </w:rPr>
        <w:t xml:space="preserve"> – </w:t>
      </w:r>
      <w:r w:rsidR="00D40BC8" w:rsidRPr="00AF0E8B">
        <w:rPr>
          <w:color w:val="000000" w:themeColor="text1"/>
          <w:sz w:val="22"/>
        </w:rPr>
        <w:t>a systematic arrangement that accumulated transactions and other events</w:t>
      </w:r>
    </w:p>
    <w:p w14:paraId="45FA38F1" w14:textId="331C8584" w:rsidR="001F6DBA" w:rsidRPr="00AF0E8B" w:rsidRDefault="001F6DBA" w:rsidP="00AF0E8B">
      <w:pPr>
        <w:pStyle w:val="ListParagraph"/>
        <w:numPr>
          <w:ilvl w:val="0"/>
          <w:numId w:val="25"/>
        </w:numPr>
        <w:spacing w:line="276" w:lineRule="auto"/>
        <w:ind w:left="1080"/>
        <w:rPr>
          <w:b/>
          <w:color w:val="E36C0A" w:themeColor="accent6" w:themeShade="BF"/>
          <w:sz w:val="22"/>
        </w:rPr>
      </w:pPr>
      <w:r w:rsidRPr="00AF0E8B">
        <w:rPr>
          <w:b/>
          <w:color w:val="000000" w:themeColor="text1"/>
          <w:sz w:val="22"/>
        </w:rPr>
        <w:t>Permanent and temporary accounts</w:t>
      </w:r>
      <w:r w:rsidR="00D40BC8" w:rsidRPr="00AF0E8B">
        <w:rPr>
          <w:b/>
          <w:color w:val="000000" w:themeColor="text1"/>
          <w:sz w:val="22"/>
        </w:rPr>
        <w:t xml:space="preserve"> – Permanent </w:t>
      </w:r>
      <w:r w:rsidR="004F0FC6" w:rsidRPr="00AF0E8B">
        <w:rPr>
          <w:color w:val="000000" w:themeColor="text1"/>
          <w:sz w:val="22"/>
        </w:rPr>
        <w:t>accounts are</w:t>
      </w:r>
      <w:r w:rsidR="00D40BC8" w:rsidRPr="00AF0E8B">
        <w:rPr>
          <w:color w:val="000000" w:themeColor="text1"/>
          <w:sz w:val="22"/>
        </w:rPr>
        <w:t xml:space="preserve"> asset, liability, and equity accounts; they appear on the statement of financial position whereas </w:t>
      </w:r>
      <w:r w:rsidR="00D40BC8" w:rsidRPr="00AF0E8B">
        <w:rPr>
          <w:b/>
          <w:color w:val="000000" w:themeColor="text1"/>
          <w:sz w:val="22"/>
        </w:rPr>
        <w:t>temporary</w:t>
      </w:r>
      <w:r w:rsidR="00D40BC8" w:rsidRPr="00AF0E8B">
        <w:rPr>
          <w:color w:val="000000" w:themeColor="text1"/>
          <w:sz w:val="22"/>
        </w:rPr>
        <w:t xml:space="preserve"> accounts are revenue, expenses, and dividend accounts; except for dividends, they appear on the statement of comprehensive income and are closed at the end of each fiscal year</w:t>
      </w:r>
    </w:p>
    <w:p w14:paraId="1CF5EA88" w14:textId="52B170B2" w:rsidR="001F6DBA" w:rsidRPr="00AF0E8B" w:rsidRDefault="001F6DBA" w:rsidP="00AF0E8B">
      <w:pPr>
        <w:pStyle w:val="ListParagraph"/>
        <w:numPr>
          <w:ilvl w:val="0"/>
          <w:numId w:val="25"/>
        </w:numPr>
        <w:spacing w:line="276" w:lineRule="auto"/>
        <w:ind w:left="1080"/>
        <w:rPr>
          <w:b/>
          <w:color w:val="E36C0A" w:themeColor="accent6" w:themeShade="BF"/>
          <w:sz w:val="22"/>
        </w:rPr>
      </w:pPr>
      <w:r w:rsidRPr="00AF0E8B">
        <w:rPr>
          <w:b/>
          <w:color w:val="000000" w:themeColor="text1"/>
          <w:sz w:val="22"/>
        </w:rPr>
        <w:t>Ledger</w:t>
      </w:r>
      <w:r w:rsidR="004F0FC6" w:rsidRPr="00AF0E8B">
        <w:rPr>
          <w:b/>
          <w:color w:val="000000" w:themeColor="text1"/>
          <w:sz w:val="22"/>
        </w:rPr>
        <w:t xml:space="preserve">– </w:t>
      </w:r>
      <w:r w:rsidR="004F0FC6" w:rsidRPr="00AF0E8B">
        <w:rPr>
          <w:color w:val="000000" w:themeColor="text1"/>
          <w:sz w:val="22"/>
        </w:rPr>
        <w:t>the book containing the accounts</w:t>
      </w:r>
    </w:p>
    <w:p w14:paraId="7C3D38BF" w14:textId="607DC9D6" w:rsidR="004F0FC6" w:rsidRPr="00AF0E8B" w:rsidRDefault="004F0FC6" w:rsidP="00AF0E8B">
      <w:pPr>
        <w:pStyle w:val="ListParagraph"/>
        <w:numPr>
          <w:ilvl w:val="0"/>
          <w:numId w:val="25"/>
        </w:numPr>
        <w:spacing w:line="276" w:lineRule="auto"/>
        <w:ind w:left="1080"/>
        <w:rPr>
          <w:b/>
          <w:color w:val="E36C0A" w:themeColor="accent6" w:themeShade="BF"/>
          <w:sz w:val="22"/>
        </w:rPr>
      </w:pPr>
      <w:r w:rsidRPr="00AF0E8B">
        <w:rPr>
          <w:b/>
          <w:color w:val="000000" w:themeColor="text1"/>
          <w:sz w:val="22"/>
        </w:rPr>
        <w:t xml:space="preserve">Journal – </w:t>
      </w:r>
      <w:r w:rsidRPr="00AF0E8B">
        <w:rPr>
          <w:color w:val="000000" w:themeColor="text1"/>
          <w:sz w:val="22"/>
        </w:rPr>
        <w:t>the book of original entry where transactions and other selected events are first recorded</w:t>
      </w:r>
    </w:p>
    <w:p w14:paraId="3EAFA6A7" w14:textId="119DB3D6" w:rsidR="001F6DBA" w:rsidRPr="00AF0E8B" w:rsidRDefault="001F6DBA" w:rsidP="00AF0E8B">
      <w:pPr>
        <w:pStyle w:val="ListParagraph"/>
        <w:numPr>
          <w:ilvl w:val="0"/>
          <w:numId w:val="25"/>
        </w:numPr>
        <w:spacing w:line="276" w:lineRule="auto"/>
        <w:ind w:left="1080"/>
        <w:rPr>
          <w:b/>
          <w:color w:val="E36C0A" w:themeColor="accent6" w:themeShade="BF"/>
          <w:sz w:val="22"/>
        </w:rPr>
      </w:pPr>
      <w:r w:rsidRPr="00AF0E8B">
        <w:rPr>
          <w:b/>
          <w:color w:val="000000" w:themeColor="text1"/>
          <w:sz w:val="22"/>
        </w:rPr>
        <w:t>Posting</w:t>
      </w:r>
      <w:r w:rsidR="004F0FC6" w:rsidRPr="00AF0E8B">
        <w:rPr>
          <w:b/>
          <w:color w:val="000000" w:themeColor="text1"/>
          <w:sz w:val="22"/>
        </w:rPr>
        <w:t xml:space="preserve"> – </w:t>
      </w:r>
      <w:r w:rsidR="004F0FC6" w:rsidRPr="00AF0E8B">
        <w:rPr>
          <w:color w:val="000000" w:themeColor="text1"/>
          <w:sz w:val="22"/>
        </w:rPr>
        <w:t>the process of transferring the essential facts and figures from the journal to the ledger accounts</w:t>
      </w:r>
    </w:p>
    <w:p w14:paraId="54AE7903" w14:textId="34C9CF46" w:rsidR="001F6DBA" w:rsidRPr="00AF0E8B" w:rsidRDefault="001F6DBA" w:rsidP="00AF0E8B">
      <w:pPr>
        <w:pStyle w:val="ListParagraph"/>
        <w:numPr>
          <w:ilvl w:val="0"/>
          <w:numId w:val="25"/>
        </w:numPr>
        <w:spacing w:line="276" w:lineRule="auto"/>
        <w:ind w:left="1080"/>
        <w:rPr>
          <w:b/>
          <w:color w:val="E36C0A" w:themeColor="accent6" w:themeShade="BF"/>
          <w:sz w:val="22"/>
        </w:rPr>
      </w:pPr>
      <w:r w:rsidRPr="00AF0E8B">
        <w:rPr>
          <w:b/>
          <w:color w:val="000000" w:themeColor="text1"/>
          <w:sz w:val="22"/>
        </w:rPr>
        <w:t>Trial balance</w:t>
      </w:r>
      <w:r w:rsidR="004F0FC6" w:rsidRPr="00AF0E8B">
        <w:rPr>
          <w:b/>
          <w:color w:val="000000" w:themeColor="text1"/>
          <w:sz w:val="22"/>
        </w:rPr>
        <w:t xml:space="preserve"> – </w:t>
      </w:r>
      <w:r w:rsidR="004F0FC6" w:rsidRPr="00AF0E8B">
        <w:rPr>
          <w:color w:val="000000" w:themeColor="text1"/>
          <w:sz w:val="22"/>
        </w:rPr>
        <w:t>a list of all open accounts in the ledger and their balances</w:t>
      </w:r>
    </w:p>
    <w:p w14:paraId="02244531" w14:textId="5D85A0C7" w:rsidR="001F6DBA" w:rsidRPr="00AF0E8B" w:rsidRDefault="001F6DBA" w:rsidP="00AF0E8B">
      <w:pPr>
        <w:pStyle w:val="ListParagraph"/>
        <w:numPr>
          <w:ilvl w:val="0"/>
          <w:numId w:val="25"/>
        </w:numPr>
        <w:spacing w:line="276" w:lineRule="auto"/>
        <w:ind w:left="1080"/>
        <w:rPr>
          <w:b/>
          <w:color w:val="E36C0A" w:themeColor="accent6" w:themeShade="BF"/>
          <w:sz w:val="22"/>
        </w:rPr>
      </w:pPr>
      <w:r w:rsidRPr="00AF0E8B">
        <w:rPr>
          <w:b/>
          <w:color w:val="000000" w:themeColor="text1"/>
          <w:sz w:val="22"/>
        </w:rPr>
        <w:t>Adjusting entries</w:t>
      </w:r>
      <w:r w:rsidR="004F0FC6" w:rsidRPr="00AF0E8B">
        <w:rPr>
          <w:b/>
          <w:color w:val="000000" w:themeColor="text1"/>
          <w:sz w:val="22"/>
        </w:rPr>
        <w:t xml:space="preserve"> – </w:t>
      </w:r>
      <w:r w:rsidR="004F0FC6" w:rsidRPr="00AF0E8B">
        <w:rPr>
          <w:color w:val="000000" w:themeColor="text1"/>
          <w:sz w:val="22"/>
        </w:rPr>
        <w:t>entries that are made at the end of an accounting period to bring all accounts up to date on an accrual accounting basis so that the correct financial statements can be prepared</w:t>
      </w:r>
    </w:p>
    <w:p w14:paraId="24EA4A08" w14:textId="25FE47BF" w:rsidR="001F6DBA" w:rsidRPr="00AF0E8B" w:rsidRDefault="001F6DBA" w:rsidP="00AF0E8B">
      <w:pPr>
        <w:pStyle w:val="ListParagraph"/>
        <w:numPr>
          <w:ilvl w:val="0"/>
          <w:numId w:val="25"/>
        </w:numPr>
        <w:spacing w:line="276" w:lineRule="auto"/>
        <w:ind w:left="1080"/>
        <w:rPr>
          <w:b/>
          <w:color w:val="E36C0A" w:themeColor="accent6" w:themeShade="BF"/>
          <w:sz w:val="22"/>
        </w:rPr>
      </w:pPr>
      <w:r w:rsidRPr="00AF0E8B">
        <w:rPr>
          <w:b/>
          <w:color w:val="000000" w:themeColor="text1"/>
          <w:sz w:val="22"/>
        </w:rPr>
        <w:t>Financial statements</w:t>
      </w:r>
      <w:r w:rsidR="004F0FC6" w:rsidRPr="00AF0E8B">
        <w:rPr>
          <w:b/>
          <w:color w:val="000000" w:themeColor="text1"/>
          <w:sz w:val="22"/>
        </w:rPr>
        <w:t xml:space="preserve"> – </w:t>
      </w:r>
      <w:r w:rsidR="004F0FC6" w:rsidRPr="00AF0E8B">
        <w:rPr>
          <w:color w:val="000000" w:themeColor="text1"/>
          <w:sz w:val="22"/>
        </w:rPr>
        <w:t>statements that reflect the collecting, tabulating, and final summarizing of the accounting data</w:t>
      </w:r>
    </w:p>
    <w:p w14:paraId="04A08251" w14:textId="7E284ACD" w:rsidR="001F6DBA" w:rsidRPr="00AF0E8B" w:rsidRDefault="001F6DBA" w:rsidP="00AF0E8B">
      <w:pPr>
        <w:pStyle w:val="ListParagraph"/>
        <w:numPr>
          <w:ilvl w:val="0"/>
          <w:numId w:val="25"/>
        </w:numPr>
        <w:spacing w:line="276" w:lineRule="auto"/>
        <w:ind w:left="1080"/>
        <w:rPr>
          <w:b/>
          <w:color w:val="E36C0A" w:themeColor="accent6" w:themeShade="BF"/>
          <w:sz w:val="22"/>
        </w:rPr>
      </w:pPr>
      <w:r w:rsidRPr="00AF0E8B">
        <w:rPr>
          <w:b/>
          <w:color w:val="000000" w:themeColor="text1"/>
          <w:sz w:val="22"/>
        </w:rPr>
        <w:t>Closing entries</w:t>
      </w:r>
      <w:r w:rsidR="004F0FC6" w:rsidRPr="00AF0E8B">
        <w:rPr>
          <w:b/>
          <w:color w:val="000000" w:themeColor="text1"/>
          <w:sz w:val="22"/>
        </w:rPr>
        <w:t xml:space="preserve"> – </w:t>
      </w:r>
      <w:r w:rsidR="004F0FC6" w:rsidRPr="00AF0E8B">
        <w:rPr>
          <w:color w:val="000000" w:themeColor="text1"/>
          <w:sz w:val="22"/>
        </w:rPr>
        <w:t>the formal process for reducing temporary accounts to zero and then determining net income or net loss and transferring it to an owner’s equity account</w:t>
      </w:r>
    </w:p>
    <w:p w14:paraId="5D6223A5" w14:textId="47E94478" w:rsidR="0086185D" w:rsidRPr="00AF0E8B" w:rsidRDefault="0086185D" w:rsidP="00AF0E8B">
      <w:pPr>
        <w:pStyle w:val="ListParagraph"/>
        <w:numPr>
          <w:ilvl w:val="0"/>
          <w:numId w:val="23"/>
        </w:numPr>
        <w:spacing w:line="276" w:lineRule="auto"/>
        <w:ind w:left="360"/>
        <w:rPr>
          <w:b/>
          <w:color w:val="E36C0A" w:themeColor="accent6" w:themeShade="BF"/>
          <w:sz w:val="22"/>
        </w:rPr>
      </w:pPr>
      <w:r w:rsidRPr="00AF0E8B">
        <w:rPr>
          <w:b/>
          <w:color w:val="E36C0A" w:themeColor="accent6" w:themeShade="BF"/>
          <w:sz w:val="22"/>
        </w:rPr>
        <w:t>Double-entry rules</w:t>
      </w:r>
    </w:p>
    <w:p w14:paraId="5DF9817B" w14:textId="724B8491" w:rsidR="0086185D" w:rsidRPr="00AF0E8B" w:rsidRDefault="0086185D" w:rsidP="00AF0E8B">
      <w:pPr>
        <w:pStyle w:val="ListParagraph"/>
        <w:numPr>
          <w:ilvl w:val="0"/>
          <w:numId w:val="26"/>
        </w:numPr>
        <w:spacing w:line="276" w:lineRule="auto"/>
        <w:ind w:left="1080"/>
        <w:rPr>
          <w:color w:val="000000" w:themeColor="text1"/>
          <w:sz w:val="22"/>
        </w:rPr>
      </w:pPr>
      <w:r w:rsidRPr="00AF0E8B">
        <w:rPr>
          <w:color w:val="000000" w:themeColor="text1"/>
          <w:sz w:val="22"/>
        </w:rPr>
        <w:t>The left side of any account is the debit side; the right side is the credit side</w:t>
      </w:r>
    </w:p>
    <w:p w14:paraId="0B270084" w14:textId="797896C0" w:rsidR="0086185D" w:rsidRPr="00AF0E8B" w:rsidRDefault="0086185D" w:rsidP="00AF0E8B">
      <w:pPr>
        <w:pStyle w:val="ListParagraph"/>
        <w:numPr>
          <w:ilvl w:val="0"/>
          <w:numId w:val="26"/>
        </w:numPr>
        <w:spacing w:line="276" w:lineRule="auto"/>
        <w:ind w:left="1080"/>
        <w:rPr>
          <w:color w:val="000000" w:themeColor="text1"/>
          <w:sz w:val="22"/>
        </w:rPr>
      </w:pPr>
      <w:r w:rsidRPr="00AF0E8B">
        <w:rPr>
          <w:color w:val="000000" w:themeColor="text1"/>
          <w:sz w:val="22"/>
        </w:rPr>
        <w:t>All asset and expense accounts are increased when debited and decreased when credited</w:t>
      </w:r>
    </w:p>
    <w:p w14:paraId="21D88F4B" w14:textId="4B56EAEB" w:rsidR="0086185D" w:rsidRPr="00AF0E8B" w:rsidRDefault="0086185D" w:rsidP="00AF0E8B">
      <w:pPr>
        <w:pStyle w:val="ListParagraph"/>
        <w:numPr>
          <w:ilvl w:val="0"/>
          <w:numId w:val="26"/>
        </w:numPr>
        <w:spacing w:line="276" w:lineRule="auto"/>
        <w:ind w:left="1080"/>
        <w:rPr>
          <w:color w:val="000000" w:themeColor="text1"/>
          <w:sz w:val="22"/>
        </w:rPr>
      </w:pPr>
      <w:r w:rsidRPr="00AF0E8B">
        <w:rPr>
          <w:color w:val="000000" w:themeColor="text1"/>
          <w:sz w:val="22"/>
        </w:rPr>
        <w:t>All liability and revenue accounts are increased when credited and decreased when debited</w:t>
      </w:r>
    </w:p>
    <w:p w14:paraId="607F28B6" w14:textId="7A03AC52" w:rsidR="0086185D" w:rsidRPr="00AF0E8B" w:rsidRDefault="0086185D" w:rsidP="00AF0E8B">
      <w:pPr>
        <w:pStyle w:val="ListParagraph"/>
        <w:numPr>
          <w:ilvl w:val="0"/>
          <w:numId w:val="26"/>
        </w:numPr>
        <w:spacing w:line="276" w:lineRule="auto"/>
        <w:ind w:left="1080"/>
        <w:rPr>
          <w:color w:val="000000" w:themeColor="text1"/>
          <w:sz w:val="22"/>
        </w:rPr>
      </w:pPr>
      <w:r w:rsidRPr="00AF0E8B">
        <w:rPr>
          <w:color w:val="000000" w:themeColor="text1"/>
          <w:sz w:val="22"/>
        </w:rPr>
        <w:t>Shareholders’ equity, Common Stock and Retained Earnings are increased on the credit side, whereas Dividends is increased on the debit side</w:t>
      </w:r>
    </w:p>
    <w:p w14:paraId="61E9CC45" w14:textId="4012BE6E" w:rsidR="00D84DC2" w:rsidRPr="00AF0E8B" w:rsidRDefault="00D84DC2" w:rsidP="00AF0E8B">
      <w:pPr>
        <w:pStyle w:val="ListParagraph"/>
        <w:numPr>
          <w:ilvl w:val="0"/>
          <w:numId w:val="23"/>
        </w:numPr>
        <w:spacing w:line="276" w:lineRule="auto"/>
        <w:ind w:left="360"/>
        <w:rPr>
          <w:color w:val="000000" w:themeColor="text1"/>
          <w:sz w:val="22"/>
        </w:rPr>
      </w:pPr>
      <w:r w:rsidRPr="00AF0E8B">
        <w:rPr>
          <w:b/>
          <w:color w:val="E36C0A" w:themeColor="accent6" w:themeShade="BF"/>
          <w:sz w:val="22"/>
        </w:rPr>
        <w:t>How transactions affect the accounting equation</w:t>
      </w:r>
    </w:p>
    <w:p w14:paraId="28D64B47" w14:textId="0D49BF49" w:rsidR="00D84DC2" w:rsidRPr="00AF0E8B" w:rsidRDefault="00D84DC2" w:rsidP="00AF0E8B">
      <w:pPr>
        <w:pStyle w:val="ListParagraph"/>
        <w:numPr>
          <w:ilvl w:val="0"/>
          <w:numId w:val="27"/>
        </w:numPr>
        <w:spacing w:line="276" w:lineRule="auto"/>
        <w:ind w:left="1080"/>
        <w:rPr>
          <w:sz w:val="22"/>
        </w:rPr>
      </w:pPr>
      <w:r w:rsidRPr="00AF0E8B">
        <w:rPr>
          <w:sz w:val="22"/>
        </w:rPr>
        <w:t>In a double-entry accounting system, for every debit there must be a credit and vice versa</w:t>
      </w:r>
    </w:p>
    <w:p w14:paraId="2EAF11C7" w14:textId="5E51528E" w:rsidR="00D84DC2" w:rsidRPr="00AF0E8B" w:rsidRDefault="00D84DC2" w:rsidP="00AF0E8B">
      <w:pPr>
        <w:pStyle w:val="ListParagraph"/>
        <w:numPr>
          <w:ilvl w:val="0"/>
          <w:numId w:val="27"/>
        </w:numPr>
        <w:spacing w:line="276" w:lineRule="auto"/>
        <w:ind w:left="1080"/>
        <w:rPr>
          <w:sz w:val="22"/>
        </w:rPr>
      </w:pPr>
      <w:r w:rsidRPr="00AF0E8B">
        <w:rPr>
          <w:sz w:val="22"/>
        </w:rPr>
        <w:t>The basic accounting equation for corporations: Assets = Liabilities + Shareholders’ Equity</w:t>
      </w:r>
    </w:p>
    <w:p w14:paraId="15E070BA" w14:textId="40FC4D62" w:rsidR="00D84DC2" w:rsidRPr="00AF0E8B" w:rsidRDefault="00D84DC2" w:rsidP="00AF0E8B">
      <w:pPr>
        <w:pStyle w:val="ListParagraph"/>
        <w:numPr>
          <w:ilvl w:val="0"/>
          <w:numId w:val="27"/>
        </w:numPr>
        <w:spacing w:line="276" w:lineRule="auto"/>
        <w:ind w:left="1080"/>
        <w:rPr>
          <w:sz w:val="22"/>
        </w:rPr>
      </w:pPr>
      <w:r w:rsidRPr="00AF0E8B">
        <w:rPr>
          <w:sz w:val="22"/>
        </w:rPr>
        <w:t>The effect of individual transactions on the statement of financial position can be explained using the basic accounting equation</w:t>
      </w:r>
    </w:p>
    <w:p w14:paraId="512CDBE2" w14:textId="369FA3FE" w:rsidR="00D84DC2" w:rsidRPr="00AF0E8B" w:rsidRDefault="00D84DC2" w:rsidP="00AF0E8B">
      <w:pPr>
        <w:pStyle w:val="ListParagraph"/>
        <w:numPr>
          <w:ilvl w:val="0"/>
          <w:numId w:val="27"/>
        </w:numPr>
        <w:spacing w:line="276" w:lineRule="auto"/>
        <w:ind w:left="1080"/>
        <w:rPr>
          <w:sz w:val="22"/>
        </w:rPr>
      </w:pPr>
      <w:r w:rsidRPr="00AF0E8B">
        <w:rPr>
          <w:sz w:val="22"/>
        </w:rPr>
        <w:t>The shareholders’ equity portion of the equation can also be expanded to illustrate the effect of transactions on components of equity such as common shares and retained earnings</w:t>
      </w:r>
    </w:p>
    <w:p w14:paraId="64C6B877" w14:textId="022999AF" w:rsidR="00D84DC2" w:rsidRPr="00AF0E8B" w:rsidRDefault="00D84DC2" w:rsidP="00AF0E8B">
      <w:pPr>
        <w:pStyle w:val="ListParagraph"/>
        <w:numPr>
          <w:ilvl w:val="0"/>
          <w:numId w:val="27"/>
        </w:numPr>
        <w:spacing w:line="276" w:lineRule="auto"/>
        <w:ind w:left="1080"/>
        <w:rPr>
          <w:sz w:val="22"/>
        </w:rPr>
      </w:pPr>
      <w:r w:rsidRPr="00AF0E8B">
        <w:rPr>
          <w:sz w:val="22"/>
        </w:rPr>
        <w:t>Whenever a transaction occurs, the elements of the equation change, but the equality of the two sides of the equation remains unaffected.</w:t>
      </w:r>
    </w:p>
    <w:p w14:paraId="0F11E978" w14:textId="4E8A213B" w:rsidR="00D84DC2" w:rsidRPr="00AF0E8B" w:rsidRDefault="00D84DC2" w:rsidP="00AF0E8B">
      <w:pPr>
        <w:pStyle w:val="ListParagraph"/>
        <w:numPr>
          <w:ilvl w:val="0"/>
          <w:numId w:val="23"/>
        </w:numPr>
        <w:spacing w:line="276" w:lineRule="auto"/>
        <w:ind w:left="360"/>
        <w:rPr>
          <w:b/>
          <w:color w:val="E36C0A" w:themeColor="accent6" w:themeShade="BF"/>
          <w:sz w:val="22"/>
        </w:rPr>
      </w:pPr>
      <w:r w:rsidRPr="00AF0E8B">
        <w:rPr>
          <w:b/>
          <w:color w:val="E36C0A" w:themeColor="accent6" w:themeShade="BF"/>
          <w:sz w:val="22"/>
        </w:rPr>
        <w:t>The steps in the accounting cycle and the steps in the recording process</w:t>
      </w:r>
    </w:p>
    <w:p w14:paraId="2429B791" w14:textId="426C8807" w:rsidR="00D84DC2" w:rsidRPr="00AF0E8B" w:rsidRDefault="00D84DC2" w:rsidP="00AF0E8B">
      <w:pPr>
        <w:pStyle w:val="ListParagraph"/>
        <w:numPr>
          <w:ilvl w:val="0"/>
          <w:numId w:val="28"/>
        </w:numPr>
        <w:spacing w:line="276" w:lineRule="auto"/>
        <w:ind w:left="1080"/>
        <w:rPr>
          <w:sz w:val="22"/>
        </w:rPr>
      </w:pPr>
      <w:r w:rsidRPr="00AF0E8B">
        <w:rPr>
          <w:sz w:val="22"/>
        </w:rPr>
        <w:t xml:space="preserve">(1) </w:t>
      </w:r>
      <w:r w:rsidR="00DC4EF2" w:rsidRPr="00AF0E8B">
        <w:rPr>
          <w:sz w:val="22"/>
        </w:rPr>
        <w:t>Identification</w:t>
      </w:r>
      <w:r w:rsidRPr="00AF0E8B">
        <w:rPr>
          <w:sz w:val="22"/>
        </w:rPr>
        <w:t xml:space="preserve"> and measurement of transactions and other events</w:t>
      </w:r>
    </w:p>
    <w:p w14:paraId="2D50861A" w14:textId="40B6C295" w:rsidR="00D84DC2" w:rsidRPr="00AF0E8B" w:rsidRDefault="00D84DC2" w:rsidP="00AF0E8B">
      <w:pPr>
        <w:pStyle w:val="ListParagraph"/>
        <w:numPr>
          <w:ilvl w:val="0"/>
          <w:numId w:val="28"/>
        </w:numPr>
        <w:spacing w:line="276" w:lineRule="auto"/>
        <w:ind w:left="1080"/>
        <w:rPr>
          <w:sz w:val="22"/>
        </w:rPr>
      </w:pPr>
      <w:r w:rsidRPr="00AF0E8B">
        <w:rPr>
          <w:sz w:val="22"/>
        </w:rPr>
        <w:t xml:space="preserve">(2) </w:t>
      </w:r>
      <w:r w:rsidR="00DC4EF2" w:rsidRPr="00AF0E8B">
        <w:rPr>
          <w:sz w:val="22"/>
        </w:rPr>
        <w:t>Journalizing</w:t>
      </w:r>
    </w:p>
    <w:p w14:paraId="695BACFB" w14:textId="293A73F5" w:rsidR="00D84DC2" w:rsidRPr="00AF0E8B" w:rsidRDefault="00D84DC2" w:rsidP="00AF0E8B">
      <w:pPr>
        <w:pStyle w:val="ListParagraph"/>
        <w:numPr>
          <w:ilvl w:val="0"/>
          <w:numId w:val="28"/>
        </w:numPr>
        <w:spacing w:line="276" w:lineRule="auto"/>
        <w:ind w:left="1080"/>
        <w:rPr>
          <w:sz w:val="22"/>
        </w:rPr>
      </w:pPr>
      <w:r w:rsidRPr="00AF0E8B">
        <w:rPr>
          <w:sz w:val="22"/>
        </w:rPr>
        <w:t xml:space="preserve">(3) </w:t>
      </w:r>
      <w:r w:rsidR="00DC4EF2" w:rsidRPr="00AF0E8B">
        <w:rPr>
          <w:sz w:val="22"/>
        </w:rPr>
        <w:t>Posting</w:t>
      </w:r>
    </w:p>
    <w:p w14:paraId="36FFC7F6" w14:textId="2A094EC3" w:rsidR="00D84DC2" w:rsidRPr="00AF0E8B" w:rsidRDefault="00D84DC2" w:rsidP="00AF0E8B">
      <w:pPr>
        <w:pStyle w:val="ListParagraph"/>
        <w:numPr>
          <w:ilvl w:val="0"/>
          <w:numId w:val="28"/>
        </w:numPr>
        <w:spacing w:line="276" w:lineRule="auto"/>
        <w:ind w:left="1080"/>
        <w:rPr>
          <w:sz w:val="22"/>
        </w:rPr>
      </w:pPr>
      <w:r w:rsidRPr="00AF0E8B">
        <w:rPr>
          <w:sz w:val="22"/>
        </w:rPr>
        <w:t xml:space="preserve">(4) </w:t>
      </w:r>
      <w:r w:rsidR="00DC4EF2" w:rsidRPr="00AF0E8B">
        <w:rPr>
          <w:sz w:val="22"/>
        </w:rPr>
        <w:t>The</w:t>
      </w:r>
      <w:r w:rsidRPr="00AF0E8B">
        <w:rPr>
          <w:sz w:val="22"/>
        </w:rPr>
        <w:t xml:space="preserve"> unadjusted trial balance</w:t>
      </w:r>
    </w:p>
    <w:p w14:paraId="3A44EC34" w14:textId="49F9ED24" w:rsidR="00D84DC2" w:rsidRPr="00AF0E8B" w:rsidRDefault="00D84DC2" w:rsidP="00AF0E8B">
      <w:pPr>
        <w:pStyle w:val="ListParagraph"/>
        <w:numPr>
          <w:ilvl w:val="0"/>
          <w:numId w:val="28"/>
        </w:numPr>
        <w:spacing w:line="276" w:lineRule="auto"/>
        <w:ind w:left="1080"/>
        <w:rPr>
          <w:sz w:val="22"/>
        </w:rPr>
      </w:pPr>
      <w:r w:rsidRPr="00AF0E8B">
        <w:rPr>
          <w:sz w:val="22"/>
        </w:rPr>
        <w:t xml:space="preserve">(5) </w:t>
      </w:r>
      <w:r w:rsidR="00DC4EF2" w:rsidRPr="00AF0E8B">
        <w:rPr>
          <w:sz w:val="22"/>
        </w:rPr>
        <w:t>Adjustments</w:t>
      </w:r>
    </w:p>
    <w:p w14:paraId="4F442249" w14:textId="13639699" w:rsidR="00DC4EF2" w:rsidRPr="00AF0E8B" w:rsidRDefault="00DC4EF2" w:rsidP="00AF0E8B">
      <w:pPr>
        <w:pStyle w:val="ListParagraph"/>
        <w:numPr>
          <w:ilvl w:val="0"/>
          <w:numId w:val="28"/>
        </w:numPr>
        <w:spacing w:line="276" w:lineRule="auto"/>
        <w:ind w:left="1080"/>
        <w:rPr>
          <w:sz w:val="22"/>
        </w:rPr>
      </w:pPr>
      <w:r w:rsidRPr="00AF0E8B">
        <w:rPr>
          <w:sz w:val="22"/>
        </w:rPr>
        <w:t>(6) The adjusted trial balance</w:t>
      </w:r>
    </w:p>
    <w:p w14:paraId="03E4215E" w14:textId="68C72047" w:rsidR="00DC4EF2" w:rsidRPr="00AF0E8B" w:rsidRDefault="00DC4EF2" w:rsidP="00AF0E8B">
      <w:pPr>
        <w:pStyle w:val="ListParagraph"/>
        <w:numPr>
          <w:ilvl w:val="0"/>
          <w:numId w:val="28"/>
        </w:numPr>
        <w:spacing w:line="276" w:lineRule="auto"/>
        <w:ind w:left="1080"/>
        <w:rPr>
          <w:sz w:val="22"/>
        </w:rPr>
      </w:pPr>
      <w:r w:rsidRPr="00AF0E8B">
        <w:rPr>
          <w:sz w:val="22"/>
        </w:rPr>
        <w:t>(7) Statement preparation</w:t>
      </w:r>
    </w:p>
    <w:p w14:paraId="0470797C" w14:textId="16B21BD6" w:rsidR="00DC4EF2" w:rsidRPr="00AF0E8B" w:rsidRDefault="00DC4EF2" w:rsidP="00AF0E8B">
      <w:pPr>
        <w:pStyle w:val="ListParagraph"/>
        <w:numPr>
          <w:ilvl w:val="0"/>
          <w:numId w:val="28"/>
        </w:numPr>
        <w:spacing w:line="276" w:lineRule="auto"/>
        <w:ind w:left="1080"/>
        <w:rPr>
          <w:sz w:val="22"/>
        </w:rPr>
      </w:pPr>
      <w:r w:rsidRPr="00AF0E8B">
        <w:rPr>
          <w:sz w:val="22"/>
        </w:rPr>
        <w:t>(8) Closing</w:t>
      </w:r>
    </w:p>
    <w:p w14:paraId="49E29E42" w14:textId="0955966A" w:rsidR="00DC4EF2" w:rsidRPr="00AF0E8B" w:rsidRDefault="00DC4EF2" w:rsidP="00AF0E8B">
      <w:pPr>
        <w:pStyle w:val="ListParagraph"/>
        <w:numPr>
          <w:ilvl w:val="0"/>
          <w:numId w:val="28"/>
        </w:numPr>
        <w:spacing w:line="276" w:lineRule="auto"/>
        <w:ind w:left="1080"/>
        <w:rPr>
          <w:sz w:val="22"/>
        </w:rPr>
      </w:pPr>
      <w:r w:rsidRPr="00AF0E8B">
        <w:rPr>
          <w:sz w:val="22"/>
        </w:rPr>
        <w:t>The first 3 steps in the accounting cycle form the basis of the recording process used by most medium-sized companies</w:t>
      </w:r>
    </w:p>
    <w:p w14:paraId="15DE28B0" w14:textId="55B7C226" w:rsidR="00DC4EF2" w:rsidRPr="00AF0E8B" w:rsidRDefault="00DC4EF2" w:rsidP="00AF0E8B">
      <w:pPr>
        <w:pStyle w:val="ListParagraph"/>
        <w:numPr>
          <w:ilvl w:val="0"/>
          <w:numId w:val="28"/>
        </w:numPr>
        <w:spacing w:line="276" w:lineRule="auto"/>
        <w:ind w:left="1080"/>
        <w:rPr>
          <w:sz w:val="22"/>
        </w:rPr>
      </w:pPr>
      <w:r w:rsidRPr="00AF0E8B">
        <w:rPr>
          <w:sz w:val="22"/>
        </w:rPr>
        <w:t>The simplest journal form is a chronological listing of transactions and events that are expressed as debits and credits to particular accounts that are then transferred (posted) to the general ledger</w:t>
      </w:r>
    </w:p>
    <w:p w14:paraId="64AAF596" w14:textId="315CC011" w:rsidR="00DC4EF2" w:rsidRPr="00AF0E8B" w:rsidRDefault="00DC4EF2" w:rsidP="00AF0E8B">
      <w:pPr>
        <w:pStyle w:val="ListParagraph"/>
        <w:numPr>
          <w:ilvl w:val="0"/>
          <w:numId w:val="28"/>
        </w:numPr>
        <w:spacing w:line="276" w:lineRule="auto"/>
        <w:ind w:left="1080"/>
        <w:rPr>
          <w:sz w:val="22"/>
        </w:rPr>
      </w:pPr>
      <w:r w:rsidRPr="00AF0E8B">
        <w:rPr>
          <w:sz w:val="22"/>
        </w:rPr>
        <w:t>To help prepare financial statements, an unadjusted trial balance should be prepared at the end of a specific period after the entries have been recorded in the journals and posted to the general ledger</w:t>
      </w:r>
    </w:p>
    <w:p w14:paraId="5A1BFAF4" w14:textId="1936B75D" w:rsidR="00430BFF" w:rsidRPr="00AF0E8B" w:rsidRDefault="00430BFF" w:rsidP="00AF0E8B">
      <w:pPr>
        <w:pStyle w:val="ListParagraph"/>
        <w:numPr>
          <w:ilvl w:val="0"/>
          <w:numId w:val="23"/>
        </w:numPr>
        <w:spacing w:line="276" w:lineRule="auto"/>
        <w:ind w:left="360"/>
        <w:rPr>
          <w:sz w:val="22"/>
        </w:rPr>
      </w:pPr>
      <w:r w:rsidRPr="00AF0E8B">
        <w:rPr>
          <w:b/>
          <w:color w:val="E36C0A" w:themeColor="accent6" w:themeShade="BF"/>
          <w:sz w:val="22"/>
        </w:rPr>
        <w:t>The reasons for and preparation of adjusting entries</w:t>
      </w:r>
    </w:p>
    <w:p w14:paraId="63252D05" w14:textId="2D81D4AA" w:rsidR="00430BFF" w:rsidRPr="00AF0E8B" w:rsidRDefault="00430BFF" w:rsidP="00AF0E8B">
      <w:pPr>
        <w:pStyle w:val="ListParagraph"/>
        <w:numPr>
          <w:ilvl w:val="0"/>
          <w:numId w:val="29"/>
        </w:numPr>
        <w:spacing w:line="276" w:lineRule="auto"/>
        <w:ind w:left="1080"/>
        <w:rPr>
          <w:sz w:val="22"/>
        </w:rPr>
      </w:pPr>
      <w:r w:rsidRPr="00AF0E8B">
        <w:rPr>
          <w:sz w:val="22"/>
        </w:rPr>
        <w:t>Adjusting achieves a proper matching of revenues and expenses, which is needed to determine the correct net income for the current period and to achieve and accurate statement of the end-of-the-period balances in assets, liabilities, and owners’ equity accounts</w:t>
      </w:r>
    </w:p>
    <w:p w14:paraId="68C8452A" w14:textId="5F93D417" w:rsidR="00430BFF" w:rsidRPr="00AF0E8B" w:rsidRDefault="00430BFF" w:rsidP="00AF0E8B">
      <w:pPr>
        <w:pStyle w:val="ListParagraph"/>
        <w:numPr>
          <w:ilvl w:val="0"/>
          <w:numId w:val="29"/>
        </w:numPr>
        <w:spacing w:line="276" w:lineRule="auto"/>
        <w:ind w:left="1080"/>
        <w:rPr>
          <w:sz w:val="22"/>
        </w:rPr>
      </w:pPr>
      <w:r w:rsidRPr="00AF0E8B">
        <w:rPr>
          <w:sz w:val="22"/>
        </w:rPr>
        <w:t>When preparing adjusting journal entries, you must first determine how the original transaction was recorded</w:t>
      </w:r>
    </w:p>
    <w:p w14:paraId="3553814A" w14:textId="6BA0183A" w:rsidR="00430BFF" w:rsidRPr="00AF0E8B" w:rsidRDefault="00430BFF" w:rsidP="00AF0E8B">
      <w:pPr>
        <w:pStyle w:val="ListParagraph"/>
        <w:numPr>
          <w:ilvl w:val="0"/>
          <w:numId w:val="29"/>
        </w:numPr>
        <w:spacing w:line="276" w:lineRule="auto"/>
        <w:ind w:left="1080"/>
        <w:rPr>
          <w:sz w:val="22"/>
        </w:rPr>
      </w:pPr>
      <w:r w:rsidRPr="00AF0E8B">
        <w:rPr>
          <w:sz w:val="22"/>
        </w:rPr>
        <w:t>If a statement of comprehensive income account was used initially, an adjustment may be required to set up the proper statement of financial position account at the end of the period</w:t>
      </w:r>
    </w:p>
    <w:p w14:paraId="6F9E1989" w14:textId="329BD808" w:rsidR="005011FE" w:rsidRPr="00AF0E8B" w:rsidRDefault="005011FE" w:rsidP="00AF0E8B">
      <w:pPr>
        <w:pStyle w:val="ListParagraph"/>
        <w:numPr>
          <w:ilvl w:val="0"/>
          <w:numId w:val="23"/>
        </w:numPr>
        <w:spacing w:line="276" w:lineRule="auto"/>
        <w:ind w:left="360"/>
        <w:rPr>
          <w:sz w:val="22"/>
        </w:rPr>
      </w:pPr>
      <w:r w:rsidRPr="00AF0E8B">
        <w:rPr>
          <w:b/>
          <w:color w:val="E36C0A" w:themeColor="accent6" w:themeShade="BF"/>
          <w:sz w:val="22"/>
        </w:rPr>
        <w:t>How the type of ownership structure affects financial statements</w:t>
      </w:r>
    </w:p>
    <w:p w14:paraId="1FBB81C0" w14:textId="1EDBC554" w:rsidR="005011FE" w:rsidRPr="00AF0E8B" w:rsidRDefault="005011FE" w:rsidP="00AF0E8B">
      <w:pPr>
        <w:pStyle w:val="ListParagraph"/>
        <w:numPr>
          <w:ilvl w:val="0"/>
          <w:numId w:val="30"/>
        </w:numPr>
        <w:spacing w:line="276" w:lineRule="auto"/>
        <w:ind w:left="1080"/>
        <w:rPr>
          <w:sz w:val="22"/>
        </w:rPr>
      </w:pPr>
      <w:r w:rsidRPr="00AF0E8B">
        <w:rPr>
          <w:sz w:val="22"/>
        </w:rPr>
        <w:t>The type of ownership structure that a business enterprise uses determines the types of accounts that are part of the equity section</w:t>
      </w:r>
    </w:p>
    <w:p w14:paraId="199153EC" w14:textId="48D6B5A2" w:rsidR="005011FE" w:rsidRPr="00AF0E8B" w:rsidRDefault="005011FE" w:rsidP="00AF0E8B">
      <w:pPr>
        <w:pStyle w:val="ListParagraph"/>
        <w:numPr>
          <w:ilvl w:val="0"/>
          <w:numId w:val="30"/>
        </w:numPr>
        <w:spacing w:line="276" w:lineRule="auto"/>
        <w:ind w:left="1080"/>
        <w:rPr>
          <w:sz w:val="22"/>
        </w:rPr>
      </w:pPr>
      <w:r w:rsidRPr="00AF0E8B">
        <w:rPr>
          <w:sz w:val="22"/>
        </w:rPr>
        <w:t>In a corporation, ordinary or common shares, contributes surplus, retained earnings, and accumulated other comprehensive income are commonly shown separately on the statement of financial position</w:t>
      </w:r>
    </w:p>
    <w:p w14:paraId="3EA99AFC" w14:textId="09138522" w:rsidR="00C51776" w:rsidRPr="00AF0E8B" w:rsidRDefault="00C51776" w:rsidP="00AF0E8B">
      <w:pPr>
        <w:pStyle w:val="ListParagraph"/>
        <w:numPr>
          <w:ilvl w:val="0"/>
          <w:numId w:val="30"/>
        </w:numPr>
        <w:spacing w:line="276" w:lineRule="auto"/>
        <w:ind w:left="1080"/>
        <w:rPr>
          <w:sz w:val="22"/>
        </w:rPr>
      </w:pPr>
      <w:r w:rsidRPr="00AF0E8B">
        <w:rPr>
          <w:sz w:val="22"/>
        </w:rPr>
        <w:t>In a proprietary or partnership, an owner’s capital account is used to indicate the investment in the company by the owner(s)</w:t>
      </w:r>
    </w:p>
    <w:p w14:paraId="4CE7193B" w14:textId="341B8581" w:rsidR="00C51776" w:rsidRPr="00AF0E8B" w:rsidRDefault="00C51776" w:rsidP="00AF0E8B">
      <w:pPr>
        <w:pStyle w:val="ListParagraph"/>
        <w:numPr>
          <w:ilvl w:val="1"/>
          <w:numId w:val="30"/>
        </w:numPr>
        <w:spacing w:line="276" w:lineRule="auto"/>
        <w:ind w:left="1800"/>
        <w:rPr>
          <w:sz w:val="22"/>
        </w:rPr>
      </w:pPr>
      <w:r w:rsidRPr="00AF0E8B">
        <w:rPr>
          <w:sz w:val="22"/>
        </w:rPr>
        <w:t>An owner’s drawings or withdrawal account may be used to indicate withdrawals by the owner(s)</w:t>
      </w:r>
    </w:p>
    <w:p w14:paraId="1EDD86BF" w14:textId="5EC8559F" w:rsidR="00C51776" w:rsidRPr="00AF0E8B" w:rsidRDefault="00C51776" w:rsidP="00AF0E8B">
      <w:pPr>
        <w:pStyle w:val="ListParagraph"/>
        <w:numPr>
          <w:ilvl w:val="1"/>
          <w:numId w:val="30"/>
        </w:numPr>
        <w:spacing w:line="276" w:lineRule="auto"/>
        <w:ind w:left="1800"/>
        <w:rPr>
          <w:sz w:val="22"/>
        </w:rPr>
      </w:pPr>
      <w:r w:rsidRPr="00AF0E8B">
        <w:rPr>
          <w:sz w:val="22"/>
        </w:rPr>
        <w:t>These two account are grouped or netted under owners’ equity</w:t>
      </w:r>
    </w:p>
    <w:p w14:paraId="2175A96F" w14:textId="30DBD241" w:rsidR="00C62BA5" w:rsidRPr="00AF0E8B" w:rsidRDefault="00C62BA5" w:rsidP="00AF0E8B">
      <w:pPr>
        <w:pStyle w:val="ListParagraph"/>
        <w:numPr>
          <w:ilvl w:val="0"/>
          <w:numId w:val="23"/>
        </w:numPr>
        <w:spacing w:line="276" w:lineRule="auto"/>
        <w:ind w:left="360"/>
        <w:rPr>
          <w:sz w:val="22"/>
        </w:rPr>
      </w:pPr>
      <w:r w:rsidRPr="00AF0E8B">
        <w:rPr>
          <w:b/>
          <w:color w:val="E36C0A" w:themeColor="accent6" w:themeShade="BF"/>
          <w:sz w:val="22"/>
        </w:rPr>
        <w:t>Preparing closing entries and other matters to the closing process</w:t>
      </w:r>
    </w:p>
    <w:p w14:paraId="7C1DC3B4" w14:textId="663DA051" w:rsidR="00C62BA5" w:rsidRPr="00AF0E8B" w:rsidRDefault="00C62BA5" w:rsidP="00AF0E8B">
      <w:pPr>
        <w:pStyle w:val="ListParagraph"/>
        <w:numPr>
          <w:ilvl w:val="0"/>
          <w:numId w:val="31"/>
        </w:numPr>
        <w:spacing w:line="276" w:lineRule="auto"/>
        <w:ind w:left="1080"/>
        <w:rPr>
          <w:sz w:val="22"/>
        </w:rPr>
      </w:pPr>
      <w:r w:rsidRPr="00AF0E8B">
        <w:rPr>
          <w:sz w:val="22"/>
        </w:rPr>
        <w:t>In the closing process, all of the revenue and expense account balances (income statement items) are transferred to a clearing account called Income Summary, which is used only at the end of the fiscal year</w:t>
      </w:r>
    </w:p>
    <w:p w14:paraId="1DB5E5CD" w14:textId="5F1B019B" w:rsidR="00C62BA5" w:rsidRPr="00AF0E8B" w:rsidRDefault="00C62BA5" w:rsidP="00AF0E8B">
      <w:pPr>
        <w:pStyle w:val="ListParagraph"/>
        <w:numPr>
          <w:ilvl w:val="0"/>
          <w:numId w:val="31"/>
        </w:numPr>
        <w:spacing w:line="276" w:lineRule="auto"/>
        <w:ind w:left="1080"/>
        <w:rPr>
          <w:sz w:val="22"/>
        </w:rPr>
      </w:pPr>
      <w:r w:rsidRPr="00AF0E8B">
        <w:rPr>
          <w:sz w:val="22"/>
        </w:rPr>
        <w:t>Revenues and expenses are matched in the Income Summary account</w:t>
      </w:r>
    </w:p>
    <w:p w14:paraId="308B673E" w14:textId="0E2B666D" w:rsidR="00003879" w:rsidRPr="00AF0E8B" w:rsidRDefault="00C62BA5" w:rsidP="00AF0E8B">
      <w:pPr>
        <w:pStyle w:val="ListParagraph"/>
        <w:numPr>
          <w:ilvl w:val="0"/>
          <w:numId w:val="31"/>
        </w:numPr>
        <w:spacing w:line="276" w:lineRule="auto"/>
        <w:ind w:left="1080"/>
        <w:rPr>
          <w:sz w:val="22"/>
        </w:rPr>
      </w:pPr>
      <w:r w:rsidRPr="00AF0E8B">
        <w:rPr>
          <w:sz w:val="22"/>
        </w:rPr>
        <w:t>The net result of this matching, which represents the net income or net loss for the period, is then transferred to a shareholders’ equity account (retained earning for a corporation and capital accounts for proprietor</w:t>
      </w:r>
      <w:r w:rsidR="00107CA3" w:rsidRPr="00AF0E8B">
        <w:rPr>
          <w:sz w:val="22"/>
        </w:rPr>
        <w:t>ships and partnerships)</w:t>
      </w:r>
    </w:p>
    <w:p w14:paraId="7BB948D1" w14:textId="6BAB8529" w:rsidR="00107CA3" w:rsidRPr="00AF0E8B" w:rsidRDefault="00107CA3" w:rsidP="00AF0E8B">
      <w:pPr>
        <w:pStyle w:val="ListParagraph"/>
        <w:numPr>
          <w:ilvl w:val="0"/>
          <w:numId w:val="31"/>
        </w:numPr>
        <w:spacing w:line="276" w:lineRule="auto"/>
        <w:ind w:left="1080"/>
        <w:rPr>
          <w:sz w:val="22"/>
        </w:rPr>
      </w:pPr>
      <w:r w:rsidRPr="00AF0E8B">
        <w:rPr>
          <w:sz w:val="22"/>
        </w:rPr>
        <w:t>Under a perpetual inventory system these are a few additional items to consider:</w:t>
      </w:r>
    </w:p>
    <w:p w14:paraId="4D590898" w14:textId="4CD5E53D" w:rsidR="00107CA3" w:rsidRPr="00AF0E8B" w:rsidRDefault="00107CA3" w:rsidP="00AF0E8B">
      <w:pPr>
        <w:pStyle w:val="ListParagraph"/>
        <w:numPr>
          <w:ilvl w:val="1"/>
          <w:numId w:val="31"/>
        </w:numPr>
        <w:spacing w:line="276" w:lineRule="auto"/>
        <w:ind w:left="1800"/>
        <w:rPr>
          <w:sz w:val="22"/>
        </w:rPr>
      </w:pPr>
      <w:r w:rsidRPr="00AF0E8B">
        <w:rPr>
          <w:sz w:val="22"/>
        </w:rPr>
        <w:t>The balance in the inventory account should represent the ending inventory amount</w:t>
      </w:r>
    </w:p>
    <w:p w14:paraId="20C5518A" w14:textId="4C6F21F5" w:rsidR="00107CA3" w:rsidRPr="00AF0E8B" w:rsidRDefault="00107CA3" w:rsidP="00AF0E8B">
      <w:pPr>
        <w:pStyle w:val="ListParagraph"/>
        <w:numPr>
          <w:ilvl w:val="0"/>
          <w:numId w:val="31"/>
        </w:numPr>
        <w:spacing w:line="276" w:lineRule="auto"/>
        <w:ind w:left="1080"/>
        <w:rPr>
          <w:sz w:val="22"/>
        </w:rPr>
      </w:pPr>
      <w:r w:rsidRPr="00AF0E8B">
        <w:rPr>
          <w:sz w:val="22"/>
        </w:rPr>
        <w:t>When the inventory records are maintained in a periodic inventory system, a purchases account is used; the inventory account is unchanged during the period</w:t>
      </w:r>
    </w:p>
    <w:p w14:paraId="72767876" w14:textId="2EE042FB" w:rsidR="00107CA3" w:rsidRPr="00AF0E8B" w:rsidRDefault="00107CA3" w:rsidP="00AF0E8B">
      <w:pPr>
        <w:pStyle w:val="ListParagraph"/>
        <w:numPr>
          <w:ilvl w:val="0"/>
          <w:numId w:val="31"/>
        </w:numPr>
        <w:spacing w:line="276" w:lineRule="auto"/>
        <w:ind w:left="1080"/>
        <w:rPr>
          <w:sz w:val="22"/>
        </w:rPr>
      </w:pPr>
      <w:r w:rsidRPr="00AF0E8B">
        <w:rPr>
          <w:sz w:val="22"/>
        </w:rPr>
        <w:t>The inventory account balance represents the beginning inventory amount throughout the period and must be adjusted at the end of the period by closing out the beginning inventory amount and recording the ending inventory amount</w:t>
      </w:r>
    </w:p>
    <w:p w14:paraId="6C766748" w14:textId="2D7AE944" w:rsidR="00107CA3" w:rsidRPr="00AF0E8B" w:rsidRDefault="00107CA3" w:rsidP="00AF0E8B">
      <w:pPr>
        <w:pStyle w:val="ListParagraph"/>
        <w:numPr>
          <w:ilvl w:val="0"/>
          <w:numId w:val="23"/>
        </w:numPr>
        <w:spacing w:line="276" w:lineRule="auto"/>
        <w:ind w:left="360"/>
        <w:rPr>
          <w:sz w:val="22"/>
        </w:rPr>
      </w:pPr>
      <w:r w:rsidRPr="00AF0E8B">
        <w:rPr>
          <w:b/>
          <w:color w:val="E36C0A" w:themeColor="accent6" w:themeShade="BF"/>
          <w:sz w:val="22"/>
        </w:rPr>
        <w:t>10-column work sheet and financial statements</w:t>
      </w:r>
    </w:p>
    <w:p w14:paraId="5F539072" w14:textId="229630B9" w:rsidR="00107CA3" w:rsidRPr="00AF0E8B" w:rsidRDefault="00107CA3" w:rsidP="00AF0E8B">
      <w:pPr>
        <w:pStyle w:val="ListParagraph"/>
        <w:numPr>
          <w:ilvl w:val="0"/>
          <w:numId w:val="32"/>
        </w:numPr>
        <w:spacing w:line="276" w:lineRule="auto"/>
        <w:ind w:left="1080"/>
        <w:rPr>
          <w:color w:val="000000" w:themeColor="text1"/>
          <w:sz w:val="22"/>
        </w:rPr>
      </w:pPr>
      <w:r w:rsidRPr="00AF0E8B">
        <w:rPr>
          <w:color w:val="000000" w:themeColor="text1"/>
          <w:sz w:val="22"/>
        </w:rPr>
        <w:t>This 10-column work sheet provides columns for the first trial balance, adjustments, adjusted trial balance, statement of comprehensive income, and statement of financial position</w:t>
      </w:r>
    </w:p>
    <w:p w14:paraId="484697E6" w14:textId="77BE97CF" w:rsidR="00107CA3" w:rsidRPr="00AF0E8B" w:rsidRDefault="00107CA3" w:rsidP="00AF0E8B">
      <w:pPr>
        <w:pStyle w:val="ListParagraph"/>
        <w:numPr>
          <w:ilvl w:val="0"/>
          <w:numId w:val="32"/>
        </w:numPr>
        <w:spacing w:line="276" w:lineRule="auto"/>
        <w:ind w:left="1080"/>
        <w:rPr>
          <w:color w:val="000000" w:themeColor="text1"/>
          <w:sz w:val="22"/>
        </w:rPr>
      </w:pPr>
      <w:r w:rsidRPr="00AF0E8B">
        <w:rPr>
          <w:color w:val="000000" w:themeColor="text1"/>
          <w:sz w:val="22"/>
        </w:rPr>
        <w:t xml:space="preserve">The work sheet does not replace the financial statement, it is simply the accountant’s informal device for accumulating and sorting the information that is needed for the financial statements </w:t>
      </w:r>
    </w:p>
    <w:p w14:paraId="4E9145DB" w14:textId="57313045" w:rsidR="00107CA3" w:rsidRPr="00AF0E8B" w:rsidRDefault="00107CA3" w:rsidP="00AF0E8B">
      <w:pPr>
        <w:spacing w:line="276" w:lineRule="auto"/>
        <w:rPr>
          <w:b/>
          <w:color w:val="660066"/>
          <w:u w:val="single"/>
        </w:rPr>
      </w:pPr>
      <w:r w:rsidRPr="00AF0E8B">
        <w:rPr>
          <w:b/>
          <w:color w:val="660066"/>
          <w:u w:val="single"/>
        </w:rPr>
        <w:t>Chapter 4</w:t>
      </w:r>
    </w:p>
    <w:p w14:paraId="3631BE46" w14:textId="57E62D86" w:rsidR="00107CA3" w:rsidRPr="00AF0E8B" w:rsidRDefault="005A50D5" w:rsidP="00AF0E8B">
      <w:pPr>
        <w:pStyle w:val="ListParagraph"/>
        <w:numPr>
          <w:ilvl w:val="0"/>
          <w:numId w:val="33"/>
        </w:numPr>
        <w:spacing w:line="276" w:lineRule="auto"/>
        <w:ind w:left="360"/>
        <w:rPr>
          <w:b/>
          <w:color w:val="E36C0A" w:themeColor="accent6" w:themeShade="BF"/>
          <w:sz w:val="22"/>
        </w:rPr>
      </w:pPr>
      <w:r w:rsidRPr="00AF0E8B">
        <w:rPr>
          <w:b/>
          <w:color w:val="E36C0A" w:themeColor="accent6" w:themeShade="BF"/>
          <w:sz w:val="22"/>
        </w:rPr>
        <w:t>How firms create value and manage performance</w:t>
      </w:r>
    </w:p>
    <w:p w14:paraId="1098FB1C" w14:textId="2044667D" w:rsidR="005A50D5" w:rsidRPr="00AF0E8B" w:rsidRDefault="005A50D5" w:rsidP="00AF0E8B">
      <w:pPr>
        <w:pStyle w:val="ListParagraph"/>
        <w:numPr>
          <w:ilvl w:val="0"/>
          <w:numId w:val="36"/>
        </w:numPr>
        <w:spacing w:line="276" w:lineRule="auto"/>
        <w:ind w:left="1080"/>
        <w:rPr>
          <w:sz w:val="22"/>
        </w:rPr>
      </w:pPr>
      <w:r w:rsidRPr="00AF0E8B">
        <w:rPr>
          <w:sz w:val="22"/>
        </w:rPr>
        <w:t>A business is based on a basic model of obtaining financing, investing in assets, and using those assets to generate profits</w:t>
      </w:r>
    </w:p>
    <w:p w14:paraId="54BE36AD" w14:textId="6A8BF5AD" w:rsidR="005A50D5" w:rsidRPr="00AF0E8B" w:rsidRDefault="005A50D5" w:rsidP="00AF0E8B">
      <w:pPr>
        <w:pStyle w:val="ListParagraph"/>
        <w:numPr>
          <w:ilvl w:val="0"/>
          <w:numId w:val="36"/>
        </w:numPr>
        <w:spacing w:line="276" w:lineRule="auto"/>
        <w:ind w:left="1080"/>
        <w:rPr>
          <w:sz w:val="22"/>
        </w:rPr>
      </w:pPr>
      <w:r w:rsidRPr="00AF0E8B">
        <w:rPr>
          <w:sz w:val="22"/>
        </w:rPr>
        <w:t>Different industries have different business models; even within an industry, different businesses may have different strategies for generating revenues</w:t>
      </w:r>
    </w:p>
    <w:p w14:paraId="165CE849" w14:textId="2349C33F" w:rsidR="005A50D5" w:rsidRPr="00AF0E8B" w:rsidRDefault="005A50D5" w:rsidP="00AF0E8B">
      <w:pPr>
        <w:pStyle w:val="ListParagraph"/>
        <w:numPr>
          <w:ilvl w:val="0"/>
          <w:numId w:val="36"/>
        </w:numPr>
        <w:spacing w:line="276" w:lineRule="auto"/>
        <w:ind w:left="1080"/>
        <w:rPr>
          <w:sz w:val="22"/>
        </w:rPr>
      </w:pPr>
      <w:r w:rsidRPr="00AF0E8B">
        <w:rPr>
          <w:sz w:val="22"/>
        </w:rPr>
        <w:t>Some businesses and industries are risker than others and companies must decide on how to manage these risks which costs money and reduces profits</w:t>
      </w:r>
    </w:p>
    <w:p w14:paraId="4B001BDC" w14:textId="24B02AB0" w:rsidR="005A50D5" w:rsidRPr="00AF0E8B" w:rsidRDefault="005A50D5" w:rsidP="00AF0E8B">
      <w:pPr>
        <w:pStyle w:val="ListParagraph"/>
        <w:numPr>
          <w:ilvl w:val="1"/>
          <w:numId w:val="36"/>
        </w:numPr>
        <w:spacing w:line="276" w:lineRule="auto"/>
        <w:ind w:left="1800"/>
        <w:rPr>
          <w:sz w:val="22"/>
        </w:rPr>
      </w:pPr>
      <w:r w:rsidRPr="00AF0E8B">
        <w:rPr>
          <w:sz w:val="22"/>
        </w:rPr>
        <w:t>Capital markets demand greater returns from riskier businesses</w:t>
      </w:r>
    </w:p>
    <w:p w14:paraId="11CDF156" w14:textId="7BFE88DD" w:rsidR="005A50D5" w:rsidRPr="00AF0E8B" w:rsidRDefault="005A50D5" w:rsidP="00AF0E8B">
      <w:pPr>
        <w:pStyle w:val="ListParagraph"/>
        <w:numPr>
          <w:ilvl w:val="0"/>
          <w:numId w:val="33"/>
        </w:numPr>
        <w:spacing w:line="276" w:lineRule="auto"/>
        <w:ind w:left="360"/>
        <w:rPr>
          <w:b/>
          <w:color w:val="E36C0A" w:themeColor="accent6" w:themeShade="BF"/>
          <w:sz w:val="22"/>
        </w:rPr>
      </w:pPr>
      <w:r w:rsidRPr="00AF0E8B">
        <w:rPr>
          <w:b/>
          <w:color w:val="E36C0A" w:themeColor="accent6" w:themeShade="BF"/>
          <w:sz w:val="22"/>
        </w:rPr>
        <w:t>How users use info about performance to make decisions</w:t>
      </w:r>
    </w:p>
    <w:p w14:paraId="31771D6B" w14:textId="6BDE8A3F" w:rsidR="005A50D5" w:rsidRPr="00AF0E8B" w:rsidRDefault="007A58A0" w:rsidP="00AF0E8B">
      <w:pPr>
        <w:pStyle w:val="ListParagraph"/>
        <w:numPr>
          <w:ilvl w:val="0"/>
          <w:numId w:val="37"/>
        </w:numPr>
        <w:spacing w:line="276" w:lineRule="auto"/>
        <w:ind w:left="1080"/>
        <w:rPr>
          <w:sz w:val="22"/>
        </w:rPr>
      </w:pPr>
      <w:r w:rsidRPr="00AF0E8B">
        <w:rPr>
          <w:sz w:val="22"/>
        </w:rPr>
        <w:t>Users use info about performance to evaluate past performance and profitability and to provide a basis for predicting future performance</w:t>
      </w:r>
    </w:p>
    <w:p w14:paraId="5EEE0263" w14:textId="3F42979D" w:rsidR="007A58A0" w:rsidRPr="00AF0E8B" w:rsidRDefault="007A58A0" w:rsidP="00AF0E8B">
      <w:pPr>
        <w:pStyle w:val="ListParagraph"/>
        <w:numPr>
          <w:ilvl w:val="0"/>
          <w:numId w:val="37"/>
        </w:numPr>
        <w:spacing w:line="276" w:lineRule="auto"/>
        <w:ind w:left="1080"/>
        <w:rPr>
          <w:sz w:val="22"/>
        </w:rPr>
      </w:pPr>
      <w:r w:rsidRPr="00AF0E8B">
        <w:rPr>
          <w:sz w:val="22"/>
        </w:rPr>
        <w:t>They also use info to help asses risk and uncertainty regarding future cash flows</w:t>
      </w:r>
    </w:p>
    <w:p w14:paraId="13758C79" w14:textId="5AEB3A1D" w:rsidR="007A58A0" w:rsidRPr="00AF0E8B" w:rsidRDefault="007A58A0" w:rsidP="00AF0E8B">
      <w:pPr>
        <w:pStyle w:val="ListParagraph"/>
        <w:numPr>
          <w:ilvl w:val="0"/>
          <w:numId w:val="33"/>
        </w:numPr>
        <w:spacing w:line="276" w:lineRule="auto"/>
        <w:ind w:left="360"/>
        <w:rPr>
          <w:b/>
          <w:color w:val="E36C0A" w:themeColor="accent6" w:themeShade="BF"/>
          <w:sz w:val="22"/>
        </w:rPr>
      </w:pPr>
      <w:r w:rsidRPr="00AF0E8B">
        <w:rPr>
          <w:b/>
          <w:color w:val="E36C0A" w:themeColor="accent6" w:themeShade="BF"/>
          <w:sz w:val="22"/>
        </w:rPr>
        <w:t>The concept of and assessing quality of earnings/information</w:t>
      </w:r>
    </w:p>
    <w:p w14:paraId="75CBFF01" w14:textId="469E4526" w:rsidR="007A58A0" w:rsidRPr="00AF0E8B" w:rsidRDefault="007A58A0" w:rsidP="00AF0E8B">
      <w:pPr>
        <w:pStyle w:val="ListParagraph"/>
        <w:numPr>
          <w:ilvl w:val="0"/>
          <w:numId w:val="38"/>
        </w:numPr>
        <w:spacing w:line="276" w:lineRule="auto"/>
        <w:ind w:left="1080"/>
        <w:rPr>
          <w:sz w:val="22"/>
        </w:rPr>
      </w:pPr>
      <w:r w:rsidRPr="00AF0E8B">
        <w:rPr>
          <w:sz w:val="22"/>
        </w:rPr>
        <w:t>The concept of quality of earnings is used by analysts and investors to asses how well the reported income reflects the underlying business and future potential</w:t>
      </w:r>
    </w:p>
    <w:p w14:paraId="61F2B287" w14:textId="614E742C" w:rsidR="007A58A0" w:rsidRPr="00AF0E8B" w:rsidRDefault="007A58A0" w:rsidP="00AF0E8B">
      <w:pPr>
        <w:pStyle w:val="ListParagraph"/>
        <w:numPr>
          <w:ilvl w:val="0"/>
          <w:numId w:val="38"/>
        </w:numPr>
        <w:spacing w:line="276" w:lineRule="auto"/>
        <w:ind w:left="1080"/>
        <w:rPr>
          <w:sz w:val="22"/>
        </w:rPr>
      </w:pPr>
      <w:r w:rsidRPr="00AF0E8B">
        <w:rPr>
          <w:sz w:val="22"/>
        </w:rPr>
        <w:t>When assessing the quality of earnings, consider all information about a company</w:t>
      </w:r>
    </w:p>
    <w:p w14:paraId="41953304" w14:textId="431F19AE" w:rsidR="007A58A0" w:rsidRPr="00AF0E8B" w:rsidRDefault="007A58A0" w:rsidP="00AF0E8B">
      <w:pPr>
        <w:pStyle w:val="ListParagraph"/>
        <w:numPr>
          <w:ilvl w:val="0"/>
          <w:numId w:val="38"/>
        </w:numPr>
        <w:spacing w:line="276" w:lineRule="auto"/>
        <w:ind w:left="1080"/>
        <w:rPr>
          <w:sz w:val="22"/>
        </w:rPr>
      </w:pPr>
      <w:r w:rsidRPr="00AF0E8B">
        <w:rPr>
          <w:sz w:val="22"/>
        </w:rPr>
        <w:t>High-quality earnings have various attributes</w:t>
      </w:r>
      <w:r w:rsidR="001A7111" w:rsidRPr="00AF0E8B">
        <w:rPr>
          <w:sz w:val="22"/>
        </w:rPr>
        <w:t>:</w:t>
      </w:r>
    </w:p>
    <w:p w14:paraId="65C1491F" w14:textId="1ECD1E22" w:rsidR="001A7111" w:rsidRPr="00AF0E8B" w:rsidRDefault="001A7111" w:rsidP="00AF0E8B">
      <w:pPr>
        <w:pStyle w:val="ListParagraph"/>
        <w:numPr>
          <w:ilvl w:val="1"/>
          <w:numId w:val="38"/>
        </w:numPr>
        <w:spacing w:line="276" w:lineRule="auto"/>
        <w:ind w:left="1800"/>
        <w:rPr>
          <w:sz w:val="22"/>
        </w:rPr>
      </w:pPr>
      <w:r w:rsidRPr="00AF0E8B">
        <w:rPr>
          <w:sz w:val="22"/>
        </w:rPr>
        <w:t>Unbiased and objectively determined</w:t>
      </w:r>
    </w:p>
    <w:p w14:paraId="5C7F6832" w14:textId="7474C944" w:rsidR="001A7111" w:rsidRPr="00AF0E8B" w:rsidRDefault="001A7111" w:rsidP="00AF0E8B">
      <w:pPr>
        <w:pStyle w:val="ListParagraph"/>
        <w:numPr>
          <w:ilvl w:val="1"/>
          <w:numId w:val="38"/>
        </w:numPr>
        <w:spacing w:line="276" w:lineRule="auto"/>
        <w:ind w:left="1800"/>
        <w:rPr>
          <w:sz w:val="22"/>
        </w:rPr>
      </w:pPr>
      <w:r w:rsidRPr="00AF0E8B">
        <w:rPr>
          <w:sz w:val="22"/>
        </w:rPr>
        <w:t>Reflect the economic reality</w:t>
      </w:r>
    </w:p>
    <w:p w14:paraId="4096CE4A" w14:textId="17BAC419" w:rsidR="001A7111" w:rsidRPr="00AF0E8B" w:rsidRDefault="001A7111" w:rsidP="00AF0E8B">
      <w:pPr>
        <w:pStyle w:val="ListParagraph"/>
        <w:numPr>
          <w:ilvl w:val="1"/>
          <w:numId w:val="38"/>
        </w:numPr>
        <w:spacing w:line="276" w:lineRule="auto"/>
        <w:ind w:left="1800"/>
        <w:rPr>
          <w:sz w:val="22"/>
        </w:rPr>
      </w:pPr>
      <w:r w:rsidRPr="00AF0E8B">
        <w:rPr>
          <w:sz w:val="22"/>
        </w:rPr>
        <w:t>Reflect primarily the earnings generated from ongoing core business activities</w:t>
      </w:r>
    </w:p>
    <w:p w14:paraId="1C9B9549" w14:textId="4771C39E" w:rsidR="001A7111" w:rsidRPr="00AF0E8B" w:rsidRDefault="001A7111" w:rsidP="00AF0E8B">
      <w:pPr>
        <w:pStyle w:val="ListParagraph"/>
        <w:numPr>
          <w:ilvl w:val="1"/>
          <w:numId w:val="38"/>
        </w:numPr>
        <w:spacing w:line="276" w:lineRule="auto"/>
        <w:ind w:left="1800"/>
        <w:rPr>
          <w:sz w:val="22"/>
        </w:rPr>
      </w:pPr>
      <w:r w:rsidRPr="00AF0E8B">
        <w:rPr>
          <w:sz w:val="22"/>
        </w:rPr>
        <w:t>Closely correlate with cash flows from operations</w:t>
      </w:r>
    </w:p>
    <w:p w14:paraId="07EDC380" w14:textId="14A86F01" w:rsidR="001A7111" w:rsidRPr="00AF0E8B" w:rsidRDefault="001A7111" w:rsidP="00AF0E8B">
      <w:pPr>
        <w:pStyle w:val="ListParagraph"/>
        <w:numPr>
          <w:ilvl w:val="1"/>
          <w:numId w:val="38"/>
        </w:numPr>
        <w:spacing w:line="276" w:lineRule="auto"/>
        <w:ind w:left="1800"/>
        <w:rPr>
          <w:sz w:val="22"/>
        </w:rPr>
      </w:pPr>
      <w:r w:rsidRPr="00AF0E8B">
        <w:rPr>
          <w:sz w:val="22"/>
        </w:rPr>
        <w:t>Based on sound business strategy and business model</w:t>
      </w:r>
    </w:p>
    <w:p w14:paraId="01FE5250" w14:textId="455B1097" w:rsidR="001A7111" w:rsidRPr="00AF0E8B" w:rsidRDefault="001A7111" w:rsidP="00AF0E8B">
      <w:pPr>
        <w:pStyle w:val="ListParagraph"/>
        <w:numPr>
          <w:ilvl w:val="1"/>
          <w:numId w:val="38"/>
        </w:numPr>
        <w:spacing w:line="276" w:lineRule="auto"/>
        <w:ind w:left="1800"/>
        <w:rPr>
          <w:sz w:val="22"/>
        </w:rPr>
      </w:pPr>
      <w:r w:rsidRPr="00AF0E8B">
        <w:rPr>
          <w:sz w:val="22"/>
        </w:rPr>
        <w:t>Presentation: transparent (no attempt made to mislead) and understandable</w:t>
      </w:r>
    </w:p>
    <w:p w14:paraId="21E9C920" w14:textId="4AAB8624" w:rsidR="007A58A0" w:rsidRPr="00AF0E8B" w:rsidRDefault="007A58A0" w:rsidP="00AF0E8B">
      <w:pPr>
        <w:pStyle w:val="ListParagraph"/>
        <w:numPr>
          <w:ilvl w:val="0"/>
          <w:numId w:val="38"/>
        </w:numPr>
        <w:spacing w:line="276" w:lineRule="auto"/>
        <w:ind w:left="1080"/>
        <w:rPr>
          <w:sz w:val="22"/>
        </w:rPr>
      </w:pPr>
      <w:r w:rsidRPr="00AF0E8B">
        <w:rPr>
          <w:sz w:val="22"/>
        </w:rPr>
        <w:t>Where the info is biased, this degrades the quality</w:t>
      </w:r>
    </w:p>
    <w:p w14:paraId="6C6D7116" w14:textId="5D8FAED5" w:rsidR="00107CA3" w:rsidRPr="00AF0E8B" w:rsidRDefault="003D3067" w:rsidP="00AF0E8B">
      <w:pPr>
        <w:pStyle w:val="ListParagraph"/>
        <w:numPr>
          <w:ilvl w:val="0"/>
          <w:numId w:val="33"/>
        </w:numPr>
        <w:spacing w:line="276" w:lineRule="auto"/>
        <w:ind w:left="360"/>
        <w:rPr>
          <w:color w:val="000000" w:themeColor="text1"/>
          <w:sz w:val="22"/>
        </w:rPr>
      </w:pPr>
      <w:r w:rsidRPr="00AF0E8B">
        <w:rPr>
          <w:b/>
          <w:color w:val="E36C0A" w:themeColor="accent6" w:themeShade="BF"/>
          <w:sz w:val="22"/>
        </w:rPr>
        <w:t>The differing perspectives on how to measure income</w:t>
      </w:r>
    </w:p>
    <w:p w14:paraId="6C3315A1" w14:textId="04A19A03" w:rsidR="003D3067" w:rsidRPr="00AF0E8B" w:rsidRDefault="003D3067" w:rsidP="00AF0E8B">
      <w:pPr>
        <w:pStyle w:val="ListParagraph"/>
        <w:numPr>
          <w:ilvl w:val="0"/>
          <w:numId w:val="39"/>
        </w:numPr>
        <w:spacing w:line="276" w:lineRule="auto"/>
        <w:ind w:left="1080"/>
        <w:rPr>
          <w:sz w:val="22"/>
        </w:rPr>
      </w:pPr>
      <w:r w:rsidRPr="00AF0E8B">
        <w:rPr>
          <w:sz w:val="22"/>
        </w:rPr>
        <w:t>There are various ways of measuring income, including operating income, net income, and comprehensive income</w:t>
      </w:r>
    </w:p>
    <w:p w14:paraId="0B52DAD3" w14:textId="52CD1374" w:rsidR="003D3067" w:rsidRPr="00AF0E8B" w:rsidRDefault="003D3067" w:rsidP="00AF0E8B">
      <w:pPr>
        <w:pStyle w:val="ListParagraph"/>
        <w:numPr>
          <w:ilvl w:val="0"/>
          <w:numId w:val="39"/>
        </w:numPr>
        <w:spacing w:line="276" w:lineRule="auto"/>
        <w:ind w:left="1080"/>
        <w:rPr>
          <w:sz w:val="22"/>
        </w:rPr>
      </w:pPr>
      <w:r w:rsidRPr="00AF0E8B">
        <w:rPr>
          <w:sz w:val="22"/>
        </w:rPr>
        <w:t>IFRS recognizes the concept of comprehensive income but this is not included under ASPE</w:t>
      </w:r>
    </w:p>
    <w:p w14:paraId="20701C63" w14:textId="5789D225" w:rsidR="003D3067" w:rsidRPr="00AF0E8B" w:rsidRDefault="003D3067" w:rsidP="00AF0E8B">
      <w:pPr>
        <w:pStyle w:val="ListParagraph"/>
        <w:numPr>
          <w:ilvl w:val="0"/>
          <w:numId w:val="39"/>
        </w:numPr>
        <w:spacing w:line="276" w:lineRule="auto"/>
        <w:ind w:left="1080"/>
        <w:rPr>
          <w:sz w:val="22"/>
        </w:rPr>
      </w:pPr>
      <w:r w:rsidRPr="00AF0E8B">
        <w:rPr>
          <w:sz w:val="22"/>
        </w:rPr>
        <w:t>Other comprehensive income consists of a set list of items identified under IFRS essentially dealing with certain unrealized gains/losses</w:t>
      </w:r>
    </w:p>
    <w:p w14:paraId="00E6182E" w14:textId="7678895F" w:rsidR="00CA48B1" w:rsidRPr="00AF0E8B" w:rsidRDefault="00CA48B1" w:rsidP="00AF0E8B">
      <w:pPr>
        <w:pStyle w:val="ListParagraph"/>
        <w:numPr>
          <w:ilvl w:val="1"/>
          <w:numId w:val="39"/>
        </w:numPr>
        <w:spacing w:line="276" w:lineRule="auto"/>
        <w:ind w:left="1800"/>
        <w:rPr>
          <w:sz w:val="22"/>
        </w:rPr>
      </w:pPr>
      <w:r w:rsidRPr="00AF0E8B">
        <w:rPr>
          <w:sz w:val="22"/>
        </w:rPr>
        <w:t>Changes in revaluation surplus under the revaluation method for property, plant, and equipment</w:t>
      </w:r>
    </w:p>
    <w:p w14:paraId="6D5524FA" w14:textId="136A0E70" w:rsidR="00CA48B1" w:rsidRPr="00AF0E8B" w:rsidRDefault="00CA48B1" w:rsidP="00AF0E8B">
      <w:pPr>
        <w:pStyle w:val="ListParagraph"/>
        <w:numPr>
          <w:ilvl w:val="1"/>
          <w:numId w:val="39"/>
        </w:numPr>
        <w:spacing w:line="276" w:lineRule="auto"/>
        <w:ind w:left="1800"/>
        <w:rPr>
          <w:sz w:val="22"/>
        </w:rPr>
      </w:pPr>
      <w:r w:rsidRPr="00AF0E8B">
        <w:rPr>
          <w:sz w:val="22"/>
        </w:rPr>
        <w:t>Certain gains and losses on measurement of defined benefit pension plans</w:t>
      </w:r>
    </w:p>
    <w:p w14:paraId="7BD0C6DD" w14:textId="52AEF3D0" w:rsidR="00CA48B1" w:rsidRPr="00AF0E8B" w:rsidRDefault="00CA48B1" w:rsidP="00AF0E8B">
      <w:pPr>
        <w:pStyle w:val="ListParagraph"/>
        <w:numPr>
          <w:ilvl w:val="1"/>
          <w:numId w:val="39"/>
        </w:numPr>
        <w:spacing w:line="276" w:lineRule="auto"/>
        <w:ind w:left="1800"/>
        <w:rPr>
          <w:sz w:val="22"/>
        </w:rPr>
      </w:pPr>
      <w:r w:rsidRPr="00AF0E8B">
        <w:rPr>
          <w:sz w:val="22"/>
        </w:rPr>
        <w:t>Gains and losses arising from translating the financial statements of certain foreign operations</w:t>
      </w:r>
    </w:p>
    <w:p w14:paraId="5AB0FB8B" w14:textId="77AFF78C" w:rsidR="00CA48B1" w:rsidRPr="00AF0E8B" w:rsidRDefault="00CA48B1" w:rsidP="00AF0E8B">
      <w:pPr>
        <w:pStyle w:val="ListParagraph"/>
        <w:numPr>
          <w:ilvl w:val="1"/>
          <w:numId w:val="39"/>
        </w:numPr>
        <w:spacing w:line="276" w:lineRule="auto"/>
        <w:ind w:left="1800"/>
        <w:rPr>
          <w:sz w:val="22"/>
        </w:rPr>
      </w:pPr>
      <w:r w:rsidRPr="00AF0E8B">
        <w:rPr>
          <w:sz w:val="22"/>
        </w:rPr>
        <w:t>Gains and losses on hedging instruments for certain hedges – recycled to net income</w:t>
      </w:r>
    </w:p>
    <w:p w14:paraId="2660FE9C" w14:textId="1B4A7DC3" w:rsidR="00CA48B1" w:rsidRPr="00AF0E8B" w:rsidRDefault="00CA48B1" w:rsidP="00AF0E8B">
      <w:pPr>
        <w:pStyle w:val="ListParagraph"/>
        <w:numPr>
          <w:ilvl w:val="1"/>
          <w:numId w:val="39"/>
        </w:numPr>
        <w:spacing w:line="276" w:lineRule="auto"/>
        <w:ind w:left="1800"/>
        <w:rPr>
          <w:sz w:val="22"/>
        </w:rPr>
      </w:pPr>
      <w:r w:rsidRPr="00AF0E8B">
        <w:rPr>
          <w:sz w:val="22"/>
        </w:rPr>
        <w:t>Gains and losses on remeasuring FV-OCI investments – recycled to net income under IAS 39</w:t>
      </w:r>
    </w:p>
    <w:p w14:paraId="0A5770AA" w14:textId="6A2E1AE4" w:rsidR="003D3067" w:rsidRPr="00AF0E8B" w:rsidRDefault="003D3067" w:rsidP="00AF0E8B">
      <w:pPr>
        <w:pStyle w:val="ListParagraph"/>
        <w:numPr>
          <w:ilvl w:val="0"/>
          <w:numId w:val="39"/>
        </w:numPr>
        <w:spacing w:line="276" w:lineRule="auto"/>
        <w:ind w:left="1080"/>
        <w:rPr>
          <w:sz w:val="22"/>
        </w:rPr>
      </w:pPr>
      <w:r w:rsidRPr="00AF0E8B">
        <w:rPr>
          <w:sz w:val="22"/>
        </w:rPr>
        <w:t>Under IFRS, some of these items are recycled (reclassified) to net income and some are not</w:t>
      </w:r>
    </w:p>
    <w:p w14:paraId="36F15CEF" w14:textId="4D5D9925" w:rsidR="00B96C3D" w:rsidRPr="00AF0E8B" w:rsidRDefault="00B96C3D" w:rsidP="00AF0E8B">
      <w:pPr>
        <w:pStyle w:val="ListParagraph"/>
        <w:numPr>
          <w:ilvl w:val="0"/>
          <w:numId w:val="33"/>
        </w:numPr>
        <w:spacing w:line="276" w:lineRule="auto"/>
        <w:ind w:left="360"/>
        <w:rPr>
          <w:color w:val="E36C0A" w:themeColor="accent6" w:themeShade="BF"/>
          <w:sz w:val="22"/>
        </w:rPr>
      </w:pPr>
      <w:r w:rsidRPr="00AF0E8B">
        <w:rPr>
          <w:b/>
          <w:color w:val="E36C0A" w:themeColor="accent6" w:themeShade="BF"/>
          <w:sz w:val="22"/>
        </w:rPr>
        <w:t>Measuring and reporting results of discontinued operations</w:t>
      </w:r>
    </w:p>
    <w:p w14:paraId="2D65D79F" w14:textId="4A3D368B" w:rsidR="00B96C3D" w:rsidRPr="00AF0E8B" w:rsidRDefault="00B96C3D" w:rsidP="00AF0E8B">
      <w:pPr>
        <w:pStyle w:val="ListParagraph"/>
        <w:numPr>
          <w:ilvl w:val="0"/>
          <w:numId w:val="40"/>
        </w:numPr>
        <w:spacing w:line="276" w:lineRule="auto"/>
        <w:ind w:left="1080"/>
        <w:rPr>
          <w:sz w:val="22"/>
        </w:rPr>
      </w:pPr>
      <w:r w:rsidRPr="00AF0E8B">
        <w:rPr>
          <w:sz w:val="22"/>
        </w:rPr>
        <w:t>The gain or loss on disposal of a business component involves the sum of the following:</w:t>
      </w:r>
    </w:p>
    <w:p w14:paraId="1A69958A" w14:textId="77777777" w:rsidR="00B96C3D" w:rsidRPr="00AF0E8B" w:rsidRDefault="00B96C3D" w:rsidP="00AF0E8B">
      <w:pPr>
        <w:pStyle w:val="ListParagraph"/>
        <w:numPr>
          <w:ilvl w:val="1"/>
          <w:numId w:val="40"/>
        </w:numPr>
        <w:spacing w:line="276" w:lineRule="auto"/>
        <w:ind w:left="1800"/>
        <w:rPr>
          <w:sz w:val="22"/>
        </w:rPr>
      </w:pPr>
      <w:r w:rsidRPr="00AF0E8B">
        <w:rPr>
          <w:sz w:val="22"/>
        </w:rPr>
        <w:t>(1) The income or loess from operations to the financial statement date</w:t>
      </w:r>
    </w:p>
    <w:p w14:paraId="03902EBC" w14:textId="5EE3AD8F" w:rsidR="00B96C3D" w:rsidRPr="00AF0E8B" w:rsidRDefault="00B96C3D" w:rsidP="00AF0E8B">
      <w:pPr>
        <w:pStyle w:val="ListParagraph"/>
        <w:numPr>
          <w:ilvl w:val="1"/>
          <w:numId w:val="40"/>
        </w:numPr>
        <w:spacing w:line="276" w:lineRule="auto"/>
        <w:ind w:left="1800"/>
        <w:rPr>
          <w:sz w:val="22"/>
        </w:rPr>
      </w:pPr>
      <w:r w:rsidRPr="00AF0E8B">
        <w:rPr>
          <w:sz w:val="22"/>
        </w:rPr>
        <w:t>(2) The gain or loss on the disposal of the business component</w:t>
      </w:r>
    </w:p>
    <w:p w14:paraId="23640837" w14:textId="3B8E743F" w:rsidR="00B96C3D" w:rsidRPr="00AF0E8B" w:rsidRDefault="00B96C3D" w:rsidP="00AF0E8B">
      <w:pPr>
        <w:pStyle w:val="ListParagraph"/>
        <w:numPr>
          <w:ilvl w:val="0"/>
          <w:numId w:val="40"/>
        </w:numPr>
        <w:spacing w:line="276" w:lineRule="auto"/>
        <w:ind w:left="1080"/>
        <w:rPr>
          <w:b/>
          <w:sz w:val="22"/>
        </w:rPr>
      </w:pPr>
      <w:r w:rsidRPr="00AF0E8B">
        <w:rPr>
          <w:sz w:val="22"/>
        </w:rPr>
        <w:t xml:space="preserve">These items are reported </w:t>
      </w:r>
      <w:r w:rsidRPr="00AF0E8B">
        <w:rPr>
          <w:b/>
          <w:sz w:val="22"/>
        </w:rPr>
        <w:t xml:space="preserve">net of tax </w:t>
      </w:r>
      <w:r w:rsidRPr="00AF0E8B">
        <w:rPr>
          <w:sz w:val="22"/>
        </w:rPr>
        <w:t>among irregular items in the income statement</w:t>
      </w:r>
    </w:p>
    <w:p w14:paraId="2E46BD5C" w14:textId="3AAF5345" w:rsidR="00B96C3D" w:rsidRPr="00AF0E8B" w:rsidRDefault="00B96C3D" w:rsidP="00AF0E8B">
      <w:pPr>
        <w:pStyle w:val="ListParagraph"/>
        <w:numPr>
          <w:ilvl w:val="0"/>
          <w:numId w:val="40"/>
        </w:numPr>
        <w:spacing w:line="276" w:lineRule="auto"/>
        <w:ind w:left="1080"/>
        <w:rPr>
          <w:b/>
          <w:sz w:val="22"/>
        </w:rPr>
      </w:pPr>
      <w:r w:rsidRPr="00AF0E8B">
        <w:rPr>
          <w:sz w:val="22"/>
        </w:rPr>
        <w:t>Related assets are identified on the balance sheet where material</w:t>
      </w:r>
    </w:p>
    <w:p w14:paraId="77CEE1AE" w14:textId="548B9260" w:rsidR="00B96C3D" w:rsidRPr="00AF0E8B" w:rsidRDefault="00B96C3D" w:rsidP="00AF0E8B">
      <w:pPr>
        <w:pStyle w:val="ListParagraph"/>
        <w:numPr>
          <w:ilvl w:val="0"/>
          <w:numId w:val="40"/>
        </w:numPr>
        <w:spacing w:line="276" w:lineRule="auto"/>
        <w:ind w:left="1080"/>
        <w:rPr>
          <w:b/>
          <w:sz w:val="22"/>
        </w:rPr>
      </w:pPr>
      <w:r w:rsidRPr="00AF0E8B">
        <w:rPr>
          <w:sz w:val="22"/>
        </w:rPr>
        <w:t>Under IFRS, non-current assets are reclassified to current assets</w:t>
      </w:r>
    </w:p>
    <w:p w14:paraId="097B4D50" w14:textId="15A15E12" w:rsidR="00B96C3D" w:rsidRPr="00AF0E8B" w:rsidRDefault="00B96C3D" w:rsidP="00AF0E8B">
      <w:pPr>
        <w:pStyle w:val="ListParagraph"/>
        <w:numPr>
          <w:ilvl w:val="0"/>
          <w:numId w:val="33"/>
        </w:numPr>
        <w:spacing w:line="276" w:lineRule="auto"/>
        <w:ind w:left="360"/>
        <w:rPr>
          <w:b/>
          <w:sz w:val="22"/>
        </w:rPr>
      </w:pPr>
      <w:r w:rsidRPr="00AF0E8B">
        <w:rPr>
          <w:b/>
          <w:color w:val="E36C0A" w:themeColor="accent6" w:themeShade="BF"/>
          <w:sz w:val="22"/>
        </w:rPr>
        <w:t>Measuring income and preparing the income statement and the statement of comprehensive income</w:t>
      </w:r>
    </w:p>
    <w:p w14:paraId="4649BB40" w14:textId="0F6E2F9B" w:rsidR="00B96C3D" w:rsidRPr="00AF0E8B" w:rsidRDefault="00B96C3D" w:rsidP="00AF0E8B">
      <w:pPr>
        <w:pStyle w:val="ListParagraph"/>
        <w:numPr>
          <w:ilvl w:val="0"/>
          <w:numId w:val="41"/>
        </w:numPr>
        <w:spacing w:line="276" w:lineRule="auto"/>
        <w:ind w:left="1080"/>
        <w:rPr>
          <w:sz w:val="22"/>
        </w:rPr>
      </w:pPr>
      <w:r w:rsidRPr="00AF0E8B">
        <w:rPr>
          <w:sz w:val="22"/>
        </w:rPr>
        <w:t>There are many ways to present the income statement and the statement of comprehensive income</w:t>
      </w:r>
    </w:p>
    <w:p w14:paraId="7D9D5507" w14:textId="56F76A06" w:rsidR="00B96C3D" w:rsidRPr="00AF0E8B" w:rsidRDefault="00B96C3D" w:rsidP="00AF0E8B">
      <w:pPr>
        <w:pStyle w:val="ListParagraph"/>
        <w:numPr>
          <w:ilvl w:val="0"/>
          <w:numId w:val="41"/>
        </w:numPr>
        <w:spacing w:line="276" w:lineRule="auto"/>
        <w:ind w:left="1080"/>
        <w:rPr>
          <w:sz w:val="22"/>
        </w:rPr>
      </w:pPr>
      <w:r w:rsidRPr="00AF0E8B">
        <w:rPr>
          <w:sz w:val="22"/>
        </w:rPr>
        <w:t>GAAP lays out certain minimum requirements but beyond that, a company has some leeway to present the information as it wishes</w:t>
      </w:r>
    </w:p>
    <w:p w14:paraId="6CAB3CFF" w14:textId="7A658EA9" w:rsidR="00B96C3D" w:rsidRPr="00AF0E8B" w:rsidRDefault="00B96C3D" w:rsidP="00AF0E8B">
      <w:pPr>
        <w:pStyle w:val="ListParagraph"/>
        <w:numPr>
          <w:ilvl w:val="0"/>
          <w:numId w:val="41"/>
        </w:numPr>
        <w:spacing w:line="276" w:lineRule="auto"/>
        <w:ind w:left="1080"/>
        <w:rPr>
          <w:sz w:val="22"/>
        </w:rPr>
      </w:pPr>
      <w:r w:rsidRPr="00AF0E8B">
        <w:rPr>
          <w:sz w:val="22"/>
        </w:rPr>
        <w:t>The goal is to ensure that the statements present info about performance in a transparent manner, including presenting items such that users can see which are ordinary versus peripheral activities</w:t>
      </w:r>
    </w:p>
    <w:p w14:paraId="6F25060A" w14:textId="1A536556" w:rsidR="00B96C3D" w:rsidRPr="00AF0E8B" w:rsidRDefault="00B96C3D" w:rsidP="00AF0E8B">
      <w:pPr>
        <w:pStyle w:val="ListParagraph"/>
        <w:numPr>
          <w:ilvl w:val="0"/>
          <w:numId w:val="41"/>
        </w:numPr>
        <w:spacing w:line="276" w:lineRule="auto"/>
        <w:ind w:left="1080"/>
        <w:rPr>
          <w:sz w:val="22"/>
        </w:rPr>
      </w:pPr>
      <w:r w:rsidRPr="00AF0E8B">
        <w:rPr>
          <w:sz w:val="22"/>
        </w:rPr>
        <w:t xml:space="preserve">IFRS allows the statement of comprehensive income to be presented in a </w:t>
      </w:r>
      <w:r w:rsidR="003E6DEC" w:rsidRPr="00AF0E8B">
        <w:rPr>
          <w:sz w:val="22"/>
        </w:rPr>
        <w:t>combined</w:t>
      </w:r>
      <w:r w:rsidRPr="00AF0E8B">
        <w:rPr>
          <w:sz w:val="22"/>
        </w:rPr>
        <w:t xml:space="preserve"> statement </w:t>
      </w:r>
      <w:r w:rsidR="003E6DEC" w:rsidRPr="00AF0E8B">
        <w:rPr>
          <w:sz w:val="22"/>
        </w:rPr>
        <w:t>or two statements</w:t>
      </w:r>
    </w:p>
    <w:p w14:paraId="449B7139" w14:textId="7558B48A" w:rsidR="003E6DEC" w:rsidRPr="00AF0E8B" w:rsidRDefault="003E6DEC" w:rsidP="00AF0E8B">
      <w:pPr>
        <w:pStyle w:val="ListParagraph"/>
        <w:numPr>
          <w:ilvl w:val="0"/>
          <w:numId w:val="41"/>
        </w:numPr>
        <w:spacing w:line="276" w:lineRule="auto"/>
        <w:ind w:left="1080"/>
        <w:rPr>
          <w:sz w:val="22"/>
        </w:rPr>
      </w:pPr>
      <w:r w:rsidRPr="00AF0E8B">
        <w:rPr>
          <w:sz w:val="22"/>
        </w:rPr>
        <w:t>By convention, companies use what is known as a single-step method or a multiple-step method (or a variation of the two)</w:t>
      </w:r>
    </w:p>
    <w:p w14:paraId="103A34DA" w14:textId="014151E1" w:rsidR="003E6DEC" w:rsidRPr="00AF0E8B" w:rsidRDefault="003E6DEC" w:rsidP="00AF0E8B">
      <w:pPr>
        <w:pStyle w:val="ListParagraph"/>
        <w:numPr>
          <w:ilvl w:val="0"/>
          <w:numId w:val="41"/>
        </w:numPr>
        <w:spacing w:line="276" w:lineRule="auto"/>
        <w:ind w:left="1080"/>
        <w:rPr>
          <w:sz w:val="22"/>
        </w:rPr>
      </w:pPr>
      <w:r w:rsidRPr="00AF0E8B">
        <w:rPr>
          <w:sz w:val="22"/>
        </w:rPr>
        <w:t>IFRS requires entities to provide info about either the nature or function of expenses</w:t>
      </w:r>
      <w:r w:rsidRPr="00AF0E8B">
        <w:rPr>
          <w:sz w:val="22"/>
        </w:rPr>
        <w:tab/>
      </w:r>
    </w:p>
    <w:p w14:paraId="62235A05" w14:textId="1519C53D" w:rsidR="003E6DEC" w:rsidRPr="00AF0E8B" w:rsidRDefault="003E6DEC" w:rsidP="00AF0E8B">
      <w:pPr>
        <w:pStyle w:val="ListParagraph"/>
        <w:numPr>
          <w:ilvl w:val="1"/>
          <w:numId w:val="41"/>
        </w:numPr>
        <w:spacing w:line="276" w:lineRule="auto"/>
        <w:ind w:left="1800"/>
        <w:rPr>
          <w:sz w:val="22"/>
        </w:rPr>
      </w:pPr>
      <w:r w:rsidRPr="00AF0E8B">
        <w:rPr>
          <w:sz w:val="22"/>
        </w:rPr>
        <w:t>When info is provided using function of expenses, additional disclosures should be made regarding the breakdown of the nature of expenses as the latter has good cash flow predictive value</w:t>
      </w:r>
    </w:p>
    <w:p w14:paraId="614AFEB1" w14:textId="71AC8165" w:rsidR="003E6DEC" w:rsidRPr="00AF0E8B" w:rsidRDefault="003E6DEC" w:rsidP="00AF0E8B">
      <w:pPr>
        <w:pStyle w:val="ListParagraph"/>
        <w:numPr>
          <w:ilvl w:val="0"/>
          <w:numId w:val="41"/>
        </w:numPr>
        <w:spacing w:line="276" w:lineRule="auto"/>
        <w:ind w:left="1080"/>
        <w:rPr>
          <w:sz w:val="22"/>
        </w:rPr>
      </w:pPr>
      <w:r w:rsidRPr="00AF0E8B">
        <w:rPr>
          <w:sz w:val="22"/>
        </w:rPr>
        <w:t>The entity should choose the method that best reflects the nature of the business and industry</w:t>
      </w:r>
    </w:p>
    <w:p w14:paraId="68B13789" w14:textId="286356B0" w:rsidR="003E6DEC" w:rsidRPr="00AF0E8B" w:rsidRDefault="003E6DEC" w:rsidP="00AF0E8B">
      <w:pPr>
        <w:pStyle w:val="ListParagraph"/>
        <w:numPr>
          <w:ilvl w:val="0"/>
          <w:numId w:val="33"/>
        </w:numPr>
        <w:spacing w:line="276" w:lineRule="auto"/>
        <w:ind w:left="360"/>
        <w:rPr>
          <w:sz w:val="22"/>
        </w:rPr>
      </w:pPr>
      <w:r w:rsidRPr="00AF0E8B">
        <w:rPr>
          <w:b/>
          <w:color w:val="E36C0A" w:themeColor="accent6" w:themeShade="BF"/>
          <w:sz w:val="22"/>
        </w:rPr>
        <w:t>Statement of retain</w:t>
      </w:r>
      <w:r w:rsidR="00375A62" w:rsidRPr="00AF0E8B">
        <w:rPr>
          <w:b/>
          <w:color w:val="E36C0A" w:themeColor="accent6" w:themeShade="BF"/>
          <w:sz w:val="22"/>
        </w:rPr>
        <w:t>ed earnings and the statement of</w:t>
      </w:r>
      <w:r w:rsidRPr="00AF0E8B">
        <w:rPr>
          <w:b/>
          <w:color w:val="E36C0A" w:themeColor="accent6" w:themeShade="BF"/>
          <w:sz w:val="22"/>
        </w:rPr>
        <w:t xml:space="preserve"> changes in equity</w:t>
      </w:r>
    </w:p>
    <w:p w14:paraId="01A75E11" w14:textId="076BA988" w:rsidR="003E6DEC" w:rsidRPr="00AF0E8B" w:rsidRDefault="003E6DEC" w:rsidP="00AF0E8B">
      <w:pPr>
        <w:pStyle w:val="ListParagraph"/>
        <w:numPr>
          <w:ilvl w:val="0"/>
          <w:numId w:val="42"/>
        </w:numPr>
        <w:spacing w:line="276" w:lineRule="auto"/>
        <w:ind w:left="1080"/>
        <w:rPr>
          <w:sz w:val="22"/>
        </w:rPr>
      </w:pPr>
      <w:r w:rsidRPr="00AF0E8B">
        <w:rPr>
          <w:sz w:val="22"/>
        </w:rPr>
        <w:t>The retained earnings statement should disclose net income (loss), dividends, prior period adjustments, and transfers to and from retained earnings (appropriations) – required under ASPE</w:t>
      </w:r>
    </w:p>
    <w:p w14:paraId="61DA1BDC" w14:textId="581379D5" w:rsidR="003E6DEC" w:rsidRPr="00AF0E8B" w:rsidRDefault="003E6DEC" w:rsidP="00AF0E8B">
      <w:pPr>
        <w:pStyle w:val="ListParagraph"/>
        <w:numPr>
          <w:ilvl w:val="0"/>
          <w:numId w:val="42"/>
        </w:numPr>
        <w:spacing w:line="276" w:lineRule="auto"/>
        <w:ind w:left="1080"/>
        <w:rPr>
          <w:sz w:val="22"/>
        </w:rPr>
      </w:pPr>
      <w:r w:rsidRPr="00AF0E8B">
        <w:rPr>
          <w:sz w:val="22"/>
        </w:rPr>
        <w:t xml:space="preserve">The statement of changes in equity shows all changes in all equity accounts including accumulated other comprehensive income (OCI) – required under IFRS and takes place of the retained earnings statement </w:t>
      </w:r>
    </w:p>
    <w:p w14:paraId="7E352683" w14:textId="6844B9E3" w:rsidR="003E6DEC" w:rsidRPr="00AF0E8B" w:rsidRDefault="003E6DEC" w:rsidP="00AF0E8B">
      <w:pPr>
        <w:pStyle w:val="ListParagraph"/>
        <w:numPr>
          <w:ilvl w:val="0"/>
          <w:numId w:val="33"/>
        </w:numPr>
        <w:spacing w:line="276" w:lineRule="auto"/>
        <w:ind w:left="360"/>
        <w:rPr>
          <w:sz w:val="22"/>
        </w:rPr>
      </w:pPr>
      <w:r w:rsidRPr="00AF0E8B">
        <w:rPr>
          <w:b/>
          <w:color w:val="E36C0A" w:themeColor="accent6" w:themeShade="BF"/>
          <w:sz w:val="22"/>
        </w:rPr>
        <w:t>How disclosures and analysis help users of financial statements assess performance</w:t>
      </w:r>
    </w:p>
    <w:p w14:paraId="5210C43A" w14:textId="4A466098" w:rsidR="003E6DEC" w:rsidRPr="00AF0E8B" w:rsidRDefault="003E6DEC" w:rsidP="00AF0E8B">
      <w:pPr>
        <w:pStyle w:val="ListParagraph"/>
        <w:numPr>
          <w:ilvl w:val="0"/>
          <w:numId w:val="43"/>
        </w:numPr>
        <w:spacing w:line="276" w:lineRule="auto"/>
        <w:ind w:left="1080"/>
        <w:rPr>
          <w:sz w:val="22"/>
        </w:rPr>
      </w:pPr>
      <w:r w:rsidRPr="00AF0E8B">
        <w:rPr>
          <w:sz w:val="22"/>
        </w:rPr>
        <w:t>Disclosures include notes and supplementary info</w:t>
      </w:r>
    </w:p>
    <w:p w14:paraId="380C4881" w14:textId="3F38E94C" w:rsidR="003E6DEC" w:rsidRPr="00AF0E8B" w:rsidRDefault="003E6DEC" w:rsidP="00AF0E8B">
      <w:pPr>
        <w:pStyle w:val="ListParagraph"/>
        <w:numPr>
          <w:ilvl w:val="0"/>
          <w:numId w:val="43"/>
        </w:numPr>
        <w:spacing w:line="276" w:lineRule="auto"/>
        <w:ind w:left="1080"/>
        <w:rPr>
          <w:sz w:val="22"/>
        </w:rPr>
      </w:pPr>
      <w:r w:rsidRPr="00AF0E8B">
        <w:rPr>
          <w:sz w:val="22"/>
        </w:rPr>
        <w:t>They provide background and explanatory info necessary to understand the business</w:t>
      </w:r>
    </w:p>
    <w:p w14:paraId="0C12905D" w14:textId="56ADFC9C" w:rsidR="003E6DEC" w:rsidRPr="00AF0E8B" w:rsidRDefault="003E6DEC" w:rsidP="00AF0E8B">
      <w:pPr>
        <w:pStyle w:val="ListParagraph"/>
        <w:numPr>
          <w:ilvl w:val="0"/>
          <w:numId w:val="43"/>
        </w:numPr>
        <w:spacing w:line="276" w:lineRule="auto"/>
        <w:ind w:left="1080"/>
        <w:rPr>
          <w:sz w:val="22"/>
        </w:rPr>
      </w:pPr>
      <w:r w:rsidRPr="00AF0E8B">
        <w:rPr>
          <w:sz w:val="22"/>
        </w:rPr>
        <w:t>Investors and analysts use quality of earnings analysis to help determine a company’s value</w:t>
      </w:r>
    </w:p>
    <w:p w14:paraId="771E0B8C" w14:textId="124D48F4" w:rsidR="003E6DEC" w:rsidRPr="00AF0E8B" w:rsidRDefault="003E6DEC" w:rsidP="00AF0E8B">
      <w:pPr>
        <w:pStyle w:val="ListParagraph"/>
        <w:numPr>
          <w:ilvl w:val="0"/>
          <w:numId w:val="33"/>
        </w:numPr>
        <w:spacing w:line="276" w:lineRule="auto"/>
        <w:ind w:left="360"/>
        <w:rPr>
          <w:color w:val="E36C0A" w:themeColor="accent6" w:themeShade="BF"/>
          <w:sz w:val="22"/>
        </w:rPr>
      </w:pPr>
      <w:r w:rsidRPr="00AF0E8B">
        <w:rPr>
          <w:b/>
          <w:color w:val="E36C0A" w:themeColor="accent6" w:themeShade="BF"/>
          <w:sz w:val="22"/>
        </w:rPr>
        <w:t>Differences in accounting between IFRS and ASPE and potential changes</w:t>
      </w:r>
    </w:p>
    <w:p w14:paraId="340604F1" w14:textId="561BF406" w:rsidR="00E85ECD" w:rsidRPr="00AF0E8B" w:rsidRDefault="00E85ECD" w:rsidP="00AF0E8B">
      <w:pPr>
        <w:pStyle w:val="ListParagraph"/>
        <w:numPr>
          <w:ilvl w:val="0"/>
          <w:numId w:val="46"/>
        </w:numPr>
        <w:spacing w:line="276" w:lineRule="auto"/>
        <w:ind w:left="1080"/>
        <w:rPr>
          <w:sz w:val="22"/>
        </w:rPr>
      </w:pPr>
      <w:r w:rsidRPr="00AF0E8B">
        <w:rPr>
          <w:sz w:val="22"/>
        </w:rPr>
        <w:t>The IASB may eventually change the way financial statements are presented</w:t>
      </w:r>
    </w:p>
    <w:p w14:paraId="5FE7AE70" w14:textId="45DF7EA5" w:rsidR="00E85ECD" w:rsidRPr="00AF0E8B" w:rsidRDefault="00E85ECD" w:rsidP="00AF0E8B">
      <w:pPr>
        <w:pStyle w:val="ListParagraph"/>
        <w:numPr>
          <w:ilvl w:val="0"/>
          <w:numId w:val="46"/>
        </w:numPr>
        <w:spacing w:line="276" w:lineRule="auto"/>
        <w:ind w:left="1080"/>
        <w:rPr>
          <w:sz w:val="22"/>
        </w:rPr>
      </w:pPr>
      <w:r w:rsidRPr="00AF0E8B">
        <w:rPr>
          <w:sz w:val="22"/>
        </w:rPr>
        <w:t>The major statements, including balance sheet, income statements, and statement of cash flows, would be classified according to business and financing activities</w:t>
      </w:r>
    </w:p>
    <w:p w14:paraId="00038043" w14:textId="14186951" w:rsidR="00E85ECD" w:rsidRPr="00AF0E8B" w:rsidRDefault="00E85ECD" w:rsidP="00AF0E8B">
      <w:pPr>
        <w:pStyle w:val="ListParagraph"/>
        <w:numPr>
          <w:ilvl w:val="0"/>
          <w:numId w:val="46"/>
        </w:numPr>
        <w:spacing w:line="276" w:lineRule="auto"/>
        <w:ind w:left="1080"/>
        <w:rPr>
          <w:sz w:val="22"/>
        </w:rPr>
      </w:pPr>
      <w:r w:rsidRPr="00AF0E8B">
        <w:rPr>
          <w:sz w:val="22"/>
        </w:rPr>
        <w:t>The IASB is also working to harmonize the definition of “component” for purposes of discontinued operations</w:t>
      </w:r>
    </w:p>
    <w:p w14:paraId="39F46440" w14:textId="717ED13E" w:rsidR="003E6DEC" w:rsidRPr="00AF0E8B" w:rsidRDefault="003E6DEC" w:rsidP="00AF0E8B">
      <w:pPr>
        <w:spacing w:line="276" w:lineRule="auto"/>
        <w:ind w:firstLine="720"/>
        <w:rPr>
          <w:sz w:val="22"/>
        </w:rPr>
      </w:pPr>
      <w:r w:rsidRPr="00AF0E8B">
        <w:rPr>
          <w:sz w:val="22"/>
        </w:rPr>
        <w:t>ASPE:</w:t>
      </w:r>
    </w:p>
    <w:p w14:paraId="0FD4CB10" w14:textId="35B1A987" w:rsidR="003E6DEC" w:rsidRPr="00AF0E8B" w:rsidRDefault="003E6DEC" w:rsidP="00AF0E8B">
      <w:pPr>
        <w:pStyle w:val="ListParagraph"/>
        <w:numPr>
          <w:ilvl w:val="0"/>
          <w:numId w:val="44"/>
        </w:numPr>
        <w:spacing w:line="276" w:lineRule="auto"/>
        <w:ind w:left="1440"/>
        <w:rPr>
          <w:sz w:val="22"/>
        </w:rPr>
      </w:pPr>
      <w:r w:rsidRPr="00AF0E8B">
        <w:rPr>
          <w:sz w:val="22"/>
        </w:rPr>
        <w:t xml:space="preserve">Can </w:t>
      </w:r>
      <w:r w:rsidRPr="00AF0E8B">
        <w:rPr>
          <w:b/>
          <w:sz w:val="22"/>
        </w:rPr>
        <w:t>present expenses</w:t>
      </w:r>
      <w:r w:rsidRPr="00AF0E8B">
        <w:rPr>
          <w:sz w:val="22"/>
        </w:rPr>
        <w:t xml:space="preserve"> according to their nature or function, free to choose but should choose option that is the most transparent</w:t>
      </w:r>
    </w:p>
    <w:p w14:paraId="19E654EC" w14:textId="58FC7204" w:rsidR="003E6DEC" w:rsidRPr="00AF0E8B" w:rsidRDefault="003E6DEC" w:rsidP="00AF0E8B">
      <w:pPr>
        <w:pStyle w:val="ListParagraph"/>
        <w:numPr>
          <w:ilvl w:val="0"/>
          <w:numId w:val="44"/>
        </w:numPr>
        <w:spacing w:line="276" w:lineRule="auto"/>
        <w:ind w:left="1440"/>
        <w:rPr>
          <w:sz w:val="22"/>
        </w:rPr>
      </w:pPr>
      <w:r w:rsidRPr="00AF0E8B">
        <w:rPr>
          <w:b/>
          <w:sz w:val="22"/>
        </w:rPr>
        <w:t>Held-for-sale assets and liabilities</w:t>
      </w:r>
      <w:r w:rsidRPr="00AF0E8B">
        <w:rPr>
          <w:sz w:val="22"/>
        </w:rPr>
        <w:t xml:space="preserve"> are classified as current or non-current depending on the nature</w:t>
      </w:r>
      <w:r w:rsidR="00173F3B" w:rsidRPr="00AF0E8B">
        <w:rPr>
          <w:sz w:val="22"/>
        </w:rPr>
        <w:t xml:space="preserve"> unless the assets have been sold prior to the completion of financial statements</w:t>
      </w:r>
    </w:p>
    <w:p w14:paraId="0725FD73" w14:textId="6E5A027C" w:rsidR="00173F3B" w:rsidRPr="00AF0E8B" w:rsidRDefault="00173F3B" w:rsidP="00AF0E8B">
      <w:pPr>
        <w:pStyle w:val="ListParagraph"/>
        <w:numPr>
          <w:ilvl w:val="0"/>
          <w:numId w:val="44"/>
        </w:numPr>
        <w:spacing w:line="276" w:lineRule="auto"/>
        <w:ind w:left="1440"/>
        <w:rPr>
          <w:sz w:val="22"/>
        </w:rPr>
      </w:pPr>
      <w:r w:rsidRPr="00AF0E8B">
        <w:rPr>
          <w:b/>
          <w:sz w:val="22"/>
        </w:rPr>
        <w:t>Discontinued operation</w:t>
      </w:r>
      <w:r w:rsidRPr="00AF0E8B">
        <w:rPr>
          <w:sz w:val="22"/>
        </w:rPr>
        <w:t xml:space="preserve"> component includes operating segments, reporting units, subsidiaries, asset groups, and operations with no assets – must provide noting that operations and cash flows must be or will be eliminated and the enterprise must have no significant continuing involvement</w:t>
      </w:r>
    </w:p>
    <w:p w14:paraId="0E1E38D9" w14:textId="05EFFE68" w:rsidR="00173F3B" w:rsidRPr="00AF0E8B" w:rsidRDefault="00173F3B" w:rsidP="00AF0E8B">
      <w:pPr>
        <w:pStyle w:val="ListParagraph"/>
        <w:numPr>
          <w:ilvl w:val="0"/>
          <w:numId w:val="44"/>
        </w:numPr>
        <w:spacing w:line="276" w:lineRule="auto"/>
        <w:ind w:left="1440"/>
        <w:rPr>
          <w:sz w:val="22"/>
        </w:rPr>
      </w:pPr>
      <w:r w:rsidRPr="00AF0E8B">
        <w:rPr>
          <w:b/>
          <w:sz w:val="22"/>
        </w:rPr>
        <w:t>OCI/Comprehensive Income is not recognized</w:t>
      </w:r>
      <w:r w:rsidRPr="00AF0E8B">
        <w:rPr>
          <w:sz w:val="22"/>
        </w:rPr>
        <w:t xml:space="preserve"> – either part of net income or separate component of shareholders’ equity</w:t>
      </w:r>
    </w:p>
    <w:p w14:paraId="2ABF3F66" w14:textId="1BF420C2" w:rsidR="00173F3B" w:rsidRPr="00AF0E8B" w:rsidRDefault="00173F3B" w:rsidP="00AF0E8B">
      <w:pPr>
        <w:pStyle w:val="ListParagraph"/>
        <w:numPr>
          <w:ilvl w:val="0"/>
          <w:numId w:val="44"/>
        </w:numPr>
        <w:spacing w:line="276" w:lineRule="auto"/>
        <w:ind w:left="1440"/>
        <w:rPr>
          <w:b/>
          <w:sz w:val="22"/>
        </w:rPr>
      </w:pPr>
      <w:r w:rsidRPr="00AF0E8B">
        <w:rPr>
          <w:b/>
          <w:sz w:val="22"/>
        </w:rPr>
        <w:t>EPS is not mentioned</w:t>
      </w:r>
    </w:p>
    <w:p w14:paraId="62FF80CB" w14:textId="3CEB9C2A" w:rsidR="00173F3B" w:rsidRPr="00AF0E8B" w:rsidRDefault="00173F3B" w:rsidP="00AF0E8B">
      <w:pPr>
        <w:pStyle w:val="ListParagraph"/>
        <w:numPr>
          <w:ilvl w:val="0"/>
          <w:numId w:val="44"/>
        </w:numPr>
        <w:spacing w:line="276" w:lineRule="auto"/>
        <w:ind w:left="1440"/>
        <w:rPr>
          <w:sz w:val="22"/>
        </w:rPr>
      </w:pPr>
      <w:r w:rsidRPr="00AF0E8B">
        <w:rPr>
          <w:b/>
          <w:sz w:val="22"/>
        </w:rPr>
        <w:t>Statement of retained earnings</w:t>
      </w:r>
      <w:r w:rsidRPr="00AF0E8B">
        <w:rPr>
          <w:sz w:val="22"/>
        </w:rPr>
        <w:t xml:space="preserve"> is required</w:t>
      </w:r>
    </w:p>
    <w:p w14:paraId="7F99735C" w14:textId="689E6C74" w:rsidR="00173F3B" w:rsidRPr="00AF0E8B" w:rsidRDefault="00173F3B" w:rsidP="00AF0E8B">
      <w:pPr>
        <w:spacing w:line="276" w:lineRule="auto"/>
        <w:ind w:firstLine="720"/>
        <w:rPr>
          <w:sz w:val="22"/>
        </w:rPr>
      </w:pPr>
      <w:r w:rsidRPr="00AF0E8B">
        <w:rPr>
          <w:sz w:val="22"/>
        </w:rPr>
        <w:t>IFRS:</w:t>
      </w:r>
    </w:p>
    <w:p w14:paraId="6F8DFC0D" w14:textId="191B5C57" w:rsidR="00173F3B" w:rsidRPr="00AF0E8B" w:rsidRDefault="00173F3B" w:rsidP="00AF0E8B">
      <w:pPr>
        <w:pStyle w:val="ListParagraph"/>
        <w:numPr>
          <w:ilvl w:val="0"/>
          <w:numId w:val="45"/>
        </w:numPr>
        <w:spacing w:line="276" w:lineRule="auto"/>
        <w:ind w:left="1419"/>
        <w:rPr>
          <w:sz w:val="22"/>
        </w:rPr>
      </w:pPr>
      <w:r w:rsidRPr="00AF0E8B">
        <w:rPr>
          <w:sz w:val="22"/>
        </w:rPr>
        <w:t xml:space="preserve">IFRS requires that the entity </w:t>
      </w:r>
      <w:r w:rsidRPr="00AF0E8B">
        <w:rPr>
          <w:b/>
          <w:sz w:val="22"/>
        </w:rPr>
        <w:t>present an analysis of expenses</w:t>
      </w:r>
      <w:r w:rsidRPr="00AF0E8B">
        <w:rPr>
          <w:sz w:val="22"/>
        </w:rPr>
        <w:t xml:space="preserve"> based either on nature or function</w:t>
      </w:r>
    </w:p>
    <w:p w14:paraId="49B24148" w14:textId="7858A280" w:rsidR="00173F3B" w:rsidRPr="00AF0E8B" w:rsidRDefault="00173F3B" w:rsidP="00AF0E8B">
      <w:pPr>
        <w:pStyle w:val="ListParagraph"/>
        <w:numPr>
          <w:ilvl w:val="0"/>
          <w:numId w:val="45"/>
        </w:numPr>
        <w:spacing w:line="276" w:lineRule="auto"/>
        <w:ind w:left="1419"/>
        <w:rPr>
          <w:sz w:val="22"/>
        </w:rPr>
      </w:pPr>
      <w:r w:rsidRPr="00AF0E8B">
        <w:rPr>
          <w:b/>
          <w:sz w:val="22"/>
        </w:rPr>
        <w:t>Held-for-sale assets and liabilities</w:t>
      </w:r>
      <w:r w:rsidRPr="00AF0E8B">
        <w:rPr>
          <w:sz w:val="22"/>
        </w:rPr>
        <w:t xml:space="preserve"> are reclassified as current </w:t>
      </w:r>
    </w:p>
    <w:p w14:paraId="6D8DEA0B" w14:textId="5A481624" w:rsidR="00173F3B" w:rsidRPr="00AF0E8B" w:rsidRDefault="00173F3B" w:rsidP="00AF0E8B">
      <w:pPr>
        <w:pStyle w:val="ListParagraph"/>
        <w:numPr>
          <w:ilvl w:val="0"/>
          <w:numId w:val="45"/>
        </w:numPr>
        <w:spacing w:line="276" w:lineRule="auto"/>
        <w:ind w:left="1419"/>
        <w:rPr>
          <w:sz w:val="22"/>
        </w:rPr>
      </w:pPr>
      <w:r w:rsidRPr="00AF0E8B">
        <w:rPr>
          <w:b/>
          <w:sz w:val="22"/>
        </w:rPr>
        <w:t>Discontinued operation</w:t>
      </w:r>
      <w:r w:rsidRPr="00AF0E8B">
        <w:rPr>
          <w:sz w:val="22"/>
        </w:rPr>
        <w:t xml:space="preserve"> component includes major lines of business or geographical areas and business acquired with an intent to resell</w:t>
      </w:r>
    </w:p>
    <w:p w14:paraId="61C34FFF" w14:textId="52D19803" w:rsidR="00ED2BCF" w:rsidRPr="00AF0E8B" w:rsidRDefault="00ED2BCF" w:rsidP="00AF0E8B">
      <w:pPr>
        <w:pStyle w:val="ListParagraph"/>
        <w:numPr>
          <w:ilvl w:val="0"/>
          <w:numId w:val="45"/>
        </w:numPr>
        <w:spacing w:line="276" w:lineRule="auto"/>
        <w:ind w:left="1419"/>
        <w:rPr>
          <w:sz w:val="22"/>
        </w:rPr>
      </w:pPr>
      <w:r w:rsidRPr="00AF0E8B">
        <w:rPr>
          <w:sz w:val="22"/>
        </w:rPr>
        <w:t xml:space="preserve">Certain items must be classified as either comprehensive income or net income and entities are </w:t>
      </w:r>
      <w:r w:rsidRPr="00AF0E8B">
        <w:rPr>
          <w:b/>
          <w:sz w:val="22"/>
        </w:rPr>
        <w:t>required to prepare as statement of comprehensive income</w:t>
      </w:r>
    </w:p>
    <w:p w14:paraId="4DC1877A" w14:textId="5C7BB028" w:rsidR="00ED2BCF" w:rsidRPr="00AF0E8B" w:rsidRDefault="00ED2BCF" w:rsidP="00AF0E8B">
      <w:pPr>
        <w:pStyle w:val="ListParagraph"/>
        <w:numPr>
          <w:ilvl w:val="0"/>
          <w:numId w:val="45"/>
        </w:numPr>
        <w:spacing w:line="276" w:lineRule="auto"/>
        <w:ind w:left="1419"/>
        <w:rPr>
          <w:sz w:val="22"/>
        </w:rPr>
      </w:pPr>
      <w:r w:rsidRPr="00AF0E8B">
        <w:rPr>
          <w:sz w:val="22"/>
        </w:rPr>
        <w:t xml:space="preserve">Basic and diluted </w:t>
      </w:r>
      <w:r w:rsidRPr="00AF0E8B">
        <w:rPr>
          <w:b/>
          <w:sz w:val="22"/>
        </w:rPr>
        <w:t>EPS must be presented</w:t>
      </w:r>
      <w:r w:rsidRPr="00AF0E8B">
        <w:rPr>
          <w:sz w:val="22"/>
        </w:rPr>
        <w:t xml:space="preserve"> in the statements </w:t>
      </w:r>
    </w:p>
    <w:p w14:paraId="1021E8BE" w14:textId="35985C74" w:rsidR="00ED2BCF" w:rsidRPr="00AF0E8B" w:rsidRDefault="00ED2BCF" w:rsidP="00AF0E8B">
      <w:pPr>
        <w:pStyle w:val="ListParagraph"/>
        <w:numPr>
          <w:ilvl w:val="0"/>
          <w:numId w:val="45"/>
        </w:numPr>
        <w:spacing w:line="276" w:lineRule="auto"/>
        <w:ind w:left="1419"/>
        <w:rPr>
          <w:sz w:val="22"/>
        </w:rPr>
      </w:pPr>
      <w:r w:rsidRPr="00AF0E8B">
        <w:rPr>
          <w:sz w:val="22"/>
        </w:rPr>
        <w:t xml:space="preserve">The </w:t>
      </w:r>
      <w:r w:rsidRPr="00AF0E8B">
        <w:rPr>
          <w:b/>
          <w:sz w:val="22"/>
        </w:rPr>
        <w:t>statement of changes in equity</w:t>
      </w:r>
      <w:r w:rsidRPr="00AF0E8B">
        <w:rPr>
          <w:sz w:val="22"/>
        </w:rPr>
        <w:t xml:space="preserve"> is required</w:t>
      </w:r>
    </w:p>
    <w:p w14:paraId="133C0346" w14:textId="0ED925B0" w:rsidR="00B068CB" w:rsidRPr="00AF0E8B" w:rsidRDefault="00B068CB" w:rsidP="00AF0E8B">
      <w:pPr>
        <w:pStyle w:val="ListParagraph"/>
        <w:numPr>
          <w:ilvl w:val="0"/>
          <w:numId w:val="33"/>
        </w:numPr>
        <w:spacing w:line="276" w:lineRule="auto"/>
        <w:ind w:left="360"/>
        <w:rPr>
          <w:sz w:val="22"/>
        </w:rPr>
      </w:pPr>
      <w:r w:rsidRPr="00AF0E8B">
        <w:rPr>
          <w:b/>
          <w:color w:val="E36C0A" w:themeColor="accent6" w:themeShade="BF"/>
          <w:sz w:val="22"/>
        </w:rPr>
        <w:t>Differences between the cash basis of accounting and the accrual basis of accounting</w:t>
      </w:r>
    </w:p>
    <w:p w14:paraId="57B7912D" w14:textId="6521A062" w:rsidR="00B068CB" w:rsidRPr="00AF0E8B" w:rsidRDefault="008759CF" w:rsidP="00AF0E8B">
      <w:pPr>
        <w:pStyle w:val="ListParagraph"/>
        <w:numPr>
          <w:ilvl w:val="0"/>
          <w:numId w:val="47"/>
        </w:numPr>
        <w:spacing w:line="276" w:lineRule="auto"/>
        <w:ind w:left="1080"/>
        <w:rPr>
          <w:sz w:val="22"/>
        </w:rPr>
      </w:pPr>
      <w:r w:rsidRPr="00AF0E8B">
        <w:rPr>
          <w:b/>
          <w:sz w:val="22"/>
        </w:rPr>
        <w:t xml:space="preserve">The accrual basis </w:t>
      </w:r>
      <w:r w:rsidRPr="00AF0E8B">
        <w:rPr>
          <w:sz w:val="22"/>
        </w:rPr>
        <w:t>of accounting provides info about cash inflows and outflows associated with earnings activities as soon as these cash flows can be estimated with an acceptable degree of certainty; aids in predicting future cash inflows by reporting transactions and events with cash consequences at the time the transactions and events occur, rather than when the cash is received and paid</w:t>
      </w:r>
    </w:p>
    <w:p w14:paraId="6F7EC1B5" w14:textId="082B5B19" w:rsidR="00E310FA" w:rsidRPr="00AF0E8B" w:rsidRDefault="008759CF" w:rsidP="00AF0E8B">
      <w:pPr>
        <w:pStyle w:val="ListParagraph"/>
        <w:numPr>
          <w:ilvl w:val="0"/>
          <w:numId w:val="47"/>
        </w:numPr>
        <w:spacing w:line="276" w:lineRule="auto"/>
        <w:ind w:left="1080"/>
        <w:rPr>
          <w:sz w:val="22"/>
        </w:rPr>
      </w:pPr>
      <w:r w:rsidRPr="00AF0E8B">
        <w:rPr>
          <w:b/>
          <w:sz w:val="22"/>
        </w:rPr>
        <w:t>The cash basis</w:t>
      </w:r>
      <w:r w:rsidRPr="00AF0E8B">
        <w:rPr>
          <w:sz w:val="22"/>
        </w:rPr>
        <w:t xml:space="preserve"> focuses on when the cash is received or dispersed, and therefore it is not the nest predictor of future cash flows if the company has irregular cash flow patterns</w:t>
      </w:r>
    </w:p>
    <w:p w14:paraId="78C8B667" w14:textId="564A1224" w:rsidR="00E310FA" w:rsidRPr="00AF0E8B" w:rsidRDefault="00E310FA" w:rsidP="00AF0E8B">
      <w:pPr>
        <w:spacing w:line="276" w:lineRule="auto"/>
        <w:rPr>
          <w:b/>
          <w:color w:val="660066"/>
          <w:u w:val="single"/>
        </w:rPr>
      </w:pPr>
      <w:r w:rsidRPr="00AF0E8B">
        <w:rPr>
          <w:b/>
          <w:color w:val="660066"/>
          <w:u w:val="single"/>
        </w:rPr>
        <w:t>Chapter 5</w:t>
      </w:r>
    </w:p>
    <w:p w14:paraId="470A8C45" w14:textId="2787CDEC" w:rsidR="00E310FA" w:rsidRPr="00AF0E8B" w:rsidRDefault="00E310FA" w:rsidP="00AF0E8B">
      <w:pPr>
        <w:pStyle w:val="ListParagraph"/>
        <w:numPr>
          <w:ilvl w:val="0"/>
          <w:numId w:val="48"/>
        </w:numPr>
        <w:spacing w:line="276" w:lineRule="auto"/>
        <w:ind w:left="360"/>
        <w:rPr>
          <w:b/>
          <w:color w:val="E36C0A" w:themeColor="accent6" w:themeShade="BF"/>
          <w:sz w:val="22"/>
        </w:rPr>
      </w:pPr>
      <w:r w:rsidRPr="00AF0E8B">
        <w:rPr>
          <w:b/>
          <w:color w:val="E36C0A" w:themeColor="accent6" w:themeShade="BF"/>
          <w:sz w:val="22"/>
        </w:rPr>
        <w:t>The statement of financial position and statement of cash flows from a business perspective</w:t>
      </w:r>
    </w:p>
    <w:p w14:paraId="1FF38FFB" w14:textId="60CC1A9A" w:rsidR="00E310FA" w:rsidRPr="00AF0E8B" w:rsidRDefault="00E310FA" w:rsidP="00AF0E8B">
      <w:pPr>
        <w:pStyle w:val="ListParagraph"/>
        <w:numPr>
          <w:ilvl w:val="0"/>
          <w:numId w:val="49"/>
        </w:numPr>
        <w:spacing w:line="276" w:lineRule="auto"/>
        <w:ind w:left="1080"/>
        <w:rPr>
          <w:sz w:val="22"/>
        </w:rPr>
      </w:pPr>
      <w:r w:rsidRPr="00AF0E8B">
        <w:rPr>
          <w:sz w:val="22"/>
        </w:rPr>
        <w:t>SFP provides info about a company’s liquidity and solvency in order to assess the risk of investing (or increasing investment) in a company. In addition, the SFP provides details about the company’s financial structure, such as whether it is financed by debt or equity</w:t>
      </w:r>
    </w:p>
    <w:p w14:paraId="655561C8" w14:textId="3FAF6DE3" w:rsidR="002A7C86" w:rsidRPr="00AF0E8B" w:rsidRDefault="002A7C86" w:rsidP="00AF0E8B">
      <w:pPr>
        <w:pStyle w:val="ListParagraph"/>
        <w:numPr>
          <w:ilvl w:val="1"/>
          <w:numId w:val="49"/>
        </w:numPr>
        <w:spacing w:line="276" w:lineRule="auto"/>
        <w:ind w:left="1800"/>
        <w:rPr>
          <w:sz w:val="22"/>
        </w:rPr>
      </w:pPr>
      <w:r w:rsidRPr="00AF0E8B">
        <w:rPr>
          <w:sz w:val="22"/>
        </w:rPr>
        <w:t xml:space="preserve">SFP is useful for analyzing a company’s </w:t>
      </w:r>
      <w:r w:rsidRPr="00AF0E8B">
        <w:rPr>
          <w:b/>
          <w:sz w:val="22"/>
        </w:rPr>
        <w:t>liquidity</w:t>
      </w:r>
      <w:r w:rsidRPr="00AF0E8B">
        <w:rPr>
          <w:sz w:val="22"/>
        </w:rPr>
        <w:t>,</w:t>
      </w:r>
      <w:r w:rsidRPr="00AF0E8B">
        <w:rPr>
          <w:b/>
          <w:sz w:val="22"/>
        </w:rPr>
        <w:t xml:space="preserve"> solvency</w:t>
      </w:r>
      <w:r w:rsidRPr="00AF0E8B">
        <w:rPr>
          <w:sz w:val="22"/>
        </w:rPr>
        <w:t>, and</w:t>
      </w:r>
      <w:r w:rsidRPr="00AF0E8B">
        <w:rPr>
          <w:b/>
          <w:sz w:val="22"/>
        </w:rPr>
        <w:t xml:space="preserve"> financial flexibility</w:t>
      </w:r>
    </w:p>
    <w:p w14:paraId="48178564" w14:textId="254EE683" w:rsidR="002A7C86" w:rsidRPr="00AF0E8B" w:rsidRDefault="002A7C86" w:rsidP="00AF0E8B">
      <w:pPr>
        <w:pStyle w:val="ListParagraph"/>
        <w:numPr>
          <w:ilvl w:val="0"/>
          <w:numId w:val="49"/>
        </w:numPr>
        <w:spacing w:line="276" w:lineRule="auto"/>
        <w:ind w:left="1080"/>
        <w:rPr>
          <w:sz w:val="22"/>
        </w:rPr>
      </w:pPr>
      <w:r w:rsidRPr="00AF0E8B">
        <w:rPr>
          <w:sz w:val="22"/>
        </w:rPr>
        <w:t>A company’s statement of cash flows may be used to asses its earnings quality and obtain information about its operating, investing, and financing activities</w:t>
      </w:r>
    </w:p>
    <w:p w14:paraId="226FC7B6" w14:textId="3F0D4850" w:rsidR="00F32182" w:rsidRPr="00AF0E8B" w:rsidRDefault="00F32182" w:rsidP="00AF0E8B">
      <w:pPr>
        <w:pStyle w:val="ListParagraph"/>
        <w:numPr>
          <w:ilvl w:val="0"/>
          <w:numId w:val="48"/>
        </w:numPr>
        <w:spacing w:line="276" w:lineRule="auto"/>
        <w:ind w:left="360"/>
        <w:rPr>
          <w:sz w:val="22"/>
        </w:rPr>
      </w:pPr>
      <w:r w:rsidRPr="00AF0E8B">
        <w:rPr>
          <w:b/>
          <w:color w:val="E36C0A" w:themeColor="accent6" w:themeShade="BF"/>
          <w:sz w:val="22"/>
        </w:rPr>
        <w:t>Uses and limitations of a statement of financial position</w:t>
      </w:r>
    </w:p>
    <w:p w14:paraId="55692DC2" w14:textId="4EF3A8EC" w:rsidR="00F32182" w:rsidRPr="00AF0E8B" w:rsidRDefault="00F32182" w:rsidP="00AF0E8B">
      <w:pPr>
        <w:pStyle w:val="ListParagraph"/>
        <w:numPr>
          <w:ilvl w:val="0"/>
          <w:numId w:val="50"/>
        </w:numPr>
        <w:spacing w:line="276" w:lineRule="auto"/>
        <w:ind w:left="1080"/>
        <w:rPr>
          <w:sz w:val="22"/>
        </w:rPr>
      </w:pPr>
      <w:r w:rsidRPr="00AF0E8B">
        <w:rPr>
          <w:sz w:val="22"/>
        </w:rPr>
        <w:t>The SFP provides info about the nature and amounts of investments in enterprises resources, obligations to creditors, and the owners’ equity in net resources</w:t>
      </w:r>
    </w:p>
    <w:p w14:paraId="593B31D5" w14:textId="5B2507B6" w:rsidR="00F32182" w:rsidRPr="00AF0E8B" w:rsidRDefault="00F32182" w:rsidP="00AF0E8B">
      <w:pPr>
        <w:pStyle w:val="ListParagraph"/>
        <w:numPr>
          <w:ilvl w:val="0"/>
          <w:numId w:val="50"/>
        </w:numPr>
        <w:spacing w:line="276" w:lineRule="auto"/>
        <w:ind w:left="1080"/>
        <w:rPr>
          <w:sz w:val="22"/>
        </w:rPr>
      </w:pPr>
      <w:r w:rsidRPr="00AF0E8B">
        <w:rPr>
          <w:sz w:val="22"/>
        </w:rPr>
        <w:t>The SFP contributes to financial reporting by providing a basis for:</w:t>
      </w:r>
    </w:p>
    <w:p w14:paraId="74A438D4" w14:textId="356CFE12" w:rsidR="00F32182" w:rsidRPr="00AF0E8B" w:rsidRDefault="00F32182" w:rsidP="00AF0E8B">
      <w:pPr>
        <w:pStyle w:val="ListParagraph"/>
        <w:numPr>
          <w:ilvl w:val="1"/>
          <w:numId w:val="50"/>
        </w:numPr>
        <w:spacing w:line="276" w:lineRule="auto"/>
        <w:ind w:left="1800"/>
        <w:rPr>
          <w:sz w:val="22"/>
        </w:rPr>
      </w:pPr>
      <w:r w:rsidRPr="00AF0E8B">
        <w:rPr>
          <w:sz w:val="22"/>
        </w:rPr>
        <w:t>Calculating rates of return</w:t>
      </w:r>
    </w:p>
    <w:p w14:paraId="0D113E85" w14:textId="35490774" w:rsidR="00F32182" w:rsidRPr="00AF0E8B" w:rsidRDefault="00F32182" w:rsidP="00AF0E8B">
      <w:pPr>
        <w:pStyle w:val="ListParagraph"/>
        <w:numPr>
          <w:ilvl w:val="1"/>
          <w:numId w:val="50"/>
        </w:numPr>
        <w:spacing w:line="276" w:lineRule="auto"/>
        <w:ind w:left="1800"/>
        <w:rPr>
          <w:sz w:val="22"/>
        </w:rPr>
      </w:pPr>
      <w:r w:rsidRPr="00AF0E8B">
        <w:rPr>
          <w:sz w:val="22"/>
        </w:rPr>
        <w:t>Evaluating the enterprise’s capital structure</w:t>
      </w:r>
    </w:p>
    <w:p w14:paraId="45EDF102" w14:textId="139A4686" w:rsidR="00AF6A9B" w:rsidRPr="00AF0E8B" w:rsidRDefault="00AF6A9B" w:rsidP="00AF0E8B">
      <w:pPr>
        <w:pStyle w:val="ListParagraph"/>
        <w:numPr>
          <w:ilvl w:val="1"/>
          <w:numId w:val="50"/>
        </w:numPr>
        <w:spacing w:line="276" w:lineRule="auto"/>
        <w:ind w:left="1800"/>
        <w:rPr>
          <w:sz w:val="22"/>
        </w:rPr>
      </w:pPr>
      <w:r w:rsidRPr="00AF0E8B">
        <w:rPr>
          <w:sz w:val="22"/>
        </w:rPr>
        <w:t>Assessing the enterprise’s liquidity, solvency, and financial flexibility</w:t>
      </w:r>
    </w:p>
    <w:p w14:paraId="48772B4F" w14:textId="563B5C8F" w:rsidR="00AF6A9B" w:rsidRPr="00AF0E8B" w:rsidRDefault="00AF6A9B" w:rsidP="00AF0E8B">
      <w:pPr>
        <w:pStyle w:val="ListParagraph"/>
        <w:numPr>
          <w:ilvl w:val="0"/>
          <w:numId w:val="50"/>
        </w:numPr>
        <w:spacing w:line="276" w:lineRule="auto"/>
        <w:ind w:left="1080"/>
        <w:rPr>
          <w:sz w:val="22"/>
        </w:rPr>
      </w:pPr>
      <w:r w:rsidRPr="00AF0E8B">
        <w:rPr>
          <w:sz w:val="22"/>
        </w:rPr>
        <w:t>The SFP has limitations including:</w:t>
      </w:r>
    </w:p>
    <w:p w14:paraId="20902DD7" w14:textId="759B43BF" w:rsidR="00AF6A9B" w:rsidRPr="00AF0E8B" w:rsidRDefault="00AF6A9B" w:rsidP="00AF0E8B">
      <w:pPr>
        <w:pStyle w:val="ListParagraph"/>
        <w:numPr>
          <w:ilvl w:val="1"/>
          <w:numId w:val="50"/>
        </w:numPr>
        <w:spacing w:line="276" w:lineRule="auto"/>
        <w:ind w:left="1800"/>
        <w:rPr>
          <w:sz w:val="22"/>
        </w:rPr>
      </w:pPr>
      <w:r w:rsidRPr="00AF0E8B">
        <w:rPr>
          <w:sz w:val="22"/>
        </w:rPr>
        <w:t>Often does not reflect the current value, because accountant shave adopted a historical cost basis in valuing and reporting many assets and liabilities</w:t>
      </w:r>
    </w:p>
    <w:p w14:paraId="58B6BDC6" w14:textId="0F8C7DD4" w:rsidR="00AF6A9B" w:rsidRPr="00AF0E8B" w:rsidRDefault="00AF6A9B" w:rsidP="00AF0E8B">
      <w:pPr>
        <w:pStyle w:val="ListParagraph"/>
        <w:numPr>
          <w:ilvl w:val="1"/>
          <w:numId w:val="50"/>
        </w:numPr>
        <w:spacing w:line="276" w:lineRule="auto"/>
        <w:ind w:left="1800"/>
        <w:rPr>
          <w:sz w:val="22"/>
        </w:rPr>
      </w:pPr>
      <w:r w:rsidRPr="00AF0E8B">
        <w:rPr>
          <w:sz w:val="22"/>
        </w:rPr>
        <w:t>Judgments and estimates must be used in preparing a SFP. The collectability of receivables, the saleability of inventory, and the useful life of long-term tangible and intangible assets are difficult to determine</w:t>
      </w:r>
    </w:p>
    <w:p w14:paraId="006721E8" w14:textId="22272E2B" w:rsidR="00AF6A9B" w:rsidRPr="00AF0E8B" w:rsidRDefault="00AF6A9B" w:rsidP="00AF0E8B">
      <w:pPr>
        <w:pStyle w:val="ListParagraph"/>
        <w:numPr>
          <w:ilvl w:val="1"/>
          <w:numId w:val="50"/>
        </w:numPr>
        <w:spacing w:line="276" w:lineRule="auto"/>
        <w:ind w:left="1800"/>
        <w:rPr>
          <w:sz w:val="22"/>
        </w:rPr>
      </w:pPr>
      <w:r w:rsidRPr="00AF0E8B">
        <w:rPr>
          <w:sz w:val="22"/>
        </w:rPr>
        <w:t>The SFP leaves out many items that are of financial value to the business but cannot be recorded objectively, such as human resources, customer base, and reputation</w:t>
      </w:r>
    </w:p>
    <w:p w14:paraId="302741E4" w14:textId="407606D7" w:rsidR="00E105BD" w:rsidRPr="00AF0E8B" w:rsidRDefault="00E105BD" w:rsidP="00AF0E8B">
      <w:pPr>
        <w:pStyle w:val="ListParagraph"/>
        <w:numPr>
          <w:ilvl w:val="0"/>
          <w:numId w:val="48"/>
        </w:numPr>
        <w:spacing w:line="276" w:lineRule="auto"/>
        <w:ind w:left="360"/>
        <w:rPr>
          <w:sz w:val="22"/>
        </w:rPr>
      </w:pPr>
      <w:r w:rsidRPr="00AF0E8B">
        <w:rPr>
          <w:b/>
          <w:color w:val="E36C0A" w:themeColor="accent6" w:themeShade="BF"/>
          <w:sz w:val="22"/>
        </w:rPr>
        <w:t>The major classifications of a statement of financial position</w:t>
      </w:r>
    </w:p>
    <w:p w14:paraId="6C08807A" w14:textId="77777777" w:rsidR="00E105BD" w:rsidRPr="00AF0E8B" w:rsidRDefault="00E105BD" w:rsidP="00AF0E8B">
      <w:pPr>
        <w:pStyle w:val="ListParagraph"/>
        <w:numPr>
          <w:ilvl w:val="0"/>
          <w:numId w:val="51"/>
        </w:numPr>
        <w:spacing w:line="276" w:lineRule="auto"/>
        <w:ind w:left="1080"/>
        <w:rPr>
          <w:sz w:val="22"/>
        </w:rPr>
      </w:pPr>
      <w:r w:rsidRPr="00AF0E8B">
        <w:rPr>
          <w:sz w:val="22"/>
        </w:rPr>
        <w:t>The SFP’s general elements are assets, liabilities, and shareholders’ equity</w:t>
      </w:r>
    </w:p>
    <w:p w14:paraId="760D1C2B" w14:textId="77777777" w:rsidR="00E105BD" w:rsidRPr="00AF0E8B" w:rsidRDefault="00E105BD" w:rsidP="00AF0E8B">
      <w:pPr>
        <w:pStyle w:val="ListParagraph"/>
        <w:numPr>
          <w:ilvl w:val="0"/>
          <w:numId w:val="51"/>
        </w:numPr>
        <w:spacing w:line="276" w:lineRule="auto"/>
        <w:ind w:left="1080"/>
        <w:rPr>
          <w:sz w:val="22"/>
        </w:rPr>
      </w:pPr>
      <w:r w:rsidRPr="00AF0E8B">
        <w:rPr>
          <w:sz w:val="22"/>
        </w:rPr>
        <w:t>The major classifications within the SFP are:</w:t>
      </w:r>
    </w:p>
    <w:p w14:paraId="1F2D5138" w14:textId="77777777" w:rsidR="00E105BD" w:rsidRPr="00AF0E8B" w:rsidRDefault="00E105BD" w:rsidP="00AF0E8B">
      <w:pPr>
        <w:pStyle w:val="ListParagraph"/>
        <w:numPr>
          <w:ilvl w:val="1"/>
          <w:numId w:val="51"/>
        </w:numPr>
        <w:spacing w:line="276" w:lineRule="auto"/>
        <w:ind w:left="1800"/>
        <w:rPr>
          <w:sz w:val="22"/>
        </w:rPr>
      </w:pPr>
      <w:r w:rsidRPr="00AF0E8B">
        <w:rPr>
          <w:sz w:val="22"/>
        </w:rPr>
        <w:t>On the asset side</w:t>
      </w:r>
    </w:p>
    <w:p w14:paraId="037F0EF0" w14:textId="77777777" w:rsidR="00E105BD" w:rsidRPr="00AF0E8B" w:rsidRDefault="00E105BD" w:rsidP="00AF0E8B">
      <w:pPr>
        <w:pStyle w:val="ListParagraph"/>
        <w:numPr>
          <w:ilvl w:val="2"/>
          <w:numId w:val="51"/>
        </w:numPr>
        <w:spacing w:line="276" w:lineRule="auto"/>
        <w:ind w:left="2520"/>
        <w:rPr>
          <w:sz w:val="22"/>
        </w:rPr>
      </w:pPr>
      <w:r w:rsidRPr="00AF0E8B">
        <w:rPr>
          <w:sz w:val="22"/>
        </w:rPr>
        <w:t>Current assets</w:t>
      </w:r>
    </w:p>
    <w:p w14:paraId="733FD2EB" w14:textId="77777777" w:rsidR="00E105BD" w:rsidRPr="00AF0E8B" w:rsidRDefault="00E105BD" w:rsidP="00AF0E8B">
      <w:pPr>
        <w:pStyle w:val="ListParagraph"/>
        <w:numPr>
          <w:ilvl w:val="2"/>
          <w:numId w:val="51"/>
        </w:numPr>
        <w:spacing w:line="276" w:lineRule="auto"/>
        <w:ind w:left="2520"/>
        <w:rPr>
          <w:sz w:val="22"/>
        </w:rPr>
      </w:pPr>
      <w:r w:rsidRPr="00AF0E8B">
        <w:rPr>
          <w:sz w:val="22"/>
        </w:rPr>
        <w:t>Investments</w:t>
      </w:r>
    </w:p>
    <w:p w14:paraId="299690B1" w14:textId="77777777" w:rsidR="00E105BD" w:rsidRPr="00AF0E8B" w:rsidRDefault="00E105BD" w:rsidP="00AF0E8B">
      <w:pPr>
        <w:pStyle w:val="ListParagraph"/>
        <w:numPr>
          <w:ilvl w:val="2"/>
          <w:numId w:val="51"/>
        </w:numPr>
        <w:spacing w:line="276" w:lineRule="auto"/>
        <w:ind w:left="2520"/>
        <w:rPr>
          <w:sz w:val="22"/>
        </w:rPr>
      </w:pPr>
      <w:r w:rsidRPr="00AF0E8B">
        <w:rPr>
          <w:sz w:val="22"/>
        </w:rPr>
        <w:t>Property plant, and equipment</w:t>
      </w:r>
    </w:p>
    <w:p w14:paraId="3A683F4A" w14:textId="77777777" w:rsidR="00E105BD" w:rsidRPr="00AF0E8B" w:rsidRDefault="00E105BD" w:rsidP="00AF0E8B">
      <w:pPr>
        <w:pStyle w:val="ListParagraph"/>
        <w:numPr>
          <w:ilvl w:val="2"/>
          <w:numId w:val="51"/>
        </w:numPr>
        <w:spacing w:line="276" w:lineRule="auto"/>
        <w:ind w:left="2520"/>
        <w:rPr>
          <w:sz w:val="22"/>
        </w:rPr>
      </w:pPr>
      <w:r w:rsidRPr="00AF0E8B">
        <w:rPr>
          <w:sz w:val="22"/>
        </w:rPr>
        <w:t>Intangible assets</w:t>
      </w:r>
    </w:p>
    <w:p w14:paraId="48675D60" w14:textId="53E8711A" w:rsidR="00E105BD" w:rsidRPr="00AF0E8B" w:rsidRDefault="00E105BD" w:rsidP="00AF0E8B">
      <w:pPr>
        <w:pStyle w:val="ListParagraph"/>
        <w:numPr>
          <w:ilvl w:val="2"/>
          <w:numId w:val="51"/>
        </w:numPr>
        <w:spacing w:line="276" w:lineRule="auto"/>
        <w:ind w:left="2520"/>
        <w:rPr>
          <w:sz w:val="22"/>
        </w:rPr>
      </w:pPr>
      <w:r w:rsidRPr="00AF0E8B">
        <w:rPr>
          <w:sz w:val="22"/>
        </w:rPr>
        <w:t>Other assets</w:t>
      </w:r>
    </w:p>
    <w:p w14:paraId="1747D979" w14:textId="46E5A3F2" w:rsidR="00E105BD" w:rsidRPr="00AF0E8B" w:rsidRDefault="00E105BD" w:rsidP="00AF0E8B">
      <w:pPr>
        <w:pStyle w:val="ListParagraph"/>
        <w:numPr>
          <w:ilvl w:val="1"/>
          <w:numId w:val="51"/>
        </w:numPr>
        <w:spacing w:line="276" w:lineRule="auto"/>
        <w:ind w:left="1800"/>
        <w:rPr>
          <w:sz w:val="22"/>
        </w:rPr>
      </w:pPr>
      <w:r w:rsidRPr="00AF0E8B">
        <w:rPr>
          <w:sz w:val="22"/>
        </w:rPr>
        <w:t>On the liability side</w:t>
      </w:r>
    </w:p>
    <w:p w14:paraId="3A6EC76E" w14:textId="496BC2C0" w:rsidR="00E105BD" w:rsidRPr="00AF0E8B" w:rsidRDefault="00E105BD" w:rsidP="00AF0E8B">
      <w:pPr>
        <w:pStyle w:val="ListParagraph"/>
        <w:numPr>
          <w:ilvl w:val="2"/>
          <w:numId w:val="51"/>
        </w:numPr>
        <w:spacing w:line="276" w:lineRule="auto"/>
        <w:ind w:left="2520"/>
        <w:rPr>
          <w:sz w:val="22"/>
        </w:rPr>
      </w:pPr>
      <w:r w:rsidRPr="00AF0E8B">
        <w:rPr>
          <w:sz w:val="22"/>
        </w:rPr>
        <w:t>Current liabilities</w:t>
      </w:r>
    </w:p>
    <w:p w14:paraId="3405466E" w14:textId="26A91D1A" w:rsidR="00E105BD" w:rsidRPr="00AF0E8B" w:rsidRDefault="00E105BD" w:rsidP="00AF0E8B">
      <w:pPr>
        <w:pStyle w:val="ListParagraph"/>
        <w:numPr>
          <w:ilvl w:val="2"/>
          <w:numId w:val="51"/>
        </w:numPr>
        <w:spacing w:line="276" w:lineRule="auto"/>
        <w:ind w:left="2520"/>
        <w:rPr>
          <w:sz w:val="22"/>
        </w:rPr>
      </w:pPr>
      <w:r w:rsidRPr="00AF0E8B">
        <w:rPr>
          <w:sz w:val="22"/>
        </w:rPr>
        <w:t>Long-term liabilities</w:t>
      </w:r>
    </w:p>
    <w:p w14:paraId="286ADCE6" w14:textId="1DC5949D" w:rsidR="00E105BD" w:rsidRPr="00AF0E8B" w:rsidRDefault="00E105BD" w:rsidP="00AF0E8B">
      <w:pPr>
        <w:pStyle w:val="ListParagraph"/>
        <w:numPr>
          <w:ilvl w:val="1"/>
          <w:numId w:val="51"/>
        </w:numPr>
        <w:spacing w:line="276" w:lineRule="auto"/>
        <w:ind w:left="1800"/>
        <w:rPr>
          <w:sz w:val="22"/>
        </w:rPr>
      </w:pPr>
      <w:r w:rsidRPr="00AF0E8B">
        <w:rPr>
          <w:sz w:val="22"/>
        </w:rPr>
        <w:t>On the shareholders’ equity side (in a corporation)</w:t>
      </w:r>
    </w:p>
    <w:p w14:paraId="7688791D" w14:textId="0EC6A631" w:rsidR="00E105BD" w:rsidRPr="00AF0E8B" w:rsidRDefault="00E105BD" w:rsidP="00AF0E8B">
      <w:pPr>
        <w:pStyle w:val="ListParagraph"/>
        <w:numPr>
          <w:ilvl w:val="2"/>
          <w:numId w:val="51"/>
        </w:numPr>
        <w:spacing w:line="276" w:lineRule="auto"/>
        <w:ind w:left="2520"/>
        <w:rPr>
          <w:sz w:val="22"/>
        </w:rPr>
      </w:pPr>
      <w:r w:rsidRPr="00AF0E8B">
        <w:rPr>
          <w:sz w:val="22"/>
        </w:rPr>
        <w:t>Shares</w:t>
      </w:r>
    </w:p>
    <w:p w14:paraId="3FE31FC8" w14:textId="18C1BEFB" w:rsidR="00E105BD" w:rsidRPr="00AF0E8B" w:rsidRDefault="00E105BD" w:rsidP="00AF0E8B">
      <w:pPr>
        <w:pStyle w:val="ListParagraph"/>
        <w:numPr>
          <w:ilvl w:val="2"/>
          <w:numId w:val="51"/>
        </w:numPr>
        <w:spacing w:line="276" w:lineRule="auto"/>
        <w:ind w:left="2520"/>
        <w:rPr>
          <w:sz w:val="22"/>
        </w:rPr>
      </w:pPr>
      <w:r w:rsidRPr="00AF0E8B">
        <w:rPr>
          <w:sz w:val="22"/>
        </w:rPr>
        <w:t>Contributed surplus</w:t>
      </w:r>
    </w:p>
    <w:p w14:paraId="0FCF24C1" w14:textId="6CEBD593" w:rsidR="00E105BD" w:rsidRPr="00AF0E8B" w:rsidRDefault="00E105BD" w:rsidP="00AF0E8B">
      <w:pPr>
        <w:pStyle w:val="ListParagraph"/>
        <w:numPr>
          <w:ilvl w:val="2"/>
          <w:numId w:val="51"/>
        </w:numPr>
        <w:spacing w:line="276" w:lineRule="auto"/>
        <w:ind w:left="2520"/>
        <w:rPr>
          <w:sz w:val="22"/>
        </w:rPr>
      </w:pPr>
      <w:r w:rsidRPr="00AF0E8B">
        <w:rPr>
          <w:sz w:val="22"/>
        </w:rPr>
        <w:t>Retained earnings</w:t>
      </w:r>
    </w:p>
    <w:p w14:paraId="1B998E11" w14:textId="3DFF71E8" w:rsidR="00E105BD" w:rsidRPr="00AF0E8B" w:rsidRDefault="00E105BD" w:rsidP="00AF0E8B">
      <w:pPr>
        <w:pStyle w:val="ListParagraph"/>
        <w:numPr>
          <w:ilvl w:val="2"/>
          <w:numId w:val="51"/>
        </w:numPr>
        <w:spacing w:line="276" w:lineRule="auto"/>
        <w:ind w:left="2520"/>
        <w:rPr>
          <w:sz w:val="22"/>
        </w:rPr>
      </w:pPr>
      <w:r w:rsidRPr="00AF0E8B">
        <w:rPr>
          <w:sz w:val="22"/>
        </w:rPr>
        <w:t>Accumulated OCI</w:t>
      </w:r>
    </w:p>
    <w:p w14:paraId="127CFE21" w14:textId="383A29F5" w:rsidR="006725C1" w:rsidRPr="00AF0E8B" w:rsidRDefault="006725C1" w:rsidP="00AF0E8B">
      <w:pPr>
        <w:pStyle w:val="ListParagraph"/>
        <w:numPr>
          <w:ilvl w:val="0"/>
          <w:numId w:val="48"/>
        </w:numPr>
        <w:spacing w:line="276" w:lineRule="auto"/>
        <w:ind w:left="360"/>
        <w:rPr>
          <w:sz w:val="22"/>
        </w:rPr>
      </w:pPr>
      <w:r w:rsidRPr="00AF0E8B">
        <w:rPr>
          <w:b/>
          <w:color w:val="E36C0A" w:themeColor="accent6" w:themeShade="BF"/>
          <w:sz w:val="22"/>
        </w:rPr>
        <w:t>Classified statement of financial position</w:t>
      </w:r>
    </w:p>
    <w:p w14:paraId="767D1922" w14:textId="4B8E16F8" w:rsidR="006725C1" w:rsidRPr="00AF0E8B" w:rsidRDefault="006725C1" w:rsidP="00AF0E8B">
      <w:pPr>
        <w:pStyle w:val="ListParagraph"/>
        <w:numPr>
          <w:ilvl w:val="0"/>
          <w:numId w:val="52"/>
        </w:numPr>
        <w:spacing w:line="276" w:lineRule="auto"/>
        <w:ind w:left="1080"/>
        <w:rPr>
          <w:sz w:val="22"/>
        </w:rPr>
      </w:pPr>
      <w:r w:rsidRPr="00AF0E8B">
        <w:rPr>
          <w:sz w:val="22"/>
        </w:rPr>
        <w:t>The most common format lists liabilities and shareholders’ equity directly under assets on the same page</w:t>
      </w:r>
    </w:p>
    <w:p w14:paraId="2B2F2AEA" w14:textId="2FF0F601" w:rsidR="006725C1" w:rsidRPr="00AF0E8B" w:rsidRDefault="006725C1" w:rsidP="00AF0E8B">
      <w:pPr>
        <w:pStyle w:val="ListParagraph"/>
        <w:numPr>
          <w:ilvl w:val="0"/>
          <w:numId w:val="48"/>
        </w:numPr>
        <w:spacing w:line="276" w:lineRule="auto"/>
        <w:ind w:left="360"/>
        <w:rPr>
          <w:sz w:val="22"/>
        </w:rPr>
      </w:pPr>
      <w:r w:rsidRPr="00AF0E8B">
        <w:rPr>
          <w:b/>
          <w:color w:val="E36C0A" w:themeColor="accent6" w:themeShade="BF"/>
          <w:sz w:val="22"/>
        </w:rPr>
        <w:t>Statement of financial position information that requites supplemental disclosures</w:t>
      </w:r>
    </w:p>
    <w:p w14:paraId="602A1BDD" w14:textId="2A45C63E" w:rsidR="006725C1" w:rsidRPr="00AF0E8B" w:rsidRDefault="006725C1" w:rsidP="00AF0E8B">
      <w:pPr>
        <w:pStyle w:val="ListParagraph"/>
        <w:numPr>
          <w:ilvl w:val="0"/>
          <w:numId w:val="52"/>
        </w:numPr>
        <w:spacing w:line="276" w:lineRule="auto"/>
        <w:ind w:left="1080"/>
        <w:rPr>
          <w:sz w:val="22"/>
        </w:rPr>
      </w:pPr>
      <w:r w:rsidRPr="00AF0E8B">
        <w:rPr>
          <w:sz w:val="22"/>
        </w:rPr>
        <w:t>5 types of information are normally supplemental to account titles and amount presented on the SFP</w:t>
      </w:r>
    </w:p>
    <w:p w14:paraId="51D304F3" w14:textId="17A81B1B" w:rsidR="006725C1" w:rsidRPr="00AF0E8B" w:rsidRDefault="006725C1" w:rsidP="00AF0E8B">
      <w:pPr>
        <w:pStyle w:val="ListParagraph"/>
        <w:numPr>
          <w:ilvl w:val="1"/>
          <w:numId w:val="52"/>
        </w:numPr>
        <w:spacing w:line="276" w:lineRule="auto"/>
        <w:ind w:left="1800"/>
        <w:rPr>
          <w:sz w:val="22"/>
        </w:rPr>
      </w:pPr>
      <w:r w:rsidRPr="00AF0E8B">
        <w:rPr>
          <w:b/>
          <w:sz w:val="22"/>
        </w:rPr>
        <w:t>Contingencies</w:t>
      </w:r>
      <w:r w:rsidRPr="00AF0E8B">
        <w:rPr>
          <w:sz w:val="22"/>
        </w:rPr>
        <w:t xml:space="preserve"> – material events that have an uncertain outcome</w:t>
      </w:r>
    </w:p>
    <w:p w14:paraId="3FBBCAB4" w14:textId="4916EB64" w:rsidR="00196C65" w:rsidRPr="00AF0E8B" w:rsidRDefault="00196C65" w:rsidP="00AF0E8B">
      <w:pPr>
        <w:pStyle w:val="ListParagraph"/>
        <w:numPr>
          <w:ilvl w:val="1"/>
          <w:numId w:val="52"/>
        </w:numPr>
        <w:spacing w:line="276" w:lineRule="auto"/>
        <w:ind w:left="1800"/>
        <w:rPr>
          <w:sz w:val="22"/>
        </w:rPr>
      </w:pPr>
      <w:r w:rsidRPr="00AF0E8B">
        <w:rPr>
          <w:b/>
          <w:sz w:val="22"/>
        </w:rPr>
        <w:t>Accounting policies</w:t>
      </w:r>
      <w:r w:rsidRPr="00AF0E8B">
        <w:rPr>
          <w:sz w:val="22"/>
        </w:rPr>
        <w:t xml:space="preserve"> – explanations of the valuation methods that are used or the basic assumptions that are made for inventory valuation, amortization methods, investments in subsidiaries, and so on</w:t>
      </w:r>
    </w:p>
    <w:p w14:paraId="0F51485A" w14:textId="1E0B50FD" w:rsidR="00196C65" w:rsidRPr="00AF0E8B" w:rsidRDefault="00196C65" w:rsidP="00AF0E8B">
      <w:pPr>
        <w:pStyle w:val="ListParagraph"/>
        <w:numPr>
          <w:ilvl w:val="1"/>
          <w:numId w:val="52"/>
        </w:numPr>
        <w:spacing w:line="276" w:lineRule="auto"/>
        <w:ind w:left="1800"/>
        <w:rPr>
          <w:sz w:val="22"/>
        </w:rPr>
      </w:pPr>
      <w:r w:rsidRPr="00AF0E8B">
        <w:rPr>
          <w:b/>
          <w:sz w:val="22"/>
        </w:rPr>
        <w:t>Contractual situations</w:t>
      </w:r>
      <w:r w:rsidRPr="00AF0E8B">
        <w:rPr>
          <w:sz w:val="22"/>
        </w:rPr>
        <w:t xml:space="preserve"> – explanations of certain restrictions or covenants that are attached to specific assets or, more likely, liabilities</w:t>
      </w:r>
    </w:p>
    <w:p w14:paraId="332EBB40" w14:textId="70F6AD60" w:rsidR="00196C65" w:rsidRPr="00AF0E8B" w:rsidRDefault="00196C65" w:rsidP="00AF0E8B">
      <w:pPr>
        <w:pStyle w:val="ListParagraph"/>
        <w:numPr>
          <w:ilvl w:val="1"/>
          <w:numId w:val="52"/>
        </w:numPr>
        <w:spacing w:line="276" w:lineRule="auto"/>
        <w:ind w:left="1800"/>
        <w:rPr>
          <w:sz w:val="22"/>
        </w:rPr>
      </w:pPr>
      <w:r w:rsidRPr="00AF0E8B">
        <w:rPr>
          <w:b/>
          <w:sz w:val="22"/>
        </w:rPr>
        <w:t xml:space="preserve">Additional Information </w:t>
      </w:r>
      <w:r w:rsidRPr="00AF0E8B">
        <w:rPr>
          <w:sz w:val="22"/>
        </w:rPr>
        <w:t>– clarification by giving more detail about the composition of SFP items</w:t>
      </w:r>
    </w:p>
    <w:p w14:paraId="551A6738" w14:textId="70967538" w:rsidR="00196C65" w:rsidRPr="00AF0E8B" w:rsidRDefault="00196C65" w:rsidP="00AF0E8B">
      <w:pPr>
        <w:pStyle w:val="ListParagraph"/>
        <w:numPr>
          <w:ilvl w:val="1"/>
          <w:numId w:val="52"/>
        </w:numPr>
        <w:spacing w:line="276" w:lineRule="auto"/>
        <w:ind w:left="1800"/>
        <w:rPr>
          <w:sz w:val="22"/>
        </w:rPr>
      </w:pPr>
      <w:r w:rsidRPr="00AF0E8B">
        <w:rPr>
          <w:b/>
          <w:sz w:val="22"/>
        </w:rPr>
        <w:t xml:space="preserve">Subsequent events </w:t>
      </w:r>
      <w:r w:rsidRPr="00AF0E8B">
        <w:rPr>
          <w:sz w:val="22"/>
        </w:rPr>
        <w:t>– events that happen after the date of the SFP</w:t>
      </w:r>
    </w:p>
    <w:p w14:paraId="1409B3DD" w14:textId="3DFF7F40" w:rsidR="00196C65" w:rsidRPr="00AF0E8B" w:rsidRDefault="00196C65" w:rsidP="00AF0E8B">
      <w:pPr>
        <w:pStyle w:val="ListParagraph"/>
        <w:numPr>
          <w:ilvl w:val="0"/>
          <w:numId w:val="48"/>
        </w:numPr>
        <w:spacing w:line="276" w:lineRule="auto"/>
        <w:ind w:left="360"/>
        <w:rPr>
          <w:sz w:val="22"/>
        </w:rPr>
      </w:pPr>
      <w:r w:rsidRPr="00AF0E8B">
        <w:rPr>
          <w:b/>
          <w:color w:val="E36C0A" w:themeColor="accent6" w:themeShade="BF"/>
          <w:sz w:val="22"/>
        </w:rPr>
        <w:t>Major disclosure techniques for the statement of financial position</w:t>
      </w:r>
    </w:p>
    <w:p w14:paraId="0DC187F4" w14:textId="7F82EA44" w:rsidR="00196C65" w:rsidRPr="00AF0E8B" w:rsidRDefault="00196C65" w:rsidP="00AF0E8B">
      <w:pPr>
        <w:pStyle w:val="ListParagraph"/>
        <w:numPr>
          <w:ilvl w:val="0"/>
          <w:numId w:val="52"/>
        </w:numPr>
        <w:spacing w:line="276" w:lineRule="auto"/>
        <w:ind w:left="1080"/>
        <w:rPr>
          <w:sz w:val="22"/>
        </w:rPr>
      </w:pPr>
      <w:r w:rsidRPr="00AF0E8B">
        <w:rPr>
          <w:sz w:val="22"/>
        </w:rPr>
        <w:t>There are 4 methods of disclosing pertinent information in the SFP:</w:t>
      </w:r>
    </w:p>
    <w:p w14:paraId="2CDE9579" w14:textId="5C845F3A" w:rsidR="00196C65" w:rsidRPr="00AF0E8B" w:rsidRDefault="00196C65" w:rsidP="00AF0E8B">
      <w:pPr>
        <w:pStyle w:val="ListParagraph"/>
        <w:numPr>
          <w:ilvl w:val="0"/>
          <w:numId w:val="53"/>
        </w:numPr>
        <w:spacing w:line="276" w:lineRule="auto"/>
        <w:ind w:left="2160"/>
        <w:rPr>
          <w:sz w:val="22"/>
        </w:rPr>
      </w:pPr>
      <w:r w:rsidRPr="00AF0E8B">
        <w:rPr>
          <w:b/>
          <w:sz w:val="22"/>
        </w:rPr>
        <w:t>Parenthetical explanations</w:t>
      </w:r>
      <w:r w:rsidRPr="00AF0E8B">
        <w:rPr>
          <w:sz w:val="22"/>
        </w:rPr>
        <w:t xml:space="preserve"> – additional info or description is often provided by giving explanations in parentheses that follow an item</w:t>
      </w:r>
    </w:p>
    <w:p w14:paraId="4D58A37A" w14:textId="7E5B61D2" w:rsidR="00196C65" w:rsidRPr="00AF0E8B" w:rsidRDefault="00196C65" w:rsidP="00AF0E8B">
      <w:pPr>
        <w:pStyle w:val="ListParagraph"/>
        <w:numPr>
          <w:ilvl w:val="0"/>
          <w:numId w:val="53"/>
        </w:numPr>
        <w:spacing w:line="276" w:lineRule="auto"/>
        <w:ind w:left="2160"/>
        <w:rPr>
          <w:sz w:val="22"/>
        </w:rPr>
      </w:pPr>
      <w:r w:rsidRPr="00AF0E8B">
        <w:rPr>
          <w:b/>
          <w:sz w:val="22"/>
        </w:rPr>
        <w:t>Notes</w:t>
      </w:r>
      <w:r w:rsidRPr="00AF0E8B">
        <w:rPr>
          <w:sz w:val="22"/>
        </w:rPr>
        <w:t xml:space="preserve"> - notes are used if additional explanations or descriptions cannot be sown more conveniently as parenthetical explanations</w:t>
      </w:r>
    </w:p>
    <w:p w14:paraId="12C4BD10" w14:textId="5D321D1D" w:rsidR="00196C65" w:rsidRPr="00AF0E8B" w:rsidRDefault="00196C65" w:rsidP="00AF0E8B">
      <w:pPr>
        <w:pStyle w:val="ListParagraph"/>
        <w:numPr>
          <w:ilvl w:val="0"/>
          <w:numId w:val="53"/>
        </w:numPr>
        <w:spacing w:line="276" w:lineRule="auto"/>
        <w:ind w:left="2160"/>
        <w:rPr>
          <w:b/>
          <w:sz w:val="22"/>
        </w:rPr>
      </w:pPr>
      <w:r w:rsidRPr="00AF0E8B">
        <w:rPr>
          <w:b/>
          <w:sz w:val="22"/>
        </w:rPr>
        <w:t xml:space="preserve">Cross-reference and contra items – </w:t>
      </w:r>
      <w:r w:rsidRPr="00AF0E8B">
        <w:rPr>
          <w:sz w:val="22"/>
        </w:rPr>
        <w:t>a direct relationship between an asset and a liability is cross-referenced on the SFP</w:t>
      </w:r>
    </w:p>
    <w:p w14:paraId="2BFB27C9" w14:textId="2F85D200" w:rsidR="00196C65" w:rsidRPr="00AF0E8B" w:rsidRDefault="00196C65" w:rsidP="00AF0E8B">
      <w:pPr>
        <w:pStyle w:val="ListParagraph"/>
        <w:numPr>
          <w:ilvl w:val="0"/>
          <w:numId w:val="53"/>
        </w:numPr>
        <w:spacing w:line="276" w:lineRule="auto"/>
        <w:ind w:left="2160"/>
        <w:rPr>
          <w:b/>
          <w:sz w:val="22"/>
        </w:rPr>
      </w:pPr>
      <w:r w:rsidRPr="00AF0E8B">
        <w:rPr>
          <w:b/>
          <w:sz w:val="22"/>
        </w:rPr>
        <w:t xml:space="preserve">Supporting schedules – </w:t>
      </w:r>
      <w:r w:rsidRPr="00AF0E8B">
        <w:rPr>
          <w:sz w:val="22"/>
        </w:rPr>
        <w:t>often a separate schedule is needed to present more detailed information about certain assets or liabilities because the SFP provides just a single summary item</w:t>
      </w:r>
    </w:p>
    <w:p w14:paraId="57CB5B99" w14:textId="76CC6D51" w:rsidR="00196C65" w:rsidRPr="00AF0E8B" w:rsidRDefault="00196C65" w:rsidP="00AF0E8B">
      <w:pPr>
        <w:pStyle w:val="ListParagraph"/>
        <w:numPr>
          <w:ilvl w:val="0"/>
          <w:numId w:val="48"/>
        </w:numPr>
        <w:spacing w:line="276" w:lineRule="auto"/>
        <w:ind w:left="360"/>
        <w:rPr>
          <w:b/>
          <w:sz w:val="22"/>
        </w:rPr>
      </w:pPr>
      <w:r w:rsidRPr="00AF0E8B">
        <w:rPr>
          <w:b/>
          <w:color w:val="E36C0A" w:themeColor="accent6" w:themeShade="BF"/>
          <w:sz w:val="22"/>
        </w:rPr>
        <w:t>The purpose and content of the statement of cash flows</w:t>
      </w:r>
    </w:p>
    <w:p w14:paraId="1B8AA541" w14:textId="72531304" w:rsidR="00196C65" w:rsidRPr="00AF0E8B" w:rsidRDefault="009F7354" w:rsidP="00AF0E8B">
      <w:pPr>
        <w:pStyle w:val="ListParagraph"/>
        <w:numPr>
          <w:ilvl w:val="0"/>
          <w:numId w:val="52"/>
        </w:numPr>
        <w:spacing w:line="276" w:lineRule="auto"/>
        <w:ind w:left="1080"/>
        <w:rPr>
          <w:sz w:val="22"/>
        </w:rPr>
      </w:pPr>
      <w:r w:rsidRPr="00AF0E8B">
        <w:rPr>
          <w:sz w:val="22"/>
        </w:rPr>
        <w:t>The main purpose of the statement of cash flows is to provide relevant info about an enterprise’s cash receipts and cash payments during a period</w:t>
      </w:r>
    </w:p>
    <w:p w14:paraId="632A8C3E" w14:textId="5CE00210" w:rsidR="009F7354" w:rsidRPr="00AF0E8B" w:rsidRDefault="009F7354" w:rsidP="00AF0E8B">
      <w:pPr>
        <w:pStyle w:val="ListParagraph"/>
        <w:numPr>
          <w:ilvl w:val="0"/>
          <w:numId w:val="52"/>
        </w:numPr>
        <w:spacing w:line="276" w:lineRule="auto"/>
        <w:ind w:left="1080"/>
        <w:rPr>
          <w:sz w:val="22"/>
        </w:rPr>
      </w:pPr>
      <w:r w:rsidRPr="00AF0E8B">
        <w:rPr>
          <w:sz w:val="22"/>
        </w:rPr>
        <w:t>Reporting the course, uses, and net increase or decrease in cash let investors, creditors, and others know what is happening to a company’s most liquid resource</w:t>
      </w:r>
    </w:p>
    <w:p w14:paraId="409CDD3B" w14:textId="41B3B795" w:rsidR="009F7354" w:rsidRPr="00AF0E8B" w:rsidRDefault="009F7354" w:rsidP="00AF0E8B">
      <w:pPr>
        <w:pStyle w:val="ListParagraph"/>
        <w:numPr>
          <w:ilvl w:val="0"/>
          <w:numId w:val="52"/>
        </w:numPr>
        <w:spacing w:line="276" w:lineRule="auto"/>
        <w:ind w:left="1080"/>
        <w:rPr>
          <w:sz w:val="22"/>
        </w:rPr>
      </w:pPr>
      <w:r w:rsidRPr="00AF0E8B">
        <w:rPr>
          <w:sz w:val="22"/>
        </w:rPr>
        <w:t>Cash receipts and cash payments during a period are classified in the statement of cash flows into 3 different activities:</w:t>
      </w:r>
    </w:p>
    <w:p w14:paraId="2EE5D1F0" w14:textId="0B631725" w:rsidR="009F7354" w:rsidRPr="00AF0E8B" w:rsidRDefault="009F7354" w:rsidP="00AF0E8B">
      <w:pPr>
        <w:pStyle w:val="ListParagraph"/>
        <w:numPr>
          <w:ilvl w:val="0"/>
          <w:numId w:val="54"/>
        </w:numPr>
        <w:spacing w:line="276" w:lineRule="auto"/>
        <w:ind w:left="1800"/>
        <w:rPr>
          <w:sz w:val="22"/>
        </w:rPr>
      </w:pPr>
      <w:r w:rsidRPr="00AF0E8B">
        <w:rPr>
          <w:b/>
          <w:sz w:val="22"/>
        </w:rPr>
        <w:t>Operating Activities</w:t>
      </w:r>
      <w:r w:rsidRPr="00AF0E8B">
        <w:rPr>
          <w:sz w:val="22"/>
        </w:rPr>
        <w:t xml:space="preserve"> – involve cash effects of transactions that enter into the determination of net income</w:t>
      </w:r>
    </w:p>
    <w:p w14:paraId="29F732C2" w14:textId="2A6A4940" w:rsidR="009F7354" w:rsidRPr="00AF0E8B" w:rsidRDefault="009F7354" w:rsidP="00AF0E8B">
      <w:pPr>
        <w:pStyle w:val="ListParagraph"/>
        <w:numPr>
          <w:ilvl w:val="0"/>
          <w:numId w:val="54"/>
        </w:numPr>
        <w:spacing w:line="276" w:lineRule="auto"/>
        <w:ind w:left="1800"/>
        <w:rPr>
          <w:sz w:val="22"/>
        </w:rPr>
      </w:pPr>
      <w:r w:rsidRPr="00AF0E8B">
        <w:rPr>
          <w:b/>
          <w:sz w:val="22"/>
        </w:rPr>
        <w:t>Investing activities</w:t>
      </w:r>
      <w:r w:rsidRPr="00AF0E8B">
        <w:rPr>
          <w:sz w:val="22"/>
        </w:rPr>
        <w:t xml:space="preserve"> – include making and collecting loans and acquiring and disposing of investments (both debt and equity) and property, plant, and equipment</w:t>
      </w:r>
    </w:p>
    <w:p w14:paraId="4A88EF0C" w14:textId="1F376FE2" w:rsidR="009F7354" w:rsidRPr="00AF0E8B" w:rsidRDefault="009F7354" w:rsidP="00AF0E8B">
      <w:pPr>
        <w:pStyle w:val="ListParagraph"/>
        <w:numPr>
          <w:ilvl w:val="0"/>
          <w:numId w:val="54"/>
        </w:numPr>
        <w:spacing w:line="276" w:lineRule="auto"/>
        <w:ind w:left="1800"/>
        <w:rPr>
          <w:sz w:val="22"/>
        </w:rPr>
      </w:pPr>
      <w:r w:rsidRPr="00AF0E8B">
        <w:rPr>
          <w:b/>
          <w:sz w:val="22"/>
        </w:rPr>
        <w:t>Financing activities</w:t>
      </w:r>
      <w:r w:rsidRPr="00AF0E8B">
        <w:rPr>
          <w:sz w:val="22"/>
        </w:rPr>
        <w:t xml:space="preserve"> – involved liability and owners’ equity items and items</w:t>
      </w:r>
    </w:p>
    <w:p w14:paraId="7A5B64D0" w14:textId="7568F668" w:rsidR="009F7354" w:rsidRPr="00AF0E8B" w:rsidRDefault="009F7354" w:rsidP="00AF0E8B">
      <w:pPr>
        <w:pStyle w:val="ListParagraph"/>
        <w:numPr>
          <w:ilvl w:val="1"/>
          <w:numId w:val="54"/>
        </w:numPr>
        <w:spacing w:line="276" w:lineRule="auto"/>
        <w:ind w:left="2520"/>
        <w:rPr>
          <w:sz w:val="22"/>
        </w:rPr>
      </w:pPr>
      <w:r w:rsidRPr="00AF0E8B">
        <w:rPr>
          <w:sz w:val="22"/>
        </w:rPr>
        <w:t>Obtaining capital from owners and providing them with a return on investment</w:t>
      </w:r>
    </w:p>
    <w:p w14:paraId="68910233" w14:textId="6153CD98" w:rsidR="009F7354" w:rsidRPr="00AF0E8B" w:rsidRDefault="009F7354" w:rsidP="00AF0E8B">
      <w:pPr>
        <w:pStyle w:val="ListParagraph"/>
        <w:numPr>
          <w:ilvl w:val="1"/>
          <w:numId w:val="54"/>
        </w:numPr>
        <w:spacing w:line="276" w:lineRule="auto"/>
        <w:ind w:left="2520"/>
        <w:rPr>
          <w:sz w:val="22"/>
        </w:rPr>
      </w:pPr>
      <w:r w:rsidRPr="00AF0E8B">
        <w:rPr>
          <w:sz w:val="22"/>
        </w:rPr>
        <w:t>Borrowing money from creditors and repaying the amounts borrowed</w:t>
      </w:r>
    </w:p>
    <w:p w14:paraId="67033208" w14:textId="7B9A6D58" w:rsidR="009F7354" w:rsidRPr="00AF0E8B" w:rsidRDefault="009F7354" w:rsidP="00AF0E8B">
      <w:pPr>
        <w:pStyle w:val="ListParagraph"/>
        <w:numPr>
          <w:ilvl w:val="0"/>
          <w:numId w:val="48"/>
        </w:numPr>
        <w:spacing w:line="276" w:lineRule="auto"/>
        <w:ind w:left="360"/>
        <w:rPr>
          <w:b/>
          <w:color w:val="E36C0A" w:themeColor="accent6" w:themeShade="BF"/>
          <w:sz w:val="22"/>
        </w:rPr>
      </w:pPr>
      <w:r w:rsidRPr="00AF0E8B">
        <w:rPr>
          <w:b/>
          <w:color w:val="E36C0A" w:themeColor="accent6" w:themeShade="BF"/>
          <w:sz w:val="22"/>
        </w:rPr>
        <w:t>Preparing a statement of cash flows using the indirect method</w:t>
      </w:r>
    </w:p>
    <w:p w14:paraId="6E61B959" w14:textId="4FC61BD5" w:rsidR="009F7354" w:rsidRPr="00AF0E8B" w:rsidRDefault="009F7354" w:rsidP="00AF0E8B">
      <w:pPr>
        <w:pStyle w:val="ListParagraph"/>
        <w:numPr>
          <w:ilvl w:val="0"/>
          <w:numId w:val="55"/>
        </w:numPr>
        <w:spacing w:line="276" w:lineRule="auto"/>
        <w:ind w:left="1080"/>
        <w:rPr>
          <w:color w:val="E36C0A" w:themeColor="accent6" w:themeShade="BF"/>
          <w:sz w:val="22"/>
        </w:rPr>
      </w:pPr>
      <w:r w:rsidRPr="00AF0E8B">
        <w:rPr>
          <w:sz w:val="22"/>
        </w:rPr>
        <w:t>This involved determining cash flows from operations by starting with net income and adjusting it for noncash activities, such as changes in A/R (and other current assets/liabilities) balances, depreciation, and gains/losses</w:t>
      </w:r>
    </w:p>
    <w:p w14:paraId="7E26A812" w14:textId="3F4188D5" w:rsidR="009F7354" w:rsidRPr="00AF0E8B" w:rsidRDefault="009F7354" w:rsidP="00AF0E8B">
      <w:pPr>
        <w:pStyle w:val="ListParagraph"/>
        <w:numPr>
          <w:ilvl w:val="0"/>
          <w:numId w:val="55"/>
        </w:numPr>
        <w:spacing w:line="276" w:lineRule="auto"/>
        <w:ind w:left="1080"/>
        <w:rPr>
          <w:color w:val="E36C0A" w:themeColor="accent6" w:themeShade="BF"/>
          <w:sz w:val="22"/>
        </w:rPr>
      </w:pPr>
      <w:r w:rsidRPr="00AF0E8B">
        <w:rPr>
          <w:sz w:val="22"/>
        </w:rPr>
        <w:t>It is important to look carefully at prior years’ operating activities that might affect cash this year, such as cash collected this year from last year’s credit sales and cash spent this year from last year’s accrued expenses</w:t>
      </w:r>
    </w:p>
    <w:p w14:paraId="4030A4AA" w14:textId="111D33C9" w:rsidR="009F7354" w:rsidRPr="00AF0E8B" w:rsidRDefault="009F7354" w:rsidP="00AF0E8B">
      <w:pPr>
        <w:pStyle w:val="ListParagraph"/>
        <w:numPr>
          <w:ilvl w:val="0"/>
          <w:numId w:val="55"/>
        </w:numPr>
        <w:spacing w:line="276" w:lineRule="auto"/>
        <w:ind w:left="1080"/>
        <w:rPr>
          <w:color w:val="E36C0A" w:themeColor="accent6" w:themeShade="BF"/>
          <w:sz w:val="22"/>
        </w:rPr>
      </w:pPr>
      <w:r w:rsidRPr="00AF0E8B">
        <w:rPr>
          <w:sz w:val="22"/>
        </w:rPr>
        <w:t>The cash flows from investing and financing activities can then be determined by analyzing changes in SFP accounts and the cash account</w:t>
      </w:r>
    </w:p>
    <w:p w14:paraId="41501157" w14:textId="5F280C89" w:rsidR="009F7354" w:rsidRPr="00AF0E8B" w:rsidRDefault="009F7354" w:rsidP="00AF0E8B">
      <w:pPr>
        <w:pStyle w:val="ListParagraph"/>
        <w:numPr>
          <w:ilvl w:val="0"/>
          <w:numId w:val="48"/>
        </w:numPr>
        <w:spacing w:line="276" w:lineRule="auto"/>
        <w:ind w:left="360"/>
        <w:rPr>
          <w:color w:val="E36C0A" w:themeColor="accent6" w:themeShade="BF"/>
          <w:sz w:val="22"/>
        </w:rPr>
      </w:pPr>
      <w:r w:rsidRPr="00AF0E8B">
        <w:rPr>
          <w:b/>
          <w:color w:val="E36C0A" w:themeColor="accent6" w:themeShade="BF"/>
          <w:sz w:val="22"/>
        </w:rPr>
        <w:t>The purpose and content of the statement of cash flows</w:t>
      </w:r>
    </w:p>
    <w:p w14:paraId="1E75D0CB" w14:textId="4A1651A0" w:rsidR="009F7354" w:rsidRPr="00AF0E8B" w:rsidRDefault="00C14C90" w:rsidP="00AF0E8B">
      <w:pPr>
        <w:pStyle w:val="ListParagraph"/>
        <w:numPr>
          <w:ilvl w:val="0"/>
          <w:numId w:val="56"/>
        </w:numPr>
        <w:spacing w:line="276" w:lineRule="auto"/>
        <w:ind w:left="1080"/>
        <w:rPr>
          <w:b/>
          <w:sz w:val="22"/>
        </w:rPr>
      </w:pPr>
      <w:r w:rsidRPr="00AF0E8B">
        <w:rPr>
          <w:sz w:val="22"/>
        </w:rPr>
        <w:t>Creditors examine the statement of cash flows carefully because they are concerned about being paid</w:t>
      </w:r>
    </w:p>
    <w:p w14:paraId="6221E9E1" w14:textId="2C21C3AA" w:rsidR="00C14C90" w:rsidRPr="00AF0E8B" w:rsidRDefault="00C14C90" w:rsidP="00AF0E8B">
      <w:pPr>
        <w:pStyle w:val="ListParagraph"/>
        <w:numPr>
          <w:ilvl w:val="0"/>
          <w:numId w:val="56"/>
        </w:numPr>
        <w:spacing w:line="276" w:lineRule="auto"/>
        <w:ind w:left="1080"/>
        <w:rPr>
          <w:b/>
          <w:sz w:val="22"/>
        </w:rPr>
      </w:pPr>
      <w:r w:rsidRPr="00AF0E8B">
        <w:rPr>
          <w:sz w:val="22"/>
        </w:rPr>
        <w:t>The amount of net cash flow provided by operating activities in relation to the company’s liabilities helpful in making this assessment (about being paid)</w:t>
      </w:r>
    </w:p>
    <w:p w14:paraId="323B686C" w14:textId="5F57E408" w:rsidR="00C14C90" w:rsidRPr="00AF0E8B" w:rsidRDefault="00C14C90" w:rsidP="00AF0E8B">
      <w:pPr>
        <w:pStyle w:val="ListParagraph"/>
        <w:numPr>
          <w:ilvl w:val="0"/>
          <w:numId w:val="56"/>
        </w:numPr>
        <w:spacing w:line="276" w:lineRule="auto"/>
        <w:ind w:left="1080"/>
        <w:rPr>
          <w:b/>
          <w:sz w:val="22"/>
        </w:rPr>
      </w:pPr>
      <w:r w:rsidRPr="00AF0E8B">
        <w:rPr>
          <w:sz w:val="22"/>
        </w:rPr>
        <w:t>In addition, measures such as a free cash flow analysis provide creditors and shareholders with a better picture of the company’s financial flexibility</w:t>
      </w:r>
    </w:p>
    <w:p w14:paraId="00C547BC" w14:textId="4829C1FB" w:rsidR="00C14C90" w:rsidRPr="00AF0E8B" w:rsidRDefault="00C14C90" w:rsidP="00AF0E8B">
      <w:pPr>
        <w:pStyle w:val="ListParagraph"/>
        <w:numPr>
          <w:ilvl w:val="0"/>
          <w:numId w:val="48"/>
        </w:numPr>
        <w:spacing w:line="276" w:lineRule="auto"/>
        <w:ind w:left="360"/>
        <w:rPr>
          <w:b/>
          <w:sz w:val="22"/>
        </w:rPr>
      </w:pPr>
      <w:r w:rsidRPr="00AF0E8B">
        <w:rPr>
          <w:b/>
          <w:color w:val="E36C0A" w:themeColor="accent6" w:themeShade="BF"/>
          <w:sz w:val="22"/>
        </w:rPr>
        <w:t>Differences in accounting between ASPE and IFRS</w:t>
      </w:r>
    </w:p>
    <w:p w14:paraId="1B207B60" w14:textId="5E275EC9" w:rsidR="00C14C90" w:rsidRPr="00AF0E8B" w:rsidRDefault="00C14C90" w:rsidP="00AF0E8B">
      <w:pPr>
        <w:pStyle w:val="ListParagraph"/>
        <w:numPr>
          <w:ilvl w:val="0"/>
          <w:numId w:val="57"/>
        </w:numPr>
        <w:spacing w:line="276" w:lineRule="auto"/>
        <w:ind w:left="1080"/>
        <w:rPr>
          <w:sz w:val="22"/>
        </w:rPr>
      </w:pPr>
      <w:r w:rsidRPr="00AF0E8B">
        <w:rPr>
          <w:sz w:val="22"/>
        </w:rPr>
        <w:t>Both sets of standards account for and present items on the SFT and statement of cash flows as well as they both largely require the same SFP elements be presented</w:t>
      </w:r>
    </w:p>
    <w:p w14:paraId="115AA98E" w14:textId="367C27A2" w:rsidR="00C14C90" w:rsidRPr="00AF0E8B" w:rsidRDefault="00C14C90" w:rsidP="00AF0E8B">
      <w:pPr>
        <w:pStyle w:val="ListParagraph"/>
        <w:numPr>
          <w:ilvl w:val="0"/>
          <w:numId w:val="57"/>
        </w:numPr>
        <w:spacing w:line="276" w:lineRule="auto"/>
        <w:ind w:left="1080"/>
        <w:rPr>
          <w:sz w:val="22"/>
        </w:rPr>
      </w:pPr>
      <w:r w:rsidRPr="00AF0E8B">
        <w:rPr>
          <w:sz w:val="22"/>
        </w:rPr>
        <w:t>The only difference in presentation of SFP is that IFRS requires presentation of biological assets, investment properties, and provisions</w:t>
      </w:r>
    </w:p>
    <w:p w14:paraId="276C39AF" w14:textId="20BE759C" w:rsidR="00C14C90" w:rsidRPr="00AF0E8B" w:rsidRDefault="00C14C90" w:rsidP="00AF0E8B">
      <w:pPr>
        <w:spacing w:line="276" w:lineRule="auto"/>
        <w:ind w:left="720"/>
        <w:rPr>
          <w:sz w:val="22"/>
        </w:rPr>
      </w:pPr>
      <w:r w:rsidRPr="00AF0E8B">
        <w:rPr>
          <w:sz w:val="22"/>
        </w:rPr>
        <w:t>ASPE</w:t>
      </w:r>
    </w:p>
    <w:p w14:paraId="1B816CA9" w14:textId="4F3261BD" w:rsidR="00770F8F" w:rsidRPr="00AF0E8B" w:rsidRDefault="00770F8F" w:rsidP="00AF0E8B">
      <w:pPr>
        <w:pStyle w:val="ListParagraph"/>
        <w:numPr>
          <w:ilvl w:val="0"/>
          <w:numId w:val="58"/>
        </w:numPr>
        <w:spacing w:line="276" w:lineRule="auto"/>
        <w:ind w:left="1440"/>
        <w:rPr>
          <w:sz w:val="22"/>
        </w:rPr>
      </w:pPr>
      <w:r w:rsidRPr="00AF0E8B">
        <w:rPr>
          <w:sz w:val="22"/>
        </w:rPr>
        <w:t>SFP and statement of cash flows require essentially the same items to be presented</w:t>
      </w:r>
    </w:p>
    <w:p w14:paraId="7870F6F1" w14:textId="3114A80A" w:rsidR="00C14C90" w:rsidRPr="00AF0E8B" w:rsidRDefault="00C14C90" w:rsidP="00AF0E8B">
      <w:pPr>
        <w:pStyle w:val="ListParagraph"/>
        <w:numPr>
          <w:ilvl w:val="0"/>
          <w:numId w:val="58"/>
        </w:numPr>
        <w:spacing w:line="276" w:lineRule="auto"/>
        <w:ind w:left="1440"/>
        <w:rPr>
          <w:b/>
          <w:sz w:val="22"/>
        </w:rPr>
      </w:pPr>
      <w:r w:rsidRPr="00AF0E8B">
        <w:rPr>
          <w:sz w:val="22"/>
        </w:rPr>
        <w:t xml:space="preserve">Current vs. non-current liabilities </w:t>
      </w:r>
      <w:r w:rsidRPr="00AF0E8B">
        <w:rPr>
          <w:sz w:val="22"/>
        </w:rPr>
        <w:sym w:font="Wingdings" w:char="F0E0"/>
      </w:r>
      <w:r w:rsidRPr="00AF0E8B">
        <w:rPr>
          <w:sz w:val="22"/>
        </w:rPr>
        <w:t xml:space="preserve"> if the company has refinanced debt by the issue date of the financial statements, may present as </w:t>
      </w:r>
      <w:r w:rsidRPr="00AF0E8B">
        <w:rPr>
          <w:b/>
          <w:sz w:val="22"/>
        </w:rPr>
        <w:t>non-current</w:t>
      </w:r>
    </w:p>
    <w:p w14:paraId="4E872148" w14:textId="25605DCA" w:rsidR="00C14C90" w:rsidRPr="00AF0E8B" w:rsidRDefault="00C14C90" w:rsidP="00AF0E8B">
      <w:pPr>
        <w:pStyle w:val="ListParagraph"/>
        <w:numPr>
          <w:ilvl w:val="0"/>
          <w:numId w:val="58"/>
        </w:numPr>
        <w:spacing w:line="276" w:lineRule="auto"/>
        <w:ind w:left="1440"/>
        <w:rPr>
          <w:sz w:val="22"/>
        </w:rPr>
      </w:pPr>
      <w:r w:rsidRPr="00AF0E8B">
        <w:rPr>
          <w:sz w:val="22"/>
        </w:rPr>
        <w:t xml:space="preserve">Cash flow statement </w:t>
      </w:r>
      <w:r w:rsidRPr="00AF0E8B">
        <w:rPr>
          <w:sz w:val="22"/>
        </w:rPr>
        <w:sym w:font="Wingdings" w:char="F0E0"/>
      </w:r>
      <w:r w:rsidRPr="00AF0E8B">
        <w:rPr>
          <w:sz w:val="22"/>
        </w:rPr>
        <w:t xml:space="preserve"> equity investments are excluded from cash and cash equivalents. Interest and dividends included in net income and are treated operating activities and those booked through RE are treated as financing activities</w:t>
      </w:r>
    </w:p>
    <w:p w14:paraId="4BF5879D" w14:textId="6C9050D9" w:rsidR="00C14C90" w:rsidRPr="00AF0E8B" w:rsidRDefault="00C14C90" w:rsidP="00AF0E8B">
      <w:pPr>
        <w:pStyle w:val="ListParagraph"/>
        <w:numPr>
          <w:ilvl w:val="0"/>
          <w:numId w:val="58"/>
        </w:numPr>
        <w:spacing w:line="276" w:lineRule="auto"/>
        <w:ind w:left="1440"/>
        <w:rPr>
          <w:sz w:val="22"/>
        </w:rPr>
      </w:pPr>
      <w:r w:rsidRPr="00AF0E8B">
        <w:rPr>
          <w:sz w:val="22"/>
        </w:rPr>
        <w:t xml:space="preserve">Cash flow per share </w:t>
      </w:r>
      <w:r w:rsidRPr="00AF0E8B">
        <w:rPr>
          <w:sz w:val="22"/>
        </w:rPr>
        <w:sym w:font="Wingdings" w:char="F0E0"/>
      </w:r>
      <w:r w:rsidRPr="00AF0E8B">
        <w:rPr>
          <w:sz w:val="22"/>
        </w:rPr>
        <w:t xml:space="preserve"> prohibited</w:t>
      </w:r>
    </w:p>
    <w:p w14:paraId="2854AB3F" w14:textId="1F7876F7" w:rsidR="00C14C90" w:rsidRPr="00AF0E8B" w:rsidRDefault="00C14C90" w:rsidP="00AF0E8B">
      <w:pPr>
        <w:pStyle w:val="ListParagraph"/>
        <w:numPr>
          <w:ilvl w:val="0"/>
          <w:numId w:val="44"/>
        </w:numPr>
        <w:spacing w:line="276" w:lineRule="auto"/>
        <w:ind w:left="1440"/>
        <w:rPr>
          <w:sz w:val="22"/>
        </w:rPr>
      </w:pPr>
      <w:r w:rsidRPr="00AF0E8B">
        <w:rPr>
          <w:sz w:val="22"/>
        </w:rPr>
        <w:t xml:space="preserve">Disclosure of date of financial statements authorized for issue </w:t>
      </w:r>
      <w:r w:rsidRPr="00AF0E8B">
        <w:rPr>
          <w:sz w:val="22"/>
        </w:rPr>
        <w:sym w:font="Wingdings" w:char="F0E0"/>
      </w:r>
      <w:r w:rsidRPr="00AF0E8B">
        <w:rPr>
          <w:sz w:val="22"/>
        </w:rPr>
        <w:t xml:space="preserve"> not required</w:t>
      </w:r>
    </w:p>
    <w:p w14:paraId="533A67C7" w14:textId="77777777" w:rsidR="00C14C90" w:rsidRPr="00AF0E8B" w:rsidRDefault="00C14C90" w:rsidP="00AF0E8B">
      <w:pPr>
        <w:spacing w:line="276" w:lineRule="auto"/>
        <w:ind w:firstLine="720"/>
        <w:rPr>
          <w:sz w:val="22"/>
        </w:rPr>
      </w:pPr>
      <w:r w:rsidRPr="00AF0E8B">
        <w:rPr>
          <w:sz w:val="22"/>
        </w:rPr>
        <w:t>IFRS:</w:t>
      </w:r>
    </w:p>
    <w:p w14:paraId="1C2ADE69" w14:textId="76DFA5FB" w:rsidR="00C14C90" w:rsidRPr="00AF0E8B" w:rsidRDefault="00770F8F" w:rsidP="00AF0E8B">
      <w:pPr>
        <w:pStyle w:val="ListParagraph"/>
        <w:numPr>
          <w:ilvl w:val="0"/>
          <w:numId w:val="58"/>
        </w:numPr>
        <w:spacing w:line="276" w:lineRule="auto"/>
        <w:ind w:left="1440"/>
        <w:rPr>
          <w:sz w:val="22"/>
        </w:rPr>
      </w:pPr>
      <w:r w:rsidRPr="00AF0E8B">
        <w:rPr>
          <w:sz w:val="22"/>
        </w:rPr>
        <w:t>The following items are required to be presented in SFP under IFRS:</w:t>
      </w:r>
    </w:p>
    <w:p w14:paraId="1ABD9A92" w14:textId="3F713C36" w:rsidR="00770F8F" w:rsidRPr="00AF0E8B" w:rsidRDefault="00770F8F" w:rsidP="00AF0E8B">
      <w:pPr>
        <w:pStyle w:val="ListParagraph"/>
        <w:numPr>
          <w:ilvl w:val="1"/>
          <w:numId w:val="58"/>
        </w:numPr>
        <w:spacing w:line="276" w:lineRule="auto"/>
        <w:ind w:left="2160"/>
        <w:rPr>
          <w:b/>
          <w:sz w:val="22"/>
        </w:rPr>
      </w:pPr>
      <w:r w:rsidRPr="00AF0E8B">
        <w:rPr>
          <w:b/>
          <w:sz w:val="22"/>
        </w:rPr>
        <w:t>Investment property</w:t>
      </w:r>
    </w:p>
    <w:p w14:paraId="4AE14718" w14:textId="3FAEABF7" w:rsidR="00770F8F" w:rsidRPr="00AF0E8B" w:rsidRDefault="00770F8F" w:rsidP="00AF0E8B">
      <w:pPr>
        <w:pStyle w:val="ListParagraph"/>
        <w:numPr>
          <w:ilvl w:val="1"/>
          <w:numId w:val="58"/>
        </w:numPr>
        <w:spacing w:line="276" w:lineRule="auto"/>
        <w:ind w:left="2160"/>
        <w:rPr>
          <w:b/>
          <w:sz w:val="22"/>
        </w:rPr>
      </w:pPr>
      <w:r w:rsidRPr="00AF0E8B">
        <w:rPr>
          <w:b/>
          <w:sz w:val="22"/>
        </w:rPr>
        <w:t>Biological assets</w:t>
      </w:r>
    </w:p>
    <w:p w14:paraId="659FD4AC" w14:textId="01FBAB40" w:rsidR="00770F8F" w:rsidRPr="00AF0E8B" w:rsidRDefault="00770F8F" w:rsidP="00AF0E8B">
      <w:pPr>
        <w:pStyle w:val="ListParagraph"/>
        <w:numPr>
          <w:ilvl w:val="1"/>
          <w:numId w:val="58"/>
        </w:numPr>
        <w:spacing w:line="276" w:lineRule="auto"/>
        <w:ind w:left="2160"/>
        <w:rPr>
          <w:b/>
          <w:sz w:val="22"/>
        </w:rPr>
      </w:pPr>
      <w:r w:rsidRPr="00AF0E8B">
        <w:rPr>
          <w:b/>
          <w:sz w:val="22"/>
        </w:rPr>
        <w:t>Provisions</w:t>
      </w:r>
    </w:p>
    <w:p w14:paraId="30AA9F11" w14:textId="0704D580" w:rsidR="00770F8F" w:rsidRPr="00AF0E8B" w:rsidRDefault="00770F8F" w:rsidP="00AF0E8B">
      <w:pPr>
        <w:pStyle w:val="ListParagraph"/>
        <w:numPr>
          <w:ilvl w:val="0"/>
          <w:numId w:val="58"/>
        </w:numPr>
        <w:spacing w:line="276" w:lineRule="auto"/>
        <w:ind w:left="1440"/>
        <w:rPr>
          <w:sz w:val="22"/>
        </w:rPr>
      </w:pPr>
      <w:r w:rsidRPr="00AF0E8B">
        <w:rPr>
          <w:sz w:val="22"/>
        </w:rPr>
        <w:t xml:space="preserve">Current vs. non-current liabilities </w:t>
      </w:r>
      <w:r w:rsidRPr="00AF0E8B">
        <w:rPr>
          <w:sz w:val="22"/>
        </w:rPr>
        <w:sym w:font="Wingdings" w:char="F0E0"/>
      </w:r>
      <w:r w:rsidRPr="00AF0E8B">
        <w:rPr>
          <w:sz w:val="22"/>
        </w:rPr>
        <w:t xml:space="preserve"> if no unconditional right to defer payment of financial liability beyond one year as at the balance sheet date, must show as </w:t>
      </w:r>
      <w:r w:rsidRPr="00AF0E8B">
        <w:rPr>
          <w:b/>
          <w:sz w:val="22"/>
        </w:rPr>
        <w:t>current asset</w:t>
      </w:r>
    </w:p>
    <w:p w14:paraId="1CA512D7" w14:textId="14EF776F" w:rsidR="00770F8F" w:rsidRPr="00AF0E8B" w:rsidRDefault="00770F8F" w:rsidP="00AF0E8B">
      <w:pPr>
        <w:pStyle w:val="ListParagraph"/>
        <w:numPr>
          <w:ilvl w:val="0"/>
          <w:numId w:val="58"/>
        </w:numPr>
        <w:spacing w:line="276" w:lineRule="auto"/>
        <w:ind w:left="1440"/>
        <w:rPr>
          <w:sz w:val="22"/>
        </w:rPr>
      </w:pPr>
      <w:r w:rsidRPr="00AF0E8B">
        <w:rPr>
          <w:sz w:val="22"/>
        </w:rPr>
        <w:t xml:space="preserve">Cash flow statement </w:t>
      </w:r>
      <w:r w:rsidRPr="00AF0E8B">
        <w:rPr>
          <w:sz w:val="22"/>
        </w:rPr>
        <w:sym w:font="Wingdings" w:char="F0E0"/>
      </w:r>
      <w:r w:rsidRPr="00AF0E8B">
        <w:rPr>
          <w:sz w:val="22"/>
        </w:rPr>
        <w:t xml:space="preserve"> certain preferred shares acquired within a short period of maturity date might be classified as cash and cash equivalents. IFRS allows flexibility in how to treat interest and dividends (may be classified as operating, financing, or investing activities) </w:t>
      </w:r>
    </w:p>
    <w:p w14:paraId="03D07669" w14:textId="562AF94B" w:rsidR="00770F8F" w:rsidRPr="00AF0E8B" w:rsidRDefault="00770F8F" w:rsidP="00AF0E8B">
      <w:pPr>
        <w:pStyle w:val="ListParagraph"/>
        <w:numPr>
          <w:ilvl w:val="0"/>
          <w:numId w:val="58"/>
        </w:numPr>
        <w:spacing w:line="276" w:lineRule="auto"/>
        <w:ind w:left="1440"/>
        <w:rPr>
          <w:sz w:val="22"/>
        </w:rPr>
      </w:pPr>
      <w:r w:rsidRPr="00AF0E8B">
        <w:rPr>
          <w:sz w:val="22"/>
        </w:rPr>
        <w:t xml:space="preserve">Cash flow per share </w:t>
      </w:r>
      <w:r w:rsidRPr="00AF0E8B">
        <w:rPr>
          <w:sz w:val="22"/>
        </w:rPr>
        <w:sym w:font="Wingdings" w:char="F0E0"/>
      </w:r>
      <w:r w:rsidRPr="00AF0E8B">
        <w:rPr>
          <w:sz w:val="22"/>
        </w:rPr>
        <w:t xml:space="preserve"> no prohibition on disclosure of this number</w:t>
      </w:r>
    </w:p>
    <w:p w14:paraId="6F5B4560" w14:textId="32D7CB1C" w:rsidR="00770F8F" w:rsidRPr="00AF0E8B" w:rsidRDefault="00770F8F" w:rsidP="00AF0E8B">
      <w:pPr>
        <w:pStyle w:val="ListParagraph"/>
        <w:numPr>
          <w:ilvl w:val="0"/>
          <w:numId w:val="44"/>
        </w:numPr>
        <w:spacing w:line="276" w:lineRule="auto"/>
        <w:ind w:left="1440"/>
        <w:rPr>
          <w:sz w:val="22"/>
        </w:rPr>
      </w:pPr>
      <w:r w:rsidRPr="00AF0E8B">
        <w:rPr>
          <w:sz w:val="22"/>
        </w:rPr>
        <w:t xml:space="preserve">Disclosure of date of financial statements authorized for issue </w:t>
      </w:r>
      <w:r w:rsidRPr="00AF0E8B">
        <w:rPr>
          <w:sz w:val="22"/>
        </w:rPr>
        <w:sym w:font="Wingdings" w:char="F0E0"/>
      </w:r>
      <w:r w:rsidRPr="00AF0E8B">
        <w:rPr>
          <w:sz w:val="22"/>
        </w:rPr>
        <w:t xml:space="preserve"> might disclose date that the financial statements were authorized for issue</w:t>
      </w:r>
    </w:p>
    <w:p w14:paraId="5C11E836" w14:textId="47123F53" w:rsidR="00770F8F" w:rsidRPr="00AF0E8B" w:rsidRDefault="00770F8F" w:rsidP="00AF0E8B">
      <w:pPr>
        <w:pStyle w:val="ListParagraph"/>
        <w:numPr>
          <w:ilvl w:val="0"/>
          <w:numId w:val="48"/>
        </w:numPr>
        <w:spacing w:line="276" w:lineRule="auto"/>
        <w:ind w:left="360"/>
        <w:rPr>
          <w:b/>
          <w:color w:val="E36C0A" w:themeColor="accent6" w:themeShade="BF"/>
          <w:sz w:val="22"/>
        </w:rPr>
      </w:pPr>
      <w:r w:rsidRPr="00AF0E8B">
        <w:rPr>
          <w:b/>
          <w:color w:val="E36C0A" w:themeColor="accent6" w:themeShade="BF"/>
          <w:sz w:val="22"/>
        </w:rPr>
        <w:t>Significant changes planned by the IASD regarding financial statement presentation</w:t>
      </w:r>
    </w:p>
    <w:p w14:paraId="22141EE8" w14:textId="1B9A3354" w:rsidR="00770F8F" w:rsidRPr="00AF0E8B" w:rsidRDefault="00770F8F" w:rsidP="00AF0E8B">
      <w:pPr>
        <w:pStyle w:val="ListParagraph"/>
        <w:numPr>
          <w:ilvl w:val="0"/>
          <w:numId w:val="59"/>
        </w:numPr>
        <w:spacing w:line="276" w:lineRule="auto"/>
        <w:ind w:left="720"/>
        <w:rPr>
          <w:sz w:val="22"/>
        </w:rPr>
      </w:pPr>
      <w:r w:rsidRPr="00AF0E8B">
        <w:rPr>
          <w:sz w:val="22"/>
        </w:rPr>
        <w:t>The IASB has been planning to change the way financial statements are presented by issuing a new standard</w:t>
      </w:r>
    </w:p>
    <w:p w14:paraId="47C928C9" w14:textId="7C3449A3" w:rsidR="00770F8F" w:rsidRPr="00AF0E8B" w:rsidRDefault="00770F8F" w:rsidP="00AF0E8B">
      <w:pPr>
        <w:pStyle w:val="ListParagraph"/>
        <w:numPr>
          <w:ilvl w:val="0"/>
          <w:numId w:val="59"/>
        </w:numPr>
        <w:spacing w:line="276" w:lineRule="auto"/>
        <w:ind w:left="720"/>
        <w:rPr>
          <w:sz w:val="22"/>
        </w:rPr>
      </w:pPr>
      <w:r w:rsidRPr="00AF0E8B">
        <w:rPr>
          <w:sz w:val="22"/>
        </w:rPr>
        <w:t>However, the project was paused in 2011 “until the IASB concludes its ongoing deliberations about its future work plan.” The major statements including SFP, income statement, and statement of cash flows, are eventually expected to be classified according to business and financing activities</w:t>
      </w:r>
    </w:p>
    <w:p w14:paraId="1934086F" w14:textId="383B9E3F" w:rsidR="00770F8F" w:rsidRPr="00AF0E8B" w:rsidRDefault="00770F8F" w:rsidP="00AF0E8B">
      <w:pPr>
        <w:pStyle w:val="ListParagraph"/>
        <w:numPr>
          <w:ilvl w:val="0"/>
          <w:numId w:val="48"/>
        </w:numPr>
        <w:spacing w:line="276" w:lineRule="auto"/>
        <w:ind w:left="360"/>
        <w:rPr>
          <w:sz w:val="22"/>
        </w:rPr>
      </w:pPr>
      <w:r w:rsidRPr="00AF0E8B">
        <w:rPr>
          <w:b/>
          <w:color w:val="E36C0A" w:themeColor="accent6" w:themeShade="BF"/>
          <w:sz w:val="22"/>
        </w:rPr>
        <w:t>The major types of financial ratios and what they mean</w:t>
      </w:r>
    </w:p>
    <w:p w14:paraId="58F7DF3A" w14:textId="5FAA80F9" w:rsidR="00770F8F" w:rsidRPr="00AF0E8B" w:rsidRDefault="00770F8F" w:rsidP="00AF0E8B">
      <w:pPr>
        <w:pStyle w:val="ListParagraph"/>
        <w:numPr>
          <w:ilvl w:val="0"/>
          <w:numId w:val="60"/>
        </w:numPr>
        <w:spacing w:line="276" w:lineRule="auto"/>
        <w:ind w:left="1080"/>
        <w:rPr>
          <w:sz w:val="22"/>
        </w:rPr>
      </w:pPr>
      <w:r w:rsidRPr="00AF0E8B">
        <w:rPr>
          <w:sz w:val="22"/>
        </w:rPr>
        <w:t>Ratios express the mathematical relationship between one quantity and another, in terms of a percentage, a rate, or a proportion</w:t>
      </w:r>
    </w:p>
    <w:p w14:paraId="575B2BC1" w14:textId="678219A5" w:rsidR="00770F8F" w:rsidRPr="00AF0E8B" w:rsidRDefault="00770F8F" w:rsidP="00AF0E8B">
      <w:pPr>
        <w:pStyle w:val="ListParagraph"/>
        <w:numPr>
          <w:ilvl w:val="0"/>
          <w:numId w:val="60"/>
        </w:numPr>
        <w:spacing w:line="276" w:lineRule="auto"/>
        <w:ind w:left="1080"/>
        <w:rPr>
          <w:sz w:val="22"/>
        </w:rPr>
      </w:pPr>
      <w:r w:rsidRPr="00AF0E8B">
        <w:rPr>
          <w:sz w:val="22"/>
        </w:rPr>
        <w:t>Liquidity ratios measure the short-term ability to pay maturing obligations</w:t>
      </w:r>
    </w:p>
    <w:p w14:paraId="70898A0D" w14:textId="7CA98641" w:rsidR="00770F8F" w:rsidRPr="00AF0E8B" w:rsidRDefault="00770F8F" w:rsidP="00AF0E8B">
      <w:pPr>
        <w:pStyle w:val="ListParagraph"/>
        <w:numPr>
          <w:ilvl w:val="0"/>
          <w:numId w:val="60"/>
        </w:numPr>
        <w:spacing w:line="276" w:lineRule="auto"/>
        <w:ind w:left="1080"/>
        <w:rPr>
          <w:sz w:val="22"/>
        </w:rPr>
      </w:pPr>
      <w:r w:rsidRPr="00AF0E8B">
        <w:rPr>
          <w:sz w:val="22"/>
        </w:rPr>
        <w:t>Activity ratios measure how effectively assets are being used</w:t>
      </w:r>
    </w:p>
    <w:p w14:paraId="6C405FD6" w14:textId="1F841D7A" w:rsidR="00770F8F" w:rsidRPr="00AF0E8B" w:rsidRDefault="00770F8F" w:rsidP="00AF0E8B">
      <w:pPr>
        <w:pStyle w:val="ListParagraph"/>
        <w:numPr>
          <w:ilvl w:val="0"/>
          <w:numId w:val="60"/>
        </w:numPr>
        <w:spacing w:line="276" w:lineRule="auto"/>
        <w:ind w:left="1080"/>
        <w:rPr>
          <w:sz w:val="22"/>
        </w:rPr>
      </w:pPr>
      <w:r w:rsidRPr="00AF0E8B">
        <w:rPr>
          <w:sz w:val="22"/>
        </w:rPr>
        <w:t>Profitability ratios measure an enterprise’s success or failure</w:t>
      </w:r>
    </w:p>
    <w:p w14:paraId="13C7B20A" w14:textId="0CFF28EF" w:rsidR="00770F8F" w:rsidRPr="00AF0E8B" w:rsidRDefault="00770F8F" w:rsidP="00AF0E8B">
      <w:pPr>
        <w:pStyle w:val="ListParagraph"/>
        <w:numPr>
          <w:ilvl w:val="0"/>
          <w:numId w:val="60"/>
        </w:numPr>
        <w:spacing w:line="276" w:lineRule="auto"/>
        <w:ind w:left="1080"/>
        <w:rPr>
          <w:sz w:val="22"/>
        </w:rPr>
      </w:pPr>
      <w:r w:rsidRPr="00AF0E8B">
        <w:rPr>
          <w:sz w:val="22"/>
        </w:rPr>
        <w:t>Coverage ratios measure the degree of protection for long-term creditors and investors</w:t>
      </w:r>
    </w:p>
    <w:p w14:paraId="634907B7" w14:textId="65A54B02" w:rsidR="00770F8F" w:rsidRPr="00AF0E8B" w:rsidRDefault="00770F8F" w:rsidP="00AF0E8B">
      <w:pPr>
        <w:spacing w:line="276" w:lineRule="auto"/>
        <w:rPr>
          <w:b/>
          <w:color w:val="660066"/>
          <w:u w:val="single"/>
        </w:rPr>
      </w:pPr>
      <w:r w:rsidRPr="00AF0E8B">
        <w:rPr>
          <w:b/>
          <w:color w:val="660066"/>
          <w:u w:val="single"/>
        </w:rPr>
        <w:t>Chapter 6</w:t>
      </w:r>
    </w:p>
    <w:p w14:paraId="17CB09F0" w14:textId="72453894" w:rsidR="00770F8F" w:rsidRPr="00AF0E8B" w:rsidRDefault="00022E88" w:rsidP="00AF0E8B">
      <w:pPr>
        <w:pStyle w:val="ListParagraph"/>
        <w:numPr>
          <w:ilvl w:val="0"/>
          <w:numId w:val="61"/>
        </w:numPr>
        <w:spacing w:line="276" w:lineRule="auto"/>
        <w:ind w:left="360"/>
        <w:rPr>
          <w:sz w:val="22"/>
        </w:rPr>
      </w:pPr>
      <w:r w:rsidRPr="00AF0E8B">
        <w:rPr>
          <w:b/>
          <w:color w:val="E36C0A" w:themeColor="accent6" w:themeShade="BF"/>
          <w:sz w:val="22"/>
        </w:rPr>
        <w:t>The economics and legalities of selling transactions from a business perspective</w:t>
      </w:r>
    </w:p>
    <w:p w14:paraId="428B3A37" w14:textId="1E505B0C" w:rsidR="00022E88" w:rsidRPr="00AF0E8B" w:rsidRDefault="00D25643" w:rsidP="00AF0E8B">
      <w:pPr>
        <w:pStyle w:val="ListParagraph"/>
        <w:numPr>
          <w:ilvl w:val="0"/>
          <w:numId w:val="62"/>
        </w:numPr>
        <w:spacing w:line="276" w:lineRule="auto"/>
        <w:ind w:left="1080"/>
        <w:rPr>
          <w:b/>
          <w:sz w:val="22"/>
        </w:rPr>
      </w:pPr>
      <w:r w:rsidRPr="00AF0E8B">
        <w:rPr>
          <w:sz w:val="22"/>
        </w:rPr>
        <w:t>The analysis of a transaction from a business perspective should begin with what is being sold to the customer (goods or services) and note also the nature and amount of consideration</w:t>
      </w:r>
    </w:p>
    <w:p w14:paraId="455D108A" w14:textId="71EC1F7D" w:rsidR="00D25643" w:rsidRPr="00AF0E8B" w:rsidRDefault="00D25643" w:rsidP="00AF0E8B">
      <w:pPr>
        <w:pStyle w:val="ListParagraph"/>
        <w:numPr>
          <w:ilvl w:val="0"/>
          <w:numId w:val="62"/>
        </w:numPr>
        <w:spacing w:line="276" w:lineRule="auto"/>
        <w:ind w:left="1080"/>
        <w:rPr>
          <w:b/>
          <w:sz w:val="22"/>
        </w:rPr>
      </w:pPr>
      <w:r w:rsidRPr="00AF0E8B">
        <w:rPr>
          <w:sz w:val="22"/>
        </w:rPr>
        <w:t>When one party is in better bargaining position than the other, it may be able to negotiate concessions such as more lenient payment terms</w:t>
      </w:r>
    </w:p>
    <w:p w14:paraId="16B3CE1D" w14:textId="4C2EB5BE" w:rsidR="00D25643" w:rsidRPr="00AF0E8B" w:rsidRDefault="00D25643" w:rsidP="00AF0E8B">
      <w:pPr>
        <w:pStyle w:val="ListParagraph"/>
        <w:numPr>
          <w:ilvl w:val="1"/>
          <w:numId w:val="62"/>
        </w:numPr>
        <w:spacing w:line="276" w:lineRule="auto"/>
        <w:ind w:left="1800"/>
        <w:rPr>
          <w:b/>
          <w:sz w:val="22"/>
        </w:rPr>
      </w:pPr>
      <w:r w:rsidRPr="00AF0E8B">
        <w:rPr>
          <w:sz w:val="22"/>
        </w:rPr>
        <w:t>These concessions often complicate the accounting as they introduce measurement uncertainty in many cases</w:t>
      </w:r>
    </w:p>
    <w:p w14:paraId="0A81019D" w14:textId="141443FB" w:rsidR="00D25643" w:rsidRPr="00AF0E8B" w:rsidRDefault="00D25643" w:rsidP="00AF0E8B">
      <w:pPr>
        <w:pStyle w:val="ListParagraph"/>
        <w:numPr>
          <w:ilvl w:val="0"/>
          <w:numId w:val="62"/>
        </w:numPr>
        <w:spacing w:line="276" w:lineRule="auto"/>
        <w:ind w:left="1080"/>
        <w:rPr>
          <w:b/>
          <w:sz w:val="22"/>
        </w:rPr>
      </w:pPr>
      <w:r w:rsidRPr="00AF0E8B">
        <w:rPr>
          <w:sz w:val="22"/>
        </w:rPr>
        <w:t>Selling transactions are based on contractual arrangements between a buyer and a seller</w:t>
      </w:r>
    </w:p>
    <w:p w14:paraId="00A34ED7" w14:textId="56194E19" w:rsidR="00D25643" w:rsidRPr="00AF0E8B" w:rsidRDefault="00D25643" w:rsidP="00AF0E8B">
      <w:pPr>
        <w:pStyle w:val="ListParagraph"/>
        <w:numPr>
          <w:ilvl w:val="0"/>
          <w:numId w:val="62"/>
        </w:numPr>
        <w:spacing w:line="276" w:lineRule="auto"/>
        <w:ind w:left="1080"/>
        <w:rPr>
          <w:b/>
          <w:sz w:val="22"/>
        </w:rPr>
      </w:pPr>
      <w:r w:rsidRPr="00AF0E8B">
        <w:rPr>
          <w:sz w:val="22"/>
        </w:rPr>
        <w:t>Contracts create rights and obligations under law that must be considered when accounting for the transactions</w:t>
      </w:r>
    </w:p>
    <w:p w14:paraId="13B5A64E" w14:textId="5DE907AF" w:rsidR="00D25643" w:rsidRPr="00AF0E8B" w:rsidRDefault="00D25643" w:rsidP="00AF0E8B">
      <w:pPr>
        <w:pStyle w:val="ListParagraph"/>
        <w:numPr>
          <w:ilvl w:val="0"/>
          <w:numId w:val="62"/>
        </w:numPr>
        <w:spacing w:line="276" w:lineRule="auto"/>
        <w:ind w:left="1080"/>
        <w:rPr>
          <w:b/>
          <w:sz w:val="22"/>
        </w:rPr>
      </w:pPr>
      <w:r w:rsidRPr="00AF0E8B">
        <w:rPr>
          <w:sz w:val="22"/>
        </w:rPr>
        <w:t>In addition to the contractual law, rights and obligations may exist under other forms of the law, such as common law or contract law – these should also be considered</w:t>
      </w:r>
    </w:p>
    <w:p w14:paraId="2919CD63" w14:textId="211D9A80" w:rsidR="00D25643" w:rsidRPr="00AF0E8B" w:rsidRDefault="00D25643" w:rsidP="00AF0E8B">
      <w:pPr>
        <w:pStyle w:val="ListParagraph"/>
        <w:numPr>
          <w:ilvl w:val="0"/>
          <w:numId w:val="61"/>
        </w:numPr>
        <w:spacing w:line="276" w:lineRule="auto"/>
        <w:ind w:left="360"/>
        <w:rPr>
          <w:b/>
          <w:color w:val="E36C0A" w:themeColor="accent6" w:themeShade="BF"/>
          <w:sz w:val="22"/>
        </w:rPr>
      </w:pPr>
      <w:r w:rsidRPr="00AF0E8B">
        <w:rPr>
          <w:b/>
          <w:color w:val="E36C0A" w:themeColor="accent6" w:themeShade="BF"/>
          <w:sz w:val="22"/>
        </w:rPr>
        <w:t>Analyzing and determining whether a company has earned revenues</w:t>
      </w:r>
    </w:p>
    <w:p w14:paraId="07BCDDF2" w14:textId="3F1BCE2F" w:rsidR="00D25643" w:rsidRPr="00AF0E8B" w:rsidRDefault="00D25643" w:rsidP="00AF0E8B">
      <w:pPr>
        <w:pStyle w:val="ListParagraph"/>
        <w:numPr>
          <w:ilvl w:val="0"/>
          <w:numId w:val="63"/>
        </w:numPr>
        <w:spacing w:line="276" w:lineRule="auto"/>
        <w:ind w:left="1080"/>
        <w:rPr>
          <w:sz w:val="22"/>
        </w:rPr>
      </w:pPr>
      <w:r w:rsidRPr="00AF0E8B">
        <w:rPr>
          <w:sz w:val="22"/>
        </w:rPr>
        <w:t>Under current</w:t>
      </w:r>
      <w:r w:rsidR="00AF51B9" w:rsidRPr="00AF0E8B">
        <w:rPr>
          <w:sz w:val="22"/>
        </w:rPr>
        <w:t xml:space="preserve"> accounting standards, the revenues are earned when the risks and rewards of ownership are passed or when the company has done what it said it would do to be entitled to the revenues</w:t>
      </w:r>
    </w:p>
    <w:p w14:paraId="35F2CFD4" w14:textId="6BDAAF10" w:rsidR="00AF51B9" w:rsidRPr="00AF0E8B" w:rsidRDefault="00AF51B9" w:rsidP="00AF0E8B">
      <w:pPr>
        <w:pStyle w:val="ListParagraph"/>
        <w:numPr>
          <w:ilvl w:val="0"/>
          <w:numId w:val="63"/>
        </w:numPr>
        <w:spacing w:line="276" w:lineRule="auto"/>
        <w:ind w:left="1080"/>
        <w:rPr>
          <w:sz w:val="22"/>
        </w:rPr>
      </w:pPr>
      <w:r w:rsidRPr="00AF0E8B">
        <w:rPr>
          <w:sz w:val="22"/>
        </w:rPr>
        <w:t>Where sale of goods are involved, legal title and possession provide evidence of this</w:t>
      </w:r>
    </w:p>
    <w:p w14:paraId="1A814256" w14:textId="57CD8023" w:rsidR="00AF51B9" w:rsidRPr="00AF0E8B" w:rsidRDefault="00AF51B9" w:rsidP="00AF0E8B">
      <w:pPr>
        <w:pStyle w:val="ListParagraph"/>
        <w:numPr>
          <w:ilvl w:val="0"/>
          <w:numId w:val="63"/>
        </w:numPr>
        <w:spacing w:line="276" w:lineRule="auto"/>
        <w:ind w:left="1080"/>
        <w:rPr>
          <w:sz w:val="22"/>
        </w:rPr>
      </w:pPr>
      <w:r w:rsidRPr="00AF0E8B">
        <w:rPr>
          <w:sz w:val="22"/>
        </w:rPr>
        <w:t>The accounting is more complex when the contract is a long-term contract and when it involved both goods and services</w:t>
      </w:r>
    </w:p>
    <w:p w14:paraId="5B1F38A9" w14:textId="2545AF73" w:rsidR="00AF51B9" w:rsidRPr="00AF0E8B" w:rsidRDefault="00AF51B9" w:rsidP="00AF0E8B">
      <w:pPr>
        <w:pStyle w:val="ListParagraph"/>
        <w:numPr>
          <w:ilvl w:val="0"/>
          <w:numId w:val="63"/>
        </w:numPr>
        <w:spacing w:line="276" w:lineRule="auto"/>
        <w:ind w:left="1080"/>
        <w:rPr>
          <w:sz w:val="22"/>
        </w:rPr>
      </w:pPr>
      <w:r w:rsidRPr="00AF0E8B">
        <w:rPr>
          <w:sz w:val="22"/>
        </w:rPr>
        <w:t>The percentage-of-complete method is commonly used for long-term contract</w:t>
      </w:r>
      <w:r w:rsidR="003F3843" w:rsidRPr="00AF0E8B">
        <w:rPr>
          <w:sz w:val="22"/>
        </w:rPr>
        <w:t>s</w:t>
      </w:r>
    </w:p>
    <w:p w14:paraId="6367EEEC" w14:textId="49A6CFDE" w:rsidR="003F3843" w:rsidRPr="00AF0E8B" w:rsidRDefault="003F3843" w:rsidP="00AF0E8B">
      <w:pPr>
        <w:pStyle w:val="ListParagraph"/>
        <w:numPr>
          <w:ilvl w:val="0"/>
          <w:numId w:val="63"/>
        </w:numPr>
        <w:spacing w:line="276" w:lineRule="auto"/>
        <w:ind w:left="1080"/>
        <w:rPr>
          <w:sz w:val="22"/>
        </w:rPr>
      </w:pPr>
      <w:r w:rsidRPr="00AF0E8B">
        <w:rPr>
          <w:sz w:val="22"/>
        </w:rPr>
        <w:t>The completed contract method is used under ASPE and although IFRS does not mention this method, it is acceptable to recognize revenues at the end of a contract if there is one significant event</w:t>
      </w:r>
    </w:p>
    <w:p w14:paraId="1F8164BF" w14:textId="4D360912" w:rsidR="003F3843" w:rsidRPr="00AF0E8B" w:rsidRDefault="003F3843" w:rsidP="00AF0E8B">
      <w:pPr>
        <w:pStyle w:val="ListParagraph"/>
        <w:numPr>
          <w:ilvl w:val="0"/>
          <w:numId w:val="63"/>
        </w:numPr>
        <w:spacing w:line="276" w:lineRule="auto"/>
        <w:ind w:left="1080"/>
        <w:rPr>
          <w:sz w:val="22"/>
        </w:rPr>
      </w:pPr>
      <w:r w:rsidRPr="00AF0E8B">
        <w:rPr>
          <w:sz w:val="22"/>
        </w:rPr>
        <w:t>IFRS requires the zero-profit method when the outcome is not determined</w:t>
      </w:r>
    </w:p>
    <w:p w14:paraId="3F272834" w14:textId="457C74DE" w:rsidR="00496B0D" w:rsidRPr="00AF0E8B" w:rsidRDefault="00496B0D" w:rsidP="00AF0E8B">
      <w:pPr>
        <w:pStyle w:val="ListParagraph"/>
        <w:numPr>
          <w:ilvl w:val="0"/>
          <w:numId w:val="63"/>
        </w:numPr>
        <w:spacing w:line="276" w:lineRule="auto"/>
        <w:ind w:left="1080"/>
        <w:rPr>
          <w:sz w:val="22"/>
        </w:rPr>
      </w:pPr>
      <w:r w:rsidRPr="00AF0E8B">
        <w:rPr>
          <w:b/>
          <w:sz w:val="22"/>
        </w:rPr>
        <w:t xml:space="preserve">Earnings Process – </w:t>
      </w:r>
      <w:r w:rsidRPr="00AF0E8B">
        <w:rPr>
          <w:sz w:val="22"/>
        </w:rPr>
        <w:t xml:space="preserve">the actions a company takes to </w:t>
      </w:r>
      <w:r w:rsidRPr="00AF0E8B">
        <w:rPr>
          <w:sz w:val="22"/>
          <w:u w:val="single"/>
        </w:rPr>
        <w:t>add value</w:t>
      </w:r>
    </w:p>
    <w:p w14:paraId="2FD93400" w14:textId="2F3422A5" w:rsidR="00A068B8" w:rsidRPr="00AF0E8B" w:rsidRDefault="00A068B8" w:rsidP="00AF0E8B">
      <w:pPr>
        <w:pStyle w:val="ListParagraph"/>
        <w:numPr>
          <w:ilvl w:val="0"/>
          <w:numId w:val="63"/>
        </w:numPr>
        <w:spacing w:line="276" w:lineRule="auto"/>
        <w:ind w:left="1080"/>
        <w:rPr>
          <w:sz w:val="22"/>
        </w:rPr>
      </w:pPr>
      <w:r w:rsidRPr="00AF0E8B">
        <w:rPr>
          <w:b/>
          <w:sz w:val="22"/>
        </w:rPr>
        <w:t xml:space="preserve">Earnings Approach: </w:t>
      </w:r>
      <w:r w:rsidRPr="00AF0E8B">
        <w:rPr>
          <w:sz w:val="22"/>
        </w:rPr>
        <w:t>focuses on the earnings process itself and how value is added</w:t>
      </w:r>
    </w:p>
    <w:p w14:paraId="3D6D8A39" w14:textId="77777777" w:rsidR="00A068B8" w:rsidRPr="00AF0E8B" w:rsidRDefault="00A068B8" w:rsidP="00AF0E8B">
      <w:pPr>
        <w:pStyle w:val="ListParagraph"/>
        <w:numPr>
          <w:ilvl w:val="1"/>
          <w:numId w:val="63"/>
        </w:numPr>
        <w:spacing w:line="276" w:lineRule="auto"/>
        <w:ind w:left="1800"/>
        <w:rPr>
          <w:sz w:val="22"/>
        </w:rPr>
      </w:pPr>
      <w:r w:rsidRPr="00AF0E8B">
        <w:rPr>
          <w:sz w:val="22"/>
        </w:rPr>
        <w:t>Revenue is recognized when:</w:t>
      </w:r>
    </w:p>
    <w:p w14:paraId="191EF385" w14:textId="77777777" w:rsidR="00A068B8" w:rsidRPr="00AF0E8B" w:rsidRDefault="00A068B8" w:rsidP="00AF0E8B">
      <w:pPr>
        <w:pStyle w:val="ListParagraph"/>
        <w:numPr>
          <w:ilvl w:val="0"/>
          <w:numId w:val="95"/>
        </w:numPr>
        <w:spacing w:line="276" w:lineRule="auto"/>
        <w:ind w:left="2520"/>
        <w:rPr>
          <w:sz w:val="22"/>
        </w:rPr>
      </w:pPr>
      <w:r w:rsidRPr="00AF0E8B">
        <w:rPr>
          <w:sz w:val="22"/>
        </w:rPr>
        <w:t>Performance is substantially complete</w:t>
      </w:r>
    </w:p>
    <w:p w14:paraId="43228F73" w14:textId="77777777" w:rsidR="00A068B8" w:rsidRPr="00AF0E8B" w:rsidRDefault="00A068B8" w:rsidP="00AF0E8B">
      <w:pPr>
        <w:pStyle w:val="ListParagraph"/>
        <w:numPr>
          <w:ilvl w:val="0"/>
          <w:numId w:val="95"/>
        </w:numPr>
        <w:spacing w:line="276" w:lineRule="auto"/>
        <w:ind w:left="2520"/>
        <w:rPr>
          <w:sz w:val="22"/>
        </w:rPr>
      </w:pPr>
      <w:r w:rsidRPr="00AF0E8B">
        <w:rPr>
          <w:sz w:val="22"/>
        </w:rPr>
        <w:t>The transaction can be measures</w:t>
      </w:r>
    </w:p>
    <w:p w14:paraId="09529C3D" w14:textId="734612EA" w:rsidR="00A068B8" w:rsidRPr="00AF0E8B" w:rsidRDefault="00A068B8" w:rsidP="00AF0E8B">
      <w:pPr>
        <w:pStyle w:val="ListParagraph"/>
        <w:numPr>
          <w:ilvl w:val="0"/>
          <w:numId w:val="95"/>
        </w:numPr>
        <w:spacing w:line="276" w:lineRule="auto"/>
        <w:ind w:left="2520"/>
        <w:rPr>
          <w:sz w:val="22"/>
        </w:rPr>
      </w:pPr>
      <w:r w:rsidRPr="00AF0E8B">
        <w:rPr>
          <w:sz w:val="22"/>
        </w:rPr>
        <w:t>Collection is reasonably assured</w:t>
      </w:r>
    </w:p>
    <w:p w14:paraId="3AACA557" w14:textId="722B372F" w:rsidR="00A068B8" w:rsidRPr="00AF0E8B" w:rsidRDefault="00A068B8" w:rsidP="00AF0E8B">
      <w:pPr>
        <w:pStyle w:val="ListParagraph"/>
        <w:numPr>
          <w:ilvl w:val="0"/>
          <w:numId w:val="63"/>
        </w:numPr>
        <w:spacing w:line="276" w:lineRule="auto"/>
        <w:ind w:left="1080"/>
        <w:rPr>
          <w:sz w:val="22"/>
        </w:rPr>
      </w:pPr>
      <w:r w:rsidRPr="00AF0E8B">
        <w:rPr>
          <w:b/>
          <w:sz w:val="22"/>
        </w:rPr>
        <w:t xml:space="preserve">Contract-based approach: </w:t>
      </w:r>
      <w:r w:rsidRPr="00AF0E8B">
        <w:rPr>
          <w:sz w:val="22"/>
        </w:rPr>
        <w:t>focuses on the creation of contractual rights and obligations that are created by sales contracts</w:t>
      </w:r>
    </w:p>
    <w:p w14:paraId="6250A2C7" w14:textId="5903B38C" w:rsidR="00A068B8" w:rsidRPr="00AF0E8B" w:rsidRDefault="00A068B8" w:rsidP="00AF0E8B">
      <w:pPr>
        <w:pStyle w:val="ListParagraph"/>
        <w:numPr>
          <w:ilvl w:val="1"/>
          <w:numId w:val="63"/>
        </w:numPr>
        <w:spacing w:line="276" w:lineRule="auto"/>
        <w:ind w:left="1800"/>
        <w:rPr>
          <w:sz w:val="22"/>
        </w:rPr>
      </w:pPr>
      <w:r w:rsidRPr="00AF0E8B">
        <w:rPr>
          <w:sz w:val="22"/>
        </w:rPr>
        <w:t>The net contract position is initially recognized (through assets and corresponding liabilities) when the contract has been entered into</w:t>
      </w:r>
    </w:p>
    <w:p w14:paraId="01CAB80E" w14:textId="60DD81DA" w:rsidR="00A068B8" w:rsidRPr="00AF0E8B" w:rsidRDefault="00A068B8" w:rsidP="00AF0E8B">
      <w:pPr>
        <w:pStyle w:val="ListParagraph"/>
        <w:numPr>
          <w:ilvl w:val="2"/>
          <w:numId w:val="63"/>
        </w:numPr>
        <w:spacing w:line="276" w:lineRule="auto"/>
        <w:ind w:left="2520"/>
        <w:rPr>
          <w:sz w:val="22"/>
        </w:rPr>
      </w:pPr>
      <w:r w:rsidRPr="00AF0E8B">
        <w:rPr>
          <w:sz w:val="22"/>
        </w:rPr>
        <w:t>Revenue is substantially recognized as the contract obligations are fulfilled</w:t>
      </w:r>
    </w:p>
    <w:p w14:paraId="6A15136F" w14:textId="28F949F7" w:rsidR="00A068B8" w:rsidRPr="00AF0E8B" w:rsidRDefault="00B4644E" w:rsidP="00AF0E8B">
      <w:pPr>
        <w:pStyle w:val="ListParagraph"/>
        <w:numPr>
          <w:ilvl w:val="0"/>
          <w:numId w:val="63"/>
        </w:numPr>
        <w:spacing w:line="276" w:lineRule="auto"/>
        <w:ind w:left="1080"/>
        <w:rPr>
          <w:sz w:val="22"/>
        </w:rPr>
      </w:pPr>
      <w:r w:rsidRPr="00AF0E8B">
        <w:rPr>
          <w:sz w:val="22"/>
        </w:rPr>
        <w:t>If there is uncertainty of collection or the inability to measure the related revenue, then sales are not booked</w:t>
      </w:r>
    </w:p>
    <w:p w14:paraId="2D06DECB" w14:textId="3B50CF55" w:rsidR="003F3843" w:rsidRPr="00AF0E8B" w:rsidRDefault="003F3843" w:rsidP="00AF0E8B">
      <w:pPr>
        <w:pStyle w:val="ListParagraph"/>
        <w:numPr>
          <w:ilvl w:val="0"/>
          <w:numId w:val="61"/>
        </w:numPr>
        <w:spacing w:line="276" w:lineRule="auto"/>
        <w:ind w:left="360"/>
        <w:rPr>
          <w:sz w:val="22"/>
        </w:rPr>
      </w:pPr>
      <w:r w:rsidRPr="00AF0E8B">
        <w:rPr>
          <w:b/>
          <w:color w:val="E36C0A" w:themeColor="accent6" w:themeShade="BF"/>
          <w:sz w:val="22"/>
        </w:rPr>
        <w:t>Issues relating to measurement and measurement uncertainty</w:t>
      </w:r>
    </w:p>
    <w:p w14:paraId="67D040BF" w14:textId="2FC9D63E" w:rsidR="003F3843" w:rsidRPr="00AF0E8B" w:rsidRDefault="003F3843" w:rsidP="00AF0E8B">
      <w:pPr>
        <w:pStyle w:val="ListParagraph"/>
        <w:numPr>
          <w:ilvl w:val="0"/>
          <w:numId w:val="67"/>
        </w:numPr>
        <w:spacing w:line="276" w:lineRule="auto"/>
        <w:ind w:left="1080"/>
        <w:rPr>
          <w:sz w:val="22"/>
        </w:rPr>
      </w:pPr>
      <w:r w:rsidRPr="00AF0E8B">
        <w:rPr>
          <w:sz w:val="22"/>
        </w:rPr>
        <w:t>Under accrual accounting, revenue may only be recognized when reliably measurable</w:t>
      </w:r>
    </w:p>
    <w:p w14:paraId="564F0042" w14:textId="1C5F38FB" w:rsidR="003F3843" w:rsidRPr="00AF0E8B" w:rsidRDefault="003F3843" w:rsidP="00AF0E8B">
      <w:pPr>
        <w:pStyle w:val="ListParagraph"/>
        <w:numPr>
          <w:ilvl w:val="0"/>
          <w:numId w:val="67"/>
        </w:numPr>
        <w:spacing w:line="276" w:lineRule="auto"/>
        <w:ind w:left="1080"/>
        <w:rPr>
          <w:sz w:val="22"/>
        </w:rPr>
      </w:pPr>
      <w:r w:rsidRPr="00AF0E8B">
        <w:rPr>
          <w:sz w:val="22"/>
        </w:rPr>
        <w:t>There are many reasons that measurement uncertainty exists including the inability to reliably measure the revenue itself (for example, barter transactions or price protection clauses) and inability to measure costs or uncertainty relating to the outcome of the contract itself (contingencies)</w:t>
      </w:r>
    </w:p>
    <w:p w14:paraId="17EEA89A" w14:textId="01533A70" w:rsidR="003F3843" w:rsidRPr="00AF0E8B" w:rsidRDefault="003F3843" w:rsidP="00AF0E8B">
      <w:pPr>
        <w:pStyle w:val="ListParagraph"/>
        <w:numPr>
          <w:ilvl w:val="0"/>
          <w:numId w:val="67"/>
        </w:numPr>
        <w:spacing w:line="276" w:lineRule="auto"/>
        <w:ind w:left="1080"/>
        <w:rPr>
          <w:sz w:val="22"/>
        </w:rPr>
      </w:pPr>
      <w:r w:rsidRPr="00AF0E8B">
        <w:rPr>
          <w:sz w:val="22"/>
        </w:rPr>
        <w:t>In the latter case, extreme uncertainty may indicate that the contract or business deal has not yet been completed</w:t>
      </w:r>
    </w:p>
    <w:p w14:paraId="087811E5" w14:textId="2C55AEDA" w:rsidR="003F3843" w:rsidRPr="00AF0E8B" w:rsidRDefault="003F3843" w:rsidP="00AF0E8B">
      <w:pPr>
        <w:pStyle w:val="ListParagraph"/>
        <w:numPr>
          <w:ilvl w:val="0"/>
          <w:numId w:val="67"/>
        </w:numPr>
        <w:spacing w:line="276" w:lineRule="auto"/>
        <w:ind w:left="1080"/>
        <w:rPr>
          <w:sz w:val="22"/>
        </w:rPr>
      </w:pPr>
      <w:r w:rsidRPr="00AF0E8B">
        <w:rPr>
          <w:sz w:val="22"/>
        </w:rPr>
        <w:t>Where the sale involved more than one element (such as goods and services), then the selling price must be allocated to the respective parts of the sale using an allocation method such as the relative fair value method or residual method</w:t>
      </w:r>
    </w:p>
    <w:p w14:paraId="0C19C656" w14:textId="12C36B09" w:rsidR="003F3843" w:rsidRPr="00AF0E8B" w:rsidRDefault="003F3843" w:rsidP="00AF0E8B">
      <w:pPr>
        <w:pStyle w:val="ListParagraph"/>
        <w:numPr>
          <w:ilvl w:val="0"/>
          <w:numId w:val="61"/>
        </w:numPr>
        <w:spacing w:line="276" w:lineRule="auto"/>
        <w:ind w:left="360"/>
        <w:rPr>
          <w:sz w:val="22"/>
        </w:rPr>
      </w:pPr>
      <w:r w:rsidRPr="00AF0E8B">
        <w:rPr>
          <w:b/>
          <w:color w:val="E36C0A" w:themeColor="accent6" w:themeShade="BF"/>
          <w:sz w:val="22"/>
        </w:rPr>
        <w:t>How to account for sales where there is collection uncertainty</w:t>
      </w:r>
    </w:p>
    <w:p w14:paraId="4ADCC6CC" w14:textId="343C85A6" w:rsidR="003F3843" w:rsidRPr="00AF0E8B" w:rsidRDefault="003F3843" w:rsidP="00AF0E8B">
      <w:pPr>
        <w:pStyle w:val="ListParagraph"/>
        <w:numPr>
          <w:ilvl w:val="0"/>
          <w:numId w:val="68"/>
        </w:numPr>
        <w:spacing w:line="276" w:lineRule="auto"/>
        <w:ind w:left="1080"/>
        <w:rPr>
          <w:sz w:val="22"/>
        </w:rPr>
      </w:pPr>
      <w:r w:rsidRPr="00AF0E8B">
        <w:rPr>
          <w:sz w:val="22"/>
        </w:rPr>
        <w:t xml:space="preserve">Collectability issues also create measurement uncertainty and must be considered when recognizing and measuring sales transactions </w:t>
      </w:r>
    </w:p>
    <w:p w14:paraId="5600ECAA" w14:textId="17E32FAC" w:rsidR="003F3843" w:rsidRPr="00AF0E8B" w:rsidRDefault="003F3843" w:rsidP="00AF0E8B">
      <w:pPr>
        <w:pStyle w:val="ListParagraph"/>
        <w:numPr>
          <w:ilvl w:val="0"/>
          <w:numId w:val="68"/>
        </w:numPr>
        <w:spacing w:line="276" w:lineRule="auto"/>
        <w:ind w:left="1080"/>
        <w:rPr>
          <w:sz w:val="22"/>
        </w:rPr>
      </w:pPr>
      <w:r w:rsidRPr="00AF0E8B">
        <w:rPr>
          <w:sz w:val="22"/>
        </w:rPr>
        <w:t>When collectability cannot be assured and/or the related revenue is not measureable in terms of collection or credit risk, then no sale is booked</w:t>
      </w:r>
    </w:p>
    <w:p w14:paraId="72C8AEB4" w14:textId="74057F6E" w:rsidR="003F3843" w:rsidRPr="00AF0E8B" w:rsidRDefault="003F3843" w:rsidP="00AF0E8B">
      <w:pPr>
        <w:pStyle w:val="ListParagraph"/>
        <w:numPr>
          <w:ilvl w:val="0"/>
          <w:numId w:val="61"/>
        </w:numPr>
        <w:spacing w:line="276" w:lineRule="auto"/>
        <w:ind w:left="360"/>
        <w:rPr>
          <w:color w:val="E36C0A" w:themeColor="accent6" w:themeShade="BF"/>
          <w:sz w:val="22"/>
        </w:rPr>
      </w:pPr>
      <w:r w:rsidRPr="00AF0E8B">
        <w:rPr>
          <w:b/>
          <w:color w:val="E36C0A" w:themeColor="accent6" w:themeShade="BF"/>
          <w:sz w:val="22"/>
        </w:rPr>
        <w:t>Preparing journal entries for consignment sales and long-term contracts</w:t>
      </w:r>
    </w:p>
    <w:p w14:paraId="0F22AE0B" w14:textId="7FB238FD" w:rsidR="003F3843" w:rsidRPr="00AF0E8B" w:rsidRDefault="003F3843" w:rsidP="00AF0E8B">
      <w:pPr>
        <w:pStyle w:val="ListParagraph"/>
        <w:numPr>
          <w:ilvl w:val="0"/>
          <w:numId w:val="69"/>
        </w:numPr>
        <w:spacing w:line="276" w:lineRule="auto"/>
        <w:ind w:left="1080"/>
        <w:rPr>
          <w:color w:val="E36C0A" w:themeColor="accent6" w:themeShade="BF"/>
          <w:sz w:val="22"/>
        </w:rPr>
      </w:pPr>
      <w:r w:rsidRPr="00AF0E8B">
        <w:rPr>
          <w:sz w:val="22"/>
        </w:rPr>
        <w:t xml:space="preserve">Under </w:t>
      </w:r>
      <w:r w:rsidRPr="00AF0E8B">
        <w:rPr>
          <w:b/>
          <w:sz w:val="22"/>
        </w:rPr>
        <w:t>consignment sales</w:t>
      </w:r>
      <w:r w:rsidRPr="00AF0E8B">
        <w:rPr>
          <w:sz w:val="22"/>
        </w:rPr>
        <w:t>, the risks and rewards remain with the seller and, therefore, revenues are not recognized until the goods are sold to a third party</w:t>
      </w:r>
    </w:p>
    <w:p w14:paraId="734144BB" w14:textId="4652D019" w:rsidR="003F3843" w:rsidRPr="00AF0E8B" w:rsidRDefault="003F3843" w:rsidP="00AF0E8B">
      <w:pPr>
        <w:pStyle w:val="ListParagraph"/>
        <w:numPr>
          <w:ilvl w:val="0"/>
          <w:numId w:val="69"/>
        </w:numPr>
        <w:spacing w:line="276" w:lineRule="auto"/>
        <w:ind w:left="1080"/>
        <w:rPr>
          <w:color w:val="E36C0A" w:themeColor="accent6" w:themeShade="BF"/>
          <w:sz w:val="22"/>
        </w:rPr>
      </w:pPr>
      <w:r w:rsidRPr="00AF0E8B">
        <w:rPr>
          <w:sz w:val="22"/>
        </w:rPr>
        <w:t>Special accounts separate inventory on consignment</w:t>
      </w:r>
    </w:p>
    <w:p w14:paraId="2D7E94B7" w14:textId="4BA79AED" w:rsidR="003F3843" w:rsidRPr="00AF0E8B" w:rsidRDefault="003F3843" w:rsidP="00AF0E8B">
      <w:pPr>
        <w:pStyle w:val="ListParagraph"/>
        <w:numPr>
          <w:ilvl w:val="0"/>
          <w:numId w:val="69"/>
        </w:numPr>
        <w:spacing w:line="276" w:lineRule="auto"/>
        <w:ind w:left="1080"/>
        <w:rPr>
          <w:color w:val="E36C0A" w:themeColor="accent6" w:themeShade="BF"/>
          <w:sz w:val="22"/>
        </w:rPr>
      </w:pPr>
      <w:r w:rsidRPr="00AF0E8B">
        <w:rPr>
          <w:sz w:val="22"/>
        </w:rPr>
        <w:t xml:space="preserve">To apply </w:t>
      </w:r>
      <w:r w:rsidRPr="00AF0E8B">
        <w:rPr>
          <w:b/>
          <w:sz w:val="22"/>
        </w:rPr>
        <w:t>percentage-of-completion method</w:t>
      </w:r>
      <w:r w:rsidRPr="00AF0E8B">
        <w:rPr>
          <w:sz w:val="22"/>
        </w:rPr>
        <w:t xml:space="preserve"> to long-term contracts, a basis is needed for measuring the progress toward</w:t>
      </w:r>
      <w:r w:rsidR="004C4B70" w:rsidRPr="00AF0E8B">
        <w:rPr>
          <w:sz w:val="22"/>
        </w:rPr>
        <w:t xml:space="preserve"> completion at particular interim dates</w:t>
      </w:r>
    </w:p>
    <w:p w14:paraId="4E55C65C" w14:textId="0CC92EBF" w:rsidR="004C4B70" w:rsidRPr="00AF0E8B" w:rsidRDefault="004C4B70" w:rsidP="00AF0E8B">
      <w:pPr>
        <w:pStyle w:val="ListParagraph"/>
        <w:numPr>
          <w:ilvl w:val="0"/>
          <w:numId w:val="69"/>
        </w:numPr>
        <w:spacing w:line="276" w:lineRule="auto"/>
        <w:ind w:left="1080"/>
        <w:rPr>
          <w:color w:val="E36C0A" w:themeColor="accent6" w:themeShade="BF"/>
          <w:sz w:val="22"/>
        </w:rPr>
      </w:pPr>
      <w:r w:rsidRPr="00AF0E8B">
        <w:rPr>
          <w:sz w:val="22"/>
        </w:rPr>
        <w:t>One of the most popular input measures that is used to determine the progress toward completion is the cost-to-cost basis</w:t>
      </w:r>
    </w:p>
    <w:p w14:paraId="388621BD" w14:textId="4314A2CC" w:rsidR="004C4B70" w:rsidRPr="00AF0E8B" w:rsidRDefault="004C4B70" w:rsidP="00AF0E8B">
      <w:pPr>
        <w:pStyle w:val="ListParagraph"/>
        <w:numPr>
          <w:ilvl w:val="1"/>
          <w:numId w:val="69"/>
        </w:numPr>
        <w:spacing w:line="276" w:lineRule="auto"/>
        <w:ind w:left="1800"/>
        <w:rPr>
          <w:color w:val="E36C0A" w:themeColor="accent6" w:themeShade="BF"/>
          <w:sz w:val="22"/>
        </w:rPr>
      </w:pPr>
      <w:r w:rsidRPr="00AF0E8B">
        <w:rPr>
          <w:sz w:val="22"/>
        </w:rPr>
        <w:t>Using this basis, the percentage of completion is measures by comparing costs incurred to date with the most recent estimate of the total cost to complete the contract</w:t>
      </w:r>
    </w:p>
    <w:p w14:paraId="289DA6CC" w14:textId="0E0C2A67" w:rsidR="004C4B70" w:rsidRPr="00AF0E8B" w:rsidRDefault="004C4B70" w:rsidP="00AF0E8B">
      <w:pPr>
        <w:pStyle w:val="ListParagraph"/>
        <w:numPr>
          <w:ilvl w:val="1"/>
          <w:numId w:val="69"/>
        </w:numPr>
        <w:spacing w:line="276" w:lineRule="auto"/>
        <w:ind w:left="1800"/>
        <w:rPr>
          <w:color w:val="E36C0A" w:themeColor="accent6" w:themeShade="BF"/>
          <w:sz w:val="22"/>
        </w:rPr>
      </w:pPr>
      <w:r w:rsidRPr="00AF0E8B">
        <w:rPr>
          <w:sz w:val="22"/>
        </w:rPr>
        <w:t>The percentage of total estimated costs that the costs incurred amount to is applied to the total revenue or estimated total gross profit on the contract to arrive at the revenue or the gross profit amounts to be recognized to dates</w:t>
      </w:r>
    </w:p>
    <w:p w14:paraId="3F21C841" w14:textId="4BD50FE3" w:rsidR="004C4B70" w:rsidRPr="00AF0E8B" w:rsidRDefault="004C4B70" w:rsidP="00AF0E8B">
      <w:pPr>
        <w:pStyle w:val="ListParagraph"/>
        <w:numPr>
          <w:ilvl w:val="0"/>
          <w:numId w:val="69"/>
        </w:numPr>
        <w:spacing w:line="276" w:lineRule="auto"/>
        <w:ind w:left="1080"/>
        <w:rPr>
          <w:color w:val="E36C0A" w:themeColor="accent6" w:themeShade="BF"/>
          <w:sz w:val="22"/>
        </w:rPr>
      </w:pPr>
      <w:r w:rsidRPr="00AF0E8B">
        <w:rPr>
          <w:sz w:val="22"/>
        </w:rPr>
        <w:t xml:space="preserve">Under the </w:t>
      </w:r>
      <w:r w:rsidRPr="00AF0E8B">
        <w:rPr>
          <w:b/>
          <w:sz w:val="22"/>
        </w:rPr>
        <w:t>complete contract method</w:t>
      </w:r>
      <w:r w:rsidRPr="00AF0E8B">
        <w:rPr>
          <w:sz w:val="22"/>
        </w:rPr>
        <w:t>, revenue and gross profits are recognized only when the contract is completed</w:t>
      </w:r>
    </w:p>
    <w:p w14:paraId="03C35B28" w14:textId="7CBE20B5" w:rsidR="004C4B70" w:rsidRPr="00AF0E8B" w:rsidRDefault="004C4B70" w:rsidP="00AF0E8B">
      <w:pPr>
        <w:pStyle w:val="ListParagraph"/>
        <w:numPr>
          <w:ilvl w:val="1"/>
          <w:numId w:val="69"/>
        </w:numPr>
        <w:spacing w:line="276" w:lineRule="auto"/>
        <w:ind w:left="1800"/>
        <w:rPr>
          <w:sz w:val="22"/>
        </w:rPr>
      </w:pPr>
      <w:r w:rsidRPr="00AF0E8B">
        <w:rPr>
          <w:sz w:val="22"/>
        </w:rPr>
        <w:t>Costs of long-term contracts in process and current billings are accumulated, but there are no interim charges or credits to income statement accounts for revenues, costs, and gross profit.</w:t>
      </w:r>
    </w:p>
    <w:p w14:paraId="60A6DECC" w14:textId="7A1C550B" w:rsidR="004C4B70" w:rsidRPr="00AF0E8B" w:rsidRDefault="004C4B70" w:rsidP="00AF0E8B">
      <w:pPr>
        <w:pStyle w:val="ListParagraph"/>
        <w:numPr>
          <w:ilvl w:val="1"/>
          <w:numId w:val="69"/>
        </w:numPr>
        <w:spacing w:line="276" w:lineRule="auto"/>
        <w:ind w:left="1800"/>
        <w:rPr>
          <w:sz w:val="22"/>
        </w:rPr>
      </w:pPr>
      <w:r w:rsidRPr="00AF0E8B">
        <w:rPr>
          <w:sz w:val="22"/>
        </w:rPr>
        <w:t>The annual entries to record costs of construction, progress billings, and collections from customers would be identical to those for the percentage-of-completion method, with one significant exception: revenue and gross profit are not recognized until the end of the contract</w:t>
      </w:r>
    </w:p>
    <w:p w14:paraId="6BF6E782" w14:textId="6E8BC677" w:rsidR="004C4B70" w:rsidRPr="00AF0E8B" w:rsidRDefault="004C4B70" w:rsidP="00AF0E8B">
      <w:pPr>
        <w:pStyle w:val="ListParagraph"/>
        <w:numPr>
          <w:ilvl w:val="0"/>
          <w:numId w:val="69"/>
        </w:numPr>
        <w:spacing w:line="276" w:lineRule="auto"/>
        <w:ind w:left="1080"/>
        <w:rPr>
          <w:sz w:val="22"/>
        </w:rPr>
      </w:pPr>
      <w:r w:rsidRPr="00AF0E8B">
        <w:rPr>
          <w:sz w:val="22"/>
        </w:rPr>
        <w:t>The zero-profit method (IFRS) is used when the outcome of the contract is not determinable</w:t>
      </w:r>
    </w:p>
    <w:p w14:paraId="5005188D" w14:textId="5744F415" w:rsidR="004C4B70" w:rsidRPr="00AF0E8B" w:rsidRDefault="004C4B70" w:rsidP="00AF0E8B">
      <w:pPr>
        <w:pStyle w:val="ListParagraph"/>
        <w:numPr>
          <w:ilvl w:val="1"/>
          <w:numId w:val="69"/>
        </w:numPr>
        <w:spacing w:line="276" w:lineRule="auto"/>
        <w:ind w:left="1800"/>
        <w:rPr>
          <w:sz w:val="22"/>
        </w:rPr>
      </w:pPr>
      <w:r w:rsidRPr="00AF0E8B">
        <w:rPr>
          <w:sz w:val="22"/>
        </w:rPr>
        <w:t>Recoverable revenues equal to cost are recognized</w:t>
      </w:r>
    </w:p>
    <w:p w14:paraId="0B54C09E" w14:textId="570F031D" w:rsidR="004C4B70" w:rsidRPr="00AF0E8B" w:rsidRDefault="004C4B70" w:rsidP="00AF0E8B">
      <w:pPr>
        <w:pStyle w:val="ListParagraph"/>
        <w:numPr>
          <w:ilvl w:val="0"/>
          <w:numId w:val="61"/>
        </w:numPr>
        <w:spacing w:line="276" w:lineRule="auto"/>
        <w:ind w:left="360"/>
        <w:rPr>
          <w:sz w:val="22"/>
        </w:rPr>
      </w:pPr>
      <w:r w:rsidRPr="00AF0E8B">
        <w:rPr>
          <w:b/>
          <w:color w:val="E36C0A" w:themeColor="accent6" w:themeShade="BF"/>
          <w:sz w:val="22"/>
        </w:rPr>
        <w:t>How to present sales transactions in the income statement and preparing basic disclosures</w:t>
      </w:r>
    </w:p>
    <w:p w14:paraId="5C161ACD" w14:textId="37F92371" w:rsidR="004C4B70" w:rsidRPr="00AF0E8B" w:rsidRDefault="004C4B70" w:rsidP="00AF0E8B">
      <w:pPr>
        <w:pStyle w:val="ListParagraph"/>
        <w:numPr>
          <w:ilvl w:val="0"/>
          <w:numId w:val="70"/>
        </w:numPr>
        <w:spacing w:line="276" w:lineRule="auto"/>
        <w:ind w:left="1080"/>
        <w:rPr>
          <w:color w:val="000000" w:themeColor="text1"/>
          <w:sz w:val="22"/>
        </w:rPr>
      </w:pPr>
      <w:r w:rsidRPr="00AF0E8B">
        <w:rPr>
          <w:color w:val="000000" w:themeColor="text1"/>
          <w:sz w:val="22"/>
        </w:rPr>
        <w:t>Transactions where the seller is acting as a principal in the sale should be accounted for on a gross basis</w:t>
      </w:r>
    </w:p>
    <w:p w14:paraId="4C87E0E1" w14:textId="607D0FFB" w:rsidR="004C4B70" w:rsidRPr="00AF0E8B" w:rsidRDefault="004C4B70" w:rsidP="00AF0E8B">
      <w:pPr>
        <w:pStyle w:val="ListParagraph"/>
        <w:numPr>
          <w:ilvl w:val="1"/>
          <w:numId w:val="71"/>
        </w:numPr>
        <w:spacing w:line="276" w:lineRule="auto"/>
        <w:ind w:left="1080"/>
        <w:rPr>
          <w:color w:val="000000" w:themeColor="text1"/>
          <w:sz w:val="22"/>
        </w:rPr>
      </w:pPr>
      <w:r w:rsidRPr="00AF0E8B">
        <w:rPr>
          <w:color w:val="000000" w:themeColor="text1"/>
          <w:sz w:val="22"/>
        </w:rPr>
        <w:t>Where the seller is acting as an agent (putting buyers and sellers together), the transaction should be booked on a net basis</w:t>
      </w:r>
    </w:p>
    <w:p w14:paraId="6BD188E1" w14:textId="4BA186C9" w:rsidR="004C4B70" w:rsidRPr="00AF0E8B" w:rsidRDefault="004C4B70" w:rsidP="00AF0E8B">
      <w:pPr>
        <w:pStyle w:val="ListParagraph"/>
        <w:numPr>
          <w:ilvl w:val="1"/>
          <w:numId w:val="71"/>
        </w:numPr>
        <w:spacing w:line="276" w:lineRule="auto"/>
        <w:ind w:left="1080"/>
        <w:rPr>
          <w:color w:val="000000" w:themeColor="text1"/>
          <w:sz w:val="22"/>
        </w:rPr>
      </w:pPr>
      <w:r w:rsidRPr="00AF0E8B">
        <w:rPr>
          <w:color w:val="000000" w:themeColor="text1"/>
          <w:sz w:val="22"/>
        </w:rPr>
        <w:t>Consideration should given to whether the seller has the risks and rewards of ownership of the product being sold</w:t>
      </w:r>
    </w:p>
    <w:p w14:paraId="6E21AFAF" w14:textId="298A4E2E" w:rsidR="004C4B70" w:rsidRPr="00AF0E8B" w:rsidRDefault="004C4B70" w:rsidP="00AF0E8B">
      <w:pPr>
        <w:pStyle w:val="ListParagraph"/>
        <w:numPr>
          <w:ilvl w:val="1"/>
          <w:numId w:val="71"/>
        </w:numPr>
        <w:spacing w:line="276" w:lineRule="auto"/>
        <w:ind w:left="1080"/>
        <w:rPr>
          <w:color w:val="000000" w:themeColor="text1"/>
          <w:sz w:val="22"/>
        </w:rPr>
      </w:pPr>
      <w:r w:rsidRPr="00AF0E8B">
        <w:rPr>
          <w:color w:val="000000" w:themeColor="text1"/>
          <w:sz w:val="22"/>
        </w:rPr>
        <w:t>Transactions are treated as revenues when they relate to the entity’s ordinary activities and are treated as gains when they deal with ancillary activities</w:t>
      </w:r>
    </w:p>
    <w:p w14:paraId="3092EE0C" w14:textId="3064ADC6" w:rsidR="004C4B70" w:rsidRPr="00AF0E8B" w:rsidRDefault="004C4B70" w:rsidP="00AF0E8B">
      <w:pPr>
        <w:pStyle w:val="ListParagraph"/>
        <w:numPr>
          <w:ilvl w:val="1"/>
          <w:numId w:val="71"/>
        </w:numPr>
        <w:spacing w:line="276" w:lineRule="auto"/>
        <w:ind w:left="1080"/>
        <w:rPr>
          <w:color w:val="000000" w:themeColor="text1"/>
          <w:sz w:val="22"/>
        </w:rPr>
      </w:pPr>
      <w:r w:rsidRPr="00AF0E8B">
        <w:rPr>
          <w:color w:val="000000" w:themeColor="text1"/>
          <w:sz w:val="22"/>
        </w:rPr>
        <w:t>In general, revenues and gains are booked to net income except in very limited circumstances</w:t>
      </w:r>
    </w:p>
    <w:p w14:paraId="7E44A6FF" w14:textId="7257B152" w:rsidR="004C4B70" w:rsidRPr="00AF0E8B" w:rsidRDefault="004C4B70" w:rsidP="00AF0E8B">
      <w:pPr>
        <w:pStyle w:val="ListParagraph"/>
        <w:numPr>
          <w:ilvl w:val="0"/>
          <w:numId w:val="61"/>
        </w:numPr>
        <w:spacing w:line="276" w:lineRule="auto"/>
        <w:ind w:left="360"/>
        <w:rPr>
          <w:color w:val="000000" w:themeColor="text1"/>
          <w:sz w:val="22"/>
        </w:rPr>
      </w:pPr>
      <w:r w:rsidRPr="00AF0E8B">
        <w:rPr>
          <w:b/>
          <w:color w:val="E36C0A" w:themeColor="accent6" w:themeShade="BF"/>
          <w:sz w:val="22"/>
        </w:rPr>
        <w:t>Current trends in standard setting for revenue recognition including the co</w:t>
      </w:r>
      <w:r w:rsidR="00A566CC" w:rsidRPr="00AF0E8B">
        <w:rPr>
          <w:b/>
          <w:color w:val="E36C0A" w:themeColor="accent6" w:themeShade="BF"/>
          <w:sz w:val="22"/>
        </w:rPr>
        <w:t>ntract-based approach</w:t>
      </w:r>
    </w:p>
    <w:p w14:paraId="3211DCFD" w14:textId="5B0D4A72" w:rsidR="00A566CC" w:rsidRPr="00AF0E8B" w:rsidRDefault="00A566CC" w:rsidP="00AF0E8B">
      <w:pPr>
        <w:pStyle w:val="ListParagraph"/>
        <w:numPr>
          <w:ilvl w:val="0"/>
          <w:numId w:val="72"/>
        </w:numPr>
        <w:spacing w:line="276" w:lineRule="auto"/>
        <w:ind w:left="1080"/>
        <w:rPr>
          <w:sz w:val="22"/>
        </w:rPr>
      </w:pPr>
      <w:r w:rsidRPr="00AF0E8B">
        <w:rPr>
          <w:sz w:val="22"/>
        </w:rPr>
        <w:t>IASB and FASB are currently studying a new model for revenue recognition: the contract-based model, which is felt to be conceptually superior</w:t>
      </w:r>
    </w:p>
    <w:p w14:paraId="0343CC9D" w14:textId="48BC22A3" w:rsidR="00A566CC" w:rsidRPr="00AF0E8B" w:rsidRDefault="00A566CC" w:rsidP="00AF0E8B">
      <w:pPr>
        <w:pStyle w:val="ListParagraph"/>
        <w:numPr>
          <w:ilvl w:val="0"/>
          <w:numId w:val="61"/>
        </w:numPr>
        <w:spacing w:line="276" w:lineRule="auto"/>
        <w:ind w:left="360"/>
        <w:rPr>
          <w:sz w:val="22"/>
        </w:rPr>
      </w:pPr>
      <w:r w:rsidRPr="00AF0E8B">
        <w:rPr>
          <w:b/>
          <w:color w:val="E36C0A" w:themeColor="accent6" w:themeShade="BF"/>
          <w:sz w:val="22"/>
        </w:rPr>
        <w:t>Differences in accounting between ASPE and IFRS</w:t>
      </w:r>
    </w:p>
    <w:p w14:paraId="0F3A4029" w14:textId="4FB02DFB" w:rsidR="00A566CC" w:rsidRPr="00AF0E8B" w:rsidRDefault="002E592D" w:rsidP="00AF0E8B">
      <w:pPr>
        <w:spacing w:line="276" w:lineRule="auto"/>
        <w:ind w:left="360"/>
        <w:rPr>
          <w:sz w:val="22"/>
        </w:rPr>
      </w:pPr>
      <w:r w:rsidRPr="00AF0E8B">
        <w:rPr>
          <w:sz w:val="22"/>
        </w:rPr>
        <w:t>ASPE</w:t>
      </w:r>
    </w:p>
    <w:p w14:paraId="351A5EB6" w14:textId="1FF11A67" w:rsidR="002E592D" w:rsidRPr="00AF0E8B" w:rsidRDefault="002E592D" w:rsidP="00AF0E8B">
      <w:pPr>
        <w:pStyle w:val="ListParagraph"/>
        <w:numPr>
          <w:ilvl w:val="0"/>
          <w:numId w:val="72"/>
        </w:numPr>
        <w:spacing w:line="276" w:lineRule="auto"/>
        <w:ind w:left="1080"/>
        <w:rPr>
          <w:sz w:val="22"/>
        </w:rPr>
      </w:pPr>
      <w:r w:rsidRPr="00AF0E8B">
        <w:rPr>
          <w:sz w:val="22"/>
        </w:rPr>
        <w:t xml:space="preserve">Recognition </w:t>
      </w:r>
      <w:r w:rsidRPr="00AF0E8B">
        <w:rPr>
          <w:sz w:val="22"/>
        </w:rPr>
        <w:sym w:font="Wingdings" w:char="F0E0"/>
      </w:r>
      <w:r w:rsidRPr="00AF0E8B">
        <w:rPr>
          <w:sz w:val="22"/>
        </w:rPr>
        <w:t xml:space="preserve"> the earnings approach requires recognition when performance is achieved, that is, when risks and rewards have passed and services are rendered, measurable, and collectible</w:t>
      </w:r>
    </w:p>
    <w:p w14:paraId="7F8EAEF7" w14:textId="70EBB9AB" w:rsidR="002E592D" w:rsidRPr="00AF0E8B" w:rsidRDefault="002E592D" w:rsidP="00AF0E8B">
      <w:pPr>
        <w:pStyle w:val="ListParagraph"/>
        <w:numPr>
          <w:ilvl w:val="1"/>
          <w:numId w:val="72"/>
        </w:numPr>
        <w:spacing w:line="276" w:lineRule="auto"/>
        <w:ind w:left="1800"/>
        <w:rPr>
          <w:sz w:val="22"/>
        </w:rPr>
      </w:pPr>
      <w:r w:rsidRPr="00AF0E8B">
        <w:rPr>
          <w:sz w:val="22"/>
        </w:rPr>
        <w:t>Percentage-of-completion and completed-contract methods allowed for long-term contract</w:t>
      </w:r>
    </w:p>
    <w:p w14:paraId="1E3ED5B3" w14:textId="3904F86D" w:rsidR="002E592D" w:rsidRPr="00AF0E8B" w:rsidRDefault="002E592D" w:rsidP="00AF0E8B">
      <w:pPr>
        <w:pStyle w:val="ListParagraph"/>
        <w:numPr>
          <w:ilvl w:val="1"/>
          <w:numId w:val="72"/>
        </w:numPr>
        <w:spacing w:line="276" w:lineRule="auto"/>
        <w:ind w:left="1800"/>
        <w:rPr>
          <w:sz w:val="22"/>
        </w:rPr>
      </w:pPr>
      <w:r w:rsidRPr="00AF0E8B">
        <w:rPr>
          <w:sz w:val="22"/>
        </w:rPr>
        <w:t>Warranty costs have historically accrued as costs/obligation when revenues recognized. Most recently, these may have been accounted for as bundled sales (unearned revenues)</w:t>
      </w:r>
    </w:p>
    <w:p w14:paraId="31FC5992" w14:textId="0AC4DDFF" w:rsidR="002E592D" w:rsidRPr="00AF0E8B" w:rsidRDefault="002E592D" w:rsidP="00AF0E8B">
      <w:pPr>
        <w:pStyle w:val="ListParagraph"/>
        <w:numPr>
          <w:ilvl w:val="0"/>
          <w:numId w:val="72"/>
        </w:numPr>
        <w:spacing w:line="276" w:lineRule="auto"/>
        <w:ind w:left="1080"/>
        <w:rPr>
          <w:sz w:val="22"/>
        </w:rPr>
      </w:pPr>
      <w:r w:rsidRPr="00AF0E8B">
        <w:rPr>
          <w:sz w:val="22"/>
        </w:rPr>
        <w:t xml:space="preserve">Measurement </w:t>
      </w:r>
      <w:r w:rsidRPr="00AF0E8B">
        <w:rPr>
          <w:sz w:val="22"/>
        </w:rPr>
        <w:sym w:font="Wingdings" w:char="F0E0"/>
      </w:r>
      <w:r w:rsidRPr="00AF0E8B">
        <w:rPr>
          <w:sz w:val="22"/>
        </w:rPr>
        <w:t xml:space="preserve"> at transaction or consideration price, which is </w:t>
      </w:r>
      <w:r w:rsidR="00321394" w:rsidRPr="00AF0E8B">
        <w:rPr>
          <w:sz w:val="22"/>
        </w:rPr>
        <w:t>generally</w:t>
      </w:r>
      <w:r w:rsidRPr="00AF0E8B">
        <w:rPr>
          <w:sz w:val="22"/>
        </w:rPr>
        <w:t xml:space="preserve"> assumed to be fair value</w:t>
      </w:r>
    </w:p>
    <w:p w14:paraId="1ABB6D4C" w14:textId="67844F0C" w:rsidR="002E592D" w:rsidRPr="00AF0E8B" w:rsidRDefault="002E592D" w:rsidP="00AF0E8B">
      <w:pPr>
        <w:pStyle w:val="ListParagraph"/>
        <w:numPr>
          <w:ilvl w:val="1"/>
          <w:numId w:val="72"/>
        </w:numPr>
        <w:spacing w:line="276" w:lineRule="auto"/>
        <w:ind w:left="1800"/>
        <w:rPr>
          <w:sz w:val="22"/>
        </w:rPr>
      </w:pPr>
      <w:r w:rsidRPr="00AF0E8B">
        <w:rPr>
          <w:sz w:val="22"/>
        </w:rPr>
        <w:t>Where payment is received over time, ASPE notes that the amount should be discounted using a prevailing market rate</w:t>
      </w:r>
    </w:p>
    <w:p w14:paraId="15B1F803" w14:textId="5C3EF123" w:rsidR="002E592D" w:rsidRPr="00AF0E8B" w:rsidRDefault="002E592D" w:rsidP="00AF0E8B">
      <w:pPr>
        <w:pStyle w:val="ListParagraph"/>
        <w:numPr>
          <w:ilvl w:val="1"/>
          <w:numId w:val="72"/>
        </w:numPr>
        <w:spacing w:line="276" w:lineRule="auto"/>
        <w:ind w:left="1800"/>
        <w:rPr>
          <w:sz w:val="22"/>
        </w:rPr>
      </w:pPr>
      <w:r w:rsidRPr="00AF0E8B">
        <w:rPr>
          <w:sz w:val="22"/>
        </w:rPr>
        <w:t>Barter transactions are measured at fair value when transaction has commercial substance</w:t>
      </w:r>
    </w:p>
    <w:p w14:paraId="2A10A962" w14:textId="249DA746" w:rsidR="002E592D" w:rsidRPr="00AF0E8B" w:rsidRDefault="002E592D" w:rsidP="00AF0E8B">
      <w:pPr>
        <w:pStyle w:val="ListParagraph"/>
        <w:numPr>
          <w:ilvl w:val="1"/>
          <w:numId w:val="72"/>
        </w:numPr>
        <w:spacing w:line="276" w:lineRule="auto"/>
        <w:ind w:left="1800"/>
        <w:rPr>
          <w:sz w:val="22"/>
        </w:rPr>
      </w:pPr>
      <w:r w:rsidRPr="00AF0E8B">
        <w:rPr>
          <w:sz w:val="22"/>
        </w:rPr>
        <w:t>Accounting for biological assets is not explicitly discusses</w:t>
      </w:r>
    </w:p>
    <w:p w14:paraId="0EA0770C" w14:textId="21D9DD63" w:rsidR="002E592D" w:rsidRPr="00AF0E8B" w:rsidRDefault="002E592D" w:rsidP="00AF0E8B">
      <w:pPr>
        <w:pStyle w:val="ListParagraph"/>
        <w:numPr>
          <w:ilvl w:val="1"/>
          <w:numId w:val="72"/>
        </w:numPr>
        <w:spacing w:line="276" w:lineRule="auto"/>
        <w:ind w:left="1800"/>
        <w:rPr>
          <w:sz w:val="22"/>
        </w:rPr>
      </w:pPr>
      <w:r w:rsidRPr="00AF0E8B">
        <w:rPr>
          <w:sz w:val="22"/>
        </w:rPr>
        <w:t>Bundled assets are bifurcated using relative fair value or residual value method</w:t>
      </w:r>
    </w:p>
    <w:p w14:paraId="3E4419AB" w14:textId="77777777" w:rsidR="00B4644E" w:rsidRPr="00AF0E8B" w:rsidRDefault="00B4644E" w:rsidP="00AF0E8B">
      <w:pPr>
        <w:pStyle w:val="ListParagraph"/>
        <w:numPr>
          <w:ilvl w:val="0"/>
          <w:numId w:val="72"/>
        </w:numPr>
        <w:spacing w:line="276" w:lineRule="auto"/>
        <w:ind w:left="1080"/>
        <w:rPr>
          <w:sz w:val="22"/>
        </w:rPr>
      </w:pPr>
      <w:r w:rsidRPr="00AF0E8B">
        <w:rPr>
          <w:sz w:val="22"/>
        </w:rPr>
        <w:t>The methods to account for long-term contracts that are allowed under ASPE are:</w:t>
      </w:r>
    </w:p>
    <w:p w14:paraId="67BCFF66" w14:textId="44A53545" w:rsidR="00B4644E" w:rsidRPr="00AF0E8B" w:rsidRDefault="00B4644E" w:rsidP="00AF0E8B">
      <w:pPr>
        <w:pStyle w:val="ListParagraph"/>
        <w:numPr>
          <w:ilvl w:val="1"/>
          <w:numId w:val="72"/>
        </w:numPr>
        <w:spacing w:line="276" w:lineRule="auto"/>
        <w:ind w:left="1800"/>
        <w:rPr>
          <w:sz w:val="22"/>
        </w:rPr>
      </w:pPr>
      <w:r w:rsidRPr="00AF0E8B">
        <w:rPr>
          <w:sz w:val="22"/>
        </w:rPr>
        <w:t>Percentage-of-completion</w:t>
      </w:r>
    </w:p>
    <w:p w14:paraId="7E976304" w14:textId="4A20FF25" w:rsidR="00B4644E" w:rsidRPr="00AF0E8B" w:rsidRDefault="00B4644E" w:rsidP="00AF0E8B">
      <w:pPr>
        <w:pStyle w:val="ListParagraph"/>
        <w:numPr>
          <w:ilvl w:val="1"/>
          <w:numId w:val="72"/>
        </w:numPr>
        <w:spacing w:line="276" w:lineRule="auto"/>
        <w:ind w:left="1800"/>
        <w:rPr>
          <w:sz w:val="22"/>
        </w:rPr>
      </w:pPr>
      <w:r w:rsidRPr="00AF0E8B">
        <w:rPr>
          <w:sz w:val="22"/>
        </w:rPr>
        <w:t>The completed-contract methods</w:t>
      </w:r>
    </w:p>
    <w:p w14:paraId="0975F1E8" w14:textId="79C2005C" w:rsidR="002E592D" w:rsidRPr="00AF0E8B" w:rsidRDefault="002E592D" w:rsidP="00AF0E8B">
      <w:pPr>
        <w:spacing w:line="276" w:lineRule="auto"/>
        <w:ind w:firstLine="720"/>
        <w:rPr>
          <w:sz w:val="22"/>
        </w:rPr>
      </w:pPr>
      <w:r w:rsidRPr="00AF0E8B">
        <w:rPr>
          <w:sz w:val="22"/>
        </w:rPr>
        <w:t>IFRS</w:t>
      </w:r>
    </w:p>
    <w:p w14:paraId="2294B984" w14:textId="2321AA0A" w:rsidR="002E592D" w:rsidRPr="00AF0E8B" w:rsidRDefault="002E592D" w:rsidP="00AF0E8B">
      <w:pPr>
        <w:pStyle w:val="ListParagraph"/>
        <w:numPr>
          <w:ilvl w:val="0"/>
          <w:numId w:val="73"/>
        </w:numPr>
        <w:spacing w:line="276" w:lineRule="auto"/>
        <w:ind w:left="1080"/>
        <w:rPr>
          <w:sz w:val="22"/>
        </w:rPr>
      </w:pPr>
      <w:r w:rsidRPr="00AF0E8B">
        <w:rPr>
          <w:sz w:val="22"/>
        </w:rPr>
        <w:t xml:space="preserve">Recognition </w:t>
      </w:r>
      <w:r w:rsidRPr="00AF0E8B">
        <w:rPr>
          <w:sz w:val="22"/>
        </w:rPr>
        <w:sym w:font="Wingdings" w:char="F0E0"/>
      </w:r>
      <w:r w:rsidRPr="00AF0E8B">
        <w:rPr>
          <w:sz w:val="22"/>
        </w:rPr>
        <w:t xml:space="preserve"> earnings approach requires recognition when risks </w:t>
      </w:r>
      <w:r w:rsidR="00B366FC" w:rsidRPr="00AF0E8B">
        <w:rPr>
          <w:sz w:val="22"/>
        </w:rPr>
        <w:t>and rewards passed and services are rendered, there is no continuing involvement, and services are measurable and collectible</w:t>
      </w:r>
    </w:p>
    <w:p w14:paraId="19350C32" w14:textId="204D9360" w:rsidR="00B366FC" w:rsidRPr="00AF0E8B" w:rsidRDefault="00B366FC" w:rsidP="00AF0E8B">
      <w:pPr>
        <w:pStyle w:val="ListParagraph"/>
        <w:numPr>
          <w:ilvl w:val="1"/>
          <w:numId w:val="73"/>
        </w:numPr>
        <w:spacing w:line="276" w:lineRule="auto"/>
        <w:ind w:left="1800"/>
        <w:rPr>
          <w:sz w:val="22"/>
        </w:rPr>
      </w:pPr>
      <w:r w:rsidRPr="00AF0E8B">
        <w:rPr>
          <w:sz w:val="22"/>
        </w:rPr>
        <w:t>More detailed guidance is given regarding construction accounting, including percentage-of-completion method</w:t>
      </w:r>
    </w:p>
    <w:p w14:paraId="0554C671" w14:textId="5E271EC5" w:rsidR="00B366FC" w:rsidRPr="00AF0E8B" w:rsidRDefault="00B366FC" w:rsidP="00AF0E8B">
      <w:pPr>
        <w:pStyle w:val="ListParagraph"/>
        <w:numPr>
          <w:ilvl w:val="1"/>
          <w:numId w:val="73"/>
        </w:numPr>
        <w:spacing w:line="276" w:lineRule="auto"/>
        <w:ind w:left="1800"/>
        <w:rPr>
          <w:sz w:val="22"/>
        </w:rPr>
      </w:pPr>
      <w:r w:rsidRPr="00AF0E8B">
        <w:rPr>
          <w:sz w:val="22"/>
        </w:rPr>
        <w:t>Zero-profit method is used where the outcome is not determinable</w:t>
      </w:r>
    </w:p>
    <w:p w14:paraId="5B1B97CD" w14:textId="73F312E4" w:rsidR="00B366FC" w:rsidRPr="00AF0E8B" w:rsidRDefault="00B366FC" w:rsidP="00AF0E8B">
      <w:pPr>
        <w:pStyle w:val="ListParagraph"/>
        <w:numPr>
          <w:ilvl w:val="1"/>
          <w:numId w:val="73"/>
        </w:numPr>
        <w:spacing w:line="276" w:lineRule="auto"/>
        <w:ind w:left="1800"/>
        <w:rPr>
          <w:sz w:val="22"/>
        </w:rPr>
      </w:pPr>
      <w:r w:rsidRPr="00AF0E8B">
        <w:rPr>
          <w:sz w:val="22"/>
        </w:rPr>
        <w:t>Clear direction is given regarding whether to account for long-term real estate contracts as sale of service or goods</w:t>
      </w:r>
    </w:p>
    <w:p w14:paraId="4F289CD4" w14:textId="456702A1" w:rsidR="00B366FC" w:rsidRPr="00AF0E8B" w:rsidRDefault="00B366FC" w:rsidP="00AF0E8B">
      <w:pPr>
        <w:pStyle w:val="ListParagraph"/>
        <w:numPr>
          <w:ilvl w:val="1"/>
          <w:numId w:val="73"/>
        </w:numPr>
        <w:spacing w:line="276" w:lineRule="auto"/>
        <w:ind w:left="1800"/>
        <w:rPr>
          <w:sz w:val="22"/>
        </w:rPr>
      </w:pPr>
      <w:r w:rsidRPr="00AF0E8B">
        <w:rPr>
          <w:sz w:val="22"/>
        </w:rPr>
        <w:t>Warranty costs have historically been recognized as costs/obligations when revenues recognized</w:t>
      </w:r>
    </w:p>
    <w:p w14:paraId="2976960C" w14:textId="3722D623" w:rsidR="00B366FC" w:rsidRPr="00AF0E8B" w:rsidRDefault="00B366FC" w:rsidP="00AF0E8B">
      <w:pPr>
        <w:pStyle w:val="ListParagraph"/>
        <w:numPr>
          <w:ilvl w:val="1"/>
          <w:numId w:val="73"/>
        </w:numPr>
        <w:spacing w:line="276" w:lineRule="auto"/>
        <w:ind w:left="1800"/>
        <w:rPr>
          <w:sz w:val="22"/>
        </w:rPr>
      </w:pPr>
      <w:r w:rsidRPr="00AF0E8B">
        <w:rPr>
          <w:sz w:val="22"/>
        </w:rPr>
        <w:t>Most recently, these may have been accounted for as bundled sales (unearned revenues)</w:t>
      </w:r>
    </w:p>
    <w:p w14:paraId="17807C07" w14:textId="0C19D1DA" w:rsidR="00B366FC" w:rsidRPr="00AF0E8B" w:rsidRDefault="00B366FC" w:rsidP="00AF0E8B">
      <w:pPr>
        <w:pStyle w:val="ListParagraph"/>
        <w:numPr>
          <w:ilvl w:val="0"/>
          <w:numId w:val="73"/>
        </w:numPr>
        <w:spacing w:line="276" w:lineRule="auto"/>
        <w:ind w:left="1080"/>
        <w:rPr>
          <w:sz w:val="22"/>
        </w:rPr>
      </w:pPr>
      <w:r w:rsidRPr="00AF0E8B">
        <w:rPr>
          <w:sz w:val="22"/>
        </w:rPr>
        <w:t xml:space="preserve">Measurement </w:t>
      </w:r>
      <w:r w:rsidRPr="00AF0E8B">
        <w:rPr>
          <w:sz w:val="22"/>
        </w:rPr>
        <w:sym w:font="Wingdings" w:char="F0E0"/>
      </w:r>
      <w:r w:rsidRPr="00AF0E8B">
        <w:rPr>
          <w:sz w:val="22"/>
        </w:rPr>
        <w:t xml:space="preserve"> at fair value, which is assumed to be transaction price unless onerous contract</w:t>
      </w:r>
      <w:r w:rsidR="003A1C3D" w:rsidRPr="00AF0E8B">
        <w:rPr>
          <w:sz w:val="22"/>
        </w:rPr>
        <w:t xml:space="preserve"> (</w:t>
      </w:r>
      <w:r w:rsidR="003A1C3D" w:rsidRPr="00AF0E8B">
        <w:rPr>
          <w:b/>
          <w:sz w:val="22"/>
        </w:rPr>
        <w:t>onerous</w:t>
      </w:r>
      <w:r w:rsidR="003A1C3D" w:rsidRPr="00AF0E8B">
        <w:rPr>
          <w:sz w:val="22"/>
        </w:rPr>
        <w:t xml:space="preserve"> </w:t>
      </w:r>
      <w:r w:rsidR="003A1C3D" w:rsidRPr="00AF0E8B">
        <w:rPr>
          <w:b/>
          <w:sz w:val="22"/>
        </w:rPr>
        <w:t>contracts</w:t>
      </w:r>
      <w:r w:rsidR="003A1C3D" w:rsidRPr="00AF0E8B">
        <w:rPr>
          <w:sz w:val="22"/>
        </w:rPr>
        <w:t xml:space="preserve"> are contracts that are no longer profitable to the company and they should be re-measure and a loss should be recognized right away)</w:t>
      </w:r>
    </w:p>
    <w:p w14:paraId="111EBF4D" w14:textId="4D254A14" w:rsidR="00B366FC" w:rsidRPr="00AF0E8B" w:rsidRDefault="00B366FC" w:rsidP="00AF0E8B">
      <w:pPr>
        <w:pStyle w:val="ListParagraph"/>
        <w:numPr>
          <w:ilvl w:val="1"/>
          <w:numId w:val="73"/>
        </w:numPr>
        <w:spacing w:line="276" w:lineRule="auto"/>
        <w:ind w:left="1800"/>
        <w:rPr>
          <w:sz w:val="22"/>
        </w:rPr>
      </w:pPr>
      <w:r w:rsidRPr="00AF0E8B">
        <w:rPr>
          <w:sz w:val="22"/>
        </w:rPr>
        <w:t>Where payment is received over time, IAS 18 provides specific guidance as to how to calculate the discount rate</w:t>
      </w:r>
    </w:p>
    <w:p w14:paraId="6884E3D5" w14:textId="19042E8B" w:rsidR="00B366FC" w:rsidRPr="00AF0E8B" w:rsidRDefault="00B366FC" w:rsidP="00AF0E8B">
      <w:pPr>
        <w:pStyle w:val="ListParagraph"/>
        <w:numPr>
          <w:ilvl w:val="1"/>
          <w:numId w:val="73"/>
        </w:numPr>
        <w:spacing w:line="276" w:lineRule="auto"/>
        <w:ind w:left="1800"/>
        <w:rPr>
          <w:sz w:val="22"/>
        </w:rPr>
      </w:pPr>
      <w:r w:rsidRPr="00AF0E8B">
        <w:rPr>
          <w:sz w:val="22"/>
        </w:rPr>
        <w:t>Barter transactions are measured at fair value when products/services exchanged are dissimilar</w:t>
      </w:r>
    </w:p>
    <w:p w14:paraId="4430A3AE" w14:textId="5679B6C8" w:rsidR="00B366FC" w:rsidRPr="00AF0E8B" w:rsidRDefault="00B366FC" w:rsidP="00AF0E8B">
      <w:pPr>
        <w:pStyle w:val="ListParagraph"/>
        <w:numPr>
          <w:ilvl w:val="1"/>
          <w:numId w:val="73"/>
        </w:numPr>
        <w:spacing w:line="276" w:lineRule="auto"/>
        <w:ind w:left="1800"/>
        <w:rPr>
          <w:sz w:val="22"/>
        </w:rPr>
      </w:pPr>
      <w:r w:rsidRPr="00AF0E8B">
        <w:rPr>
          <w:sz w:val="22"/>
        </w:rPr>
        <w:t>Biological assets (living animals or plants) are valued at fair value less costs to sell under IAS 41 (even before they are sold)</w:t>
      </w:r>
    </w:p>
    <w:p w14:paraId="1665F42B" w14:textId="073DAD00" w:rsidR="00B366FC" w:rsidRPr="00AF0E8B" w:rsidRDefault="00B366FC" w:rsidP="00AF0E8B">
      <w:pPr>
        <w:pStyle w:val="ListParagraph"/>
        <w:numPr>
          <w:ilvl w:val="1"/>
          <w:numId w:val="73"/>
        </w:numPr>
        <w:spacing w:line="276" w:lineRule="auto"/>
        <w:ind w:left="1800"/>
        <w:rPr>
          <w:sz w:val="22"/>
        </w:rPr>
      </w:pPr>
      <w:r w:rsidRPr="00AF0E8B">
        <w:rPr>
          <w:sz w:val="22"/>
        </w:rPr>
        <w:t>Bundled sales are bifurcated using relative fair value or residual value method</w:t>
      </w:r>
    </w:p>
    <w:p w14:paraId="6979F876" w14:textId="02A7A977" w:rsidR="00B366FC" w:rsidRPr="00AF0E8B" w:rsidRDefault="00D67090" w:rsidP="00AF0E8B">
      <w:pPr>
        <w:pStyle w:val="ListParagraph"/>
        <w:numPr>
          <w:ilvl w:val="0"/>
          <w:numId w:val="73"/>
        </w:numPr>
        <w:spacing w:line="276" w:lineRule="auto"/>
        <w:ind w:left="1080"/>
        <w:rPr>
          <w:sz w:val="22"/>
        </w:rPr>
      </w:pPr>
      <w:r w:rsidRPr="00AF0E8B">
        <w:rPr>
          <w:sz w:val="22"/>
        </w:rPr>
        <w:t xml:space="preserve">Methods to account for long-term construction projects are percentage-of-completion and zero-profit method (when outcome is undeterminable). Completed-contract is not mentioned under IFRS but it is acceptable if there is one significant event  </w:t>
      </w:r>
    </w:p>
    <w:p w14:paraId="4D14B7D2" w14:textId="6514AAD4" w:rsidR="00B366FC" w:rsidRPr="00AF0E8B" w:rsidRDefault="00B366FC" w:rsidP="00AF0E8B">
      <w:pPr>
        <w:spacing w:line="276" w:lineRule="auto"/>
        <w:rPr>
          <w:b/>
          <w:color w:val="660066"/>
          <w:u w:val="single"/>
        </w:rPr>
      </w:pPr>
      <w:r w:rsidRPr="00AF0E8B">
        <w:rPr>
          <w:b/>
          <w:color w:val="660066"/>
          <w:u w:val="single"/>
        </w:rPr>
        <w:t>Chapter 7</w:t>
      </w:r>
    </w:p>
    <w:p w14:paraId="0A8FE36E" w14:textId="39557680" w:rsidR="00B366FC" w:rsidRPr="00AF0E8B" w:rsidRDefault="008C6AF6" w:rsidP="00AF0E8B">
      <w:pPr>
        <w:pStyle w:val="ListParagraph"/>
        <w:numPr>
          <w:ilvl w:val="0"/>
          <w:numId w:val="74"/>
        </w:numPr>
        <w:spacing w:line="276" w:lineRule="auto"/>
        <w:ind w:left="360"/>
        <w:rPr>
          <w:b/>
          <w:color w:val="E36C0A" w:themeColor="accent6" w:themeShade="BF"/>
          <w:sz w:val="22"/>
        </w:rPr>
      </w:pPr>
      <w:r w:rsidRPr="00AF0E8B">
        <w:rPr>
          <w:b/>
          <w:color w:val="E36C0A" w:themeColor="accent6" w:themeShade="BF"/>
          <w:sz w:val="22"/>
        </w:rPr>
        <w:t>Understanding cash and accounts receivable form a business perspective</w:t>
      </w:r>
    </w:p>
    <w:p w14:paraId="1EAFEF08" w14:textId="0ED6542E" w:rsidR="008C6AF6" w:rsidRPr="00AF0E8B" w:rsidRDefault="008C6AF6" w:rsidP="00AF0E8B">
      <w:pPr>
        <w:pStyle w:val="ListParagraph"/>
        <w:numPr>
          <w:ilvl w:val="0"/>
          <w:numId w:val="75"/>
        </w:numPr>
        <w:spacing w:line="276" w:lineRule="auto"/>
        <w:ind w:left="1080"/>
        <w:rPr>
          <w:sz w:val="22"/>
        </w:rPr>
      </w:pPr>
      <w:r w:rsidRPr="00AF0E8B">
        <w:rPr>
          <w:sz w:val="22"/>
        </w:rPr>
        <w:t>Companies often have a significant</w:t>
      </w:r>
      <w:r w:rsidR="0016664E" w:rsidRPr="00AF0E8B">
        <w:rPr>
          <w:sz w:val="22"/>
        </w:rPr>
        <w:t xml:space="preserve"> amount of accounts receivable, which requires time and effort to manage and control</w:t>
      </w:r>
    </w:p>
    <w:p w14:paraId="3C867F81" w14:textId="6F51A5F4" w:rsidR="0016664E" w:rsidRPr="00AF0E8B" w:rsidRDefault="0016664E" w:rsidP="00AF0E8B">
      <w:pPr>
        <w:pStyle w:val="ListParagraph"/>
        <w:numPr>
          <w:ilvl w:val="0"/>
          <w:numId w:val="75"/>
        </w:numPr>
        <w:spacing w:line="276" w:lineRule="auto"/>
        <w:ind w:left="1080"/>
        <w:rPr>
          <w:sz w:val="22"/>
        </w:rPr>
      </w:pPr>
      <w:r w:rsidRPr="00AF0E8B">
        <w:rPr>
          <w:sz w:val="22"/>
        </w:rPr>
        <w:t>Companies strive to ensure that their collection policy is restrictive enough to minimize large losses in the form of uncollectible accounts receivable, while not being so restrictive that it interferes with the ability to attract new customers</w:t>
      </w:r>
    </w:p>
    <w:p w14:paraId="0FC0B7A3" w14:textId="76C62955" w:rsidR="0016664E" w:rsidRPr="00AF0E8B" w:rsidRDefault="0016664E" w:rsidP="00AF0E8B">
      <w:pPr>
        <w:pStyle w:val="ListParagraph"/>
        <w:numPr>
          <w:ilvl w:val="0"/>
          <w:numId w:val="75"/>
        </w:numPr>
        <w:spacing w:line="276" w:lineRule="auto"/>
        <w:ind w:left="1080"/>
        <w:rPr>
          <w:sz w:val="22"/>
        </w:rPr>
      </w:pPr>
      <w:r w:rsidRPr="00AF0E8B">
        <w:rPr>
          <w:sz w:val="22"/>
        </w:rPr>
        <w:t>Typical accounts receivable related categories include trade receivables, loans receivable, and nontrade receivables (including items like interest receivable, amounts due from officers and advances to employees</w:t>
      </w:r>
    </w:p>
    <w:p w14:paraId="411BB876" w14:textId="6FB2492F" w:rsidR="0016664E" w:rsidRPr="00AF0E8B" w:rsidRDefault="0016664E" w:rsidP="00AF0E8B">
      <w:pPr>
        <w:pStyle w:val="ListParagraph"/>
        <w:numPr>
          <w:ilvl w:val="0"/>
          <w:numId w:val="74"/>
        </w:numPr>
        <w:spacing w:line="276" w:lineRule="auto"/>
        <w:ind w:left="360"/>
        <w:rPr>
          <w:sz w:val="22"/>
        </w:rPr>
      </w:pPr>
      <w:r w:rsidRPr="00AF0E8B">
        <w:rPr>
          <w:b/>
          <w:color w:val="E36C0A" w:themeColor="accent6" w:themeShade="BF"/>
          <w:sz w:val="22"/>
        </w:rPr>
        <w:t>Financial assets and items that are considered cash and cash equivalents and how they are reported</w:t>
      </w:r>
    </w:p>
    <w:p w14:paraId="238991FC" w14:textId="73E09FDF" w:rsidR="0016664E" w:rsidRPr="00AF0E8B" w:rsidRDefault="0016664E" w:rsidP="00AF0E8B">
      <w:pPr>
        <w:pStyle w:val="ListParagraph"/>
        <w:numPr>
          <w:ilvl w:val="0"/>
          <w:numId w:val="76"/>
        </w:numPr>
        <w:spacing w:line="276" w:lineRule="auto"/>
        <w:ind w:left="1080"/>
        <w:rPr>
          <w:sz w:val="22"/>
        </w:rPr>
      </w:pPr>
      <w:r w:rsidRPr="00AF0E8B">
        <w:rPr>
          <w:sz w:val="22"/>
        </w:rPr>
        <w:t>Financial assets are a major type of asset defined as cash, a contractual right to receive cash or another financial asset, an equity holding in another company, or a contractual right to exchange financial instruments under potentially favorable conditions</w:t>
      </w:r>
    </w:p>
    <w:p w14:paraId="65B5383A" w14:textId="2B37B513" w:rsidR="0016664E" w:rsidRPr="00AF0E8B" w:rsidRDefault="0016664E" w:rsidP="00AF0E8B">
      <w:pPr>
        <w:pStyle w:val="ListParagraph"/>
        <w:numPr>
          <w:ilvl w:val="0"/>
          <w:numId w:val="76"/>
        </w:numPr>
        <w:spacing w:line="276" w:lineRule="auto"/>
        <w:ind w:left="1080"/>
        <w:rPr>
          <w:sz w:val="22"/>
        </w:rPr>
      </w:pPr>
      <w:r w:rsidRPr="00AF0E8B">
        <w:rPr>
          <w:sz w:val="22"/>
        </w:rPr>
        <w:t>To be reported as cash, an asset must be readily available to pay current obligations and not have any contractual restrictions that would limit how it can be used in satisfying debts</w:t>
      </w:r>
    </w:p>
    <w:p w14:paraId="02392B5B" w14:textId="66B08814" w:rsidR="0016664E" w:rsidRPr="00AF0E8B" w:rsidRDefault="0016664E" w:rsidP="00AF0E8B">
      <w:pPr>
        <w:pStyle w:val="ListParagraph"/>
        <w:numPr>
          <w:ilvl w:val="0"/>
          <w:numId w:val="76"/>
        </w:numPr>
        <w:spacing w:line="276" w:lineRule="auto"/>
        <w:ind w:left="1080"/>
        <w:rPr>
          <w:sz w:val="22"/>
        </w:rPr>
      </w:pPr>
      <w:r w:rsidRPr="00AF0E8B">
        <w:rPr>
          <w:sz w:val="22"/>
        </w:rPr>
        <w:t>Cash consists of coins, currency, and available funds on deposit at a bank</w:t>
      </w:r>
    </w:p>
    <w:p w14:paraId="132A68F4" w14:textId="1FA689AC" w:rsidR="0016664E" w:rsidRPr="00AF0E8B" w:rsidRDefault="0016664E" w:rsidP="00AF0E8B">
      <w:pPr>
        <w:pStyle w:val="ListParagraph"/>
        <w:numPr>
          <w:ilvl w:val="0"/>
          <w:numId w:val="76"/>
        </w:numPr>
        <w:spacing w:line="276" w:lineRule="auto"/>
        <w:ind w:left="1080"/>
        <w:rPr>
          <w:sz w:val="22"/>
        </w:rPr>
      </w:pPr>
      <w:r w:rsidRPr="00AF0E8B">
        <w:rPr>
          <w:sz w:val="22"/>
        </w:rPr>
        <w:t>Negotiable instruments such as money orders, certified cheques, cashier’s cheque, personal cheques, and bank drafts are also viewed as cash</w:t>
      </w:r>
    </w:p>
    <w:p w14:paraId="1A520924" w14:textId="6A8CE884" w:rsidR="0016664E" w:rsidRPr="00AF0E8B" w:rsidRDefault="0016664E" w:rsidP="00AF0E8B">
      <w:pPr>
        <w:pStyle w:val="ListParagraph"/>
        <w:numPr>
          <w:ilvl w:val="0"/>
          <w:numId w:val="76"/>
        </w:numPr>
        <w:spacing w:line="276" w:lineRule="auto"/>
        <w:ind w:left="1080"/>
        <w:rPr>
          <w:sz w:val="22"/>
        </w:rPr>
      </w:pPr>
      <w:r w:rsidRPr="00AF0E8B">
        <w:rPr>
          <w:sz w:val="22"/>
        </w:rPr>
        <w:t xml:space="preserve">Savings accounts are usually classified cash </w:t>
      </w:r>
    </w:p>
    <w:p w14:paraId="44E04391" w14:textId="468479F3" w:rsidR="0016664E" w:rsidRPr="00AF0E8B" w:rsidRDefault="0016664E" w:rsidP="00AF0E8B">
      <w:pPr>
        <w:pStyle w:val="ListParagraph"/>
        <w:numPr>
          <w:ilvl w:val="0"/>
          <w:numId w:val="76"/>
        </w:numPr>
        <w:spacing w:line="276" w:lineRule="auto"/>
        <w:ind w:left="1080"/>
        <w:rPr>
          <w:sz w:val="22"/>
        </w:rPr>
      </w:pPr>
      <w:r w:rsidRPr="00AF0E8B">
        <w:rPr>
          <w:sz w:val="22"/>
        </w:rPr>
        <w:t>Cash equivalents include highly liquid short-term investments (that is, those maturing three months or less from the date of purchase) that can be exchanged for known amounts of cash and have an insignificant chance of changing value</w:t>
      </w:r>
    </w:p>
    <w:p w14:paraId="59810AB4" w14:textId="5DE83DAF" w:rsidR="0016664E" w:rsidRPr="00AF0E8B" w:rsidRDefault="0016664E" w:rsidP="00AF0E8B">
      <w:pPr>
        <w:pStyle w:val="ListParagraph"/>
        <w:numPr>
          <w:ilvl w:val="1"/>
          <w:numId w:val="76"/>
        </w:numPr>
        <w:spacing w:line="276" w:lineRule="auto"/>
        <w:ind w:left="1800"/>
        <w:rPr>
          <w:sz w:val="22"/>
        </w:rPr>
      </w:pPr>
      <w:r w:rsidRPr="00AF0E8B">
        <w:rPr>
          <w:sz w:val="22"/>
        </w:rPr>
        <w:t>Examples include treasury bills, commercial paper, and money-market funds</w:t>
      </w:r>
    </w:p>
    <w:p w14:paraId="0C596E46" w14:textId="3C8609CE" w:rsidR="0016664E" w:rsidRPr="00AF0E8B" w:rsidRDefault="0016664E" w:rsidP="00AF0E8B">
      <w:pPr>
        <w:pStyle w:val="ListParagraph"/>
        <w:numPr>
          <w:ilvl w:val="0"/>
          <w:numId w:val="76"/>
        </w:numPr>
        <w:spacing w:line="276" w:lineRule="auto"/>
        <w:ind w:left="1080"/>
        <w:rPr>
          <w:sz w:val="22"/>
        </w:rPr>
      </w:pPr>
      <w:r w:rsidRPr="00AF0E8B">
        <w:rPr>
          <w:sz w:val="22"/>
        </w:rPr>
        <w:t xml:space="preserve">In certain circumstances, temporary bank overdrafts may be deducted in determining the balance of cash and cash </w:t>
      </w:r>
      <w:r w:rsidR="00996AD7" w:rsidRPr="00AF0E8B">
        <w:rPr>
          <w:sz w:val="22"/>
        </w:rPr>
        <w:t>equivalents</w:t>
      </w:r>
    </w:p>
    <w:p w14:paraId="7D33052A" w14:textId="57ED4F4A" w:rsidR="00996AD7" w:rsidRPr="00AF0E8B" w:rsidRDefault="00996AD7" w:rsidP="00AF0E8B">
      <w:pPr>
        <w:pStyle w:val="ListParagraph"/>
        <w:numPr>
          <w:ilvl w:val="0"/>
          <w:numId w:val="76"/>
        </w:numPr>
        <w:spacing w:line="276" w:lineRule="auto"/>
        <w:ind w:left="1080"/>
        <w:rPr>
          <w:sz w:val="22"/>
        </w:rPr>
      </w:pPr>
      <w:r w:rsidRPr="00AF0E8B">
        <w:rPr>
          <w:sz w:val="22"/>
        </w:rPr>
        <w:t xml:space="preserve">Cash is reported as a current asset on the SFP, with foreign currency balances reported </w:t>
      </w:r>
      <w:r w:rsidR="000B0A01" w:rsidRPr="00AF0E8B">
        <w:rPr>
          <w:sz w:val="22"/>
        </w:rPr>
        <w:t>at their Canadian dollar equivalent at the date of the SFP</w:t>
      </w:r>
    </w:p>
    <w:p w14:paraId="78BF24A2" w14:textId="2B062F65" w:rsidR="000B0A01" w:rsidRPr="00AF0E8B" w:rsidRDefault="000B0A01" w:rsidP="00AF0E8B">
      <w:pPr>
        <w:pStyle w:val="ListParagraph"/>
        <w:numPr>
          <w:ilvl w:val="0"/>
          <w:numId w:val="76"/>
        </w:numPr>
        <w:spacing w:line="276" w:lineRule="auto"/>
        <w:ind w:left="1080"/>
        <w:rPr>
          <w:sz w:val="22"/>
        </w:rPr>
      </w:pPr>
      <w:r w:rsidRPr="00AF0E8B">
        <w:rPr>
          <w:sz w:val="22"/>
        </w:rPr>
        <w:t xml:space="preserve">The reporting of other related items is as follows: </w:t>
      </w:r>
    </w:p>
    <w:p w14:paraId="1772D29B" w14:textId="3B0F767F" w:rsidR="000B0A01" w:rsidRPr="00AF0E8B" w:rsidRDefault="000B0A01" w:rsidP="00AF0E8B">
      <w:pPr>
        <w:pStyle w:val="ListParagraph"/>
        <w:numPr>
          <w:ilvl w:val="0"/>
          <w:numId w:val="77"/>
        </w:numPr>
        <w:spacing w:line="276" w:lineRule="auto"/>
        <w:ind w:left="1800"/>
        <w:rPr>
          <w:sz w:val="22"/>
        </w:rPr>
      </w:pPr>
      <w:r w:rsidRPr="00AF0E8B">
        <w:rPr>
          <w:sz w:val="22"/>
        </w:rPr>
        <w:t xml:space="preserve">Restricted cash: legally restricted deposits that are help as compensating balances against short-term borrowing are stated </w:t>
      </w:r>
      <w:r w:rsidR="009D4A1D" w:rsidRPr="00AF0E8B">
        <w:rPr>
          <w:sz w:val="22"/>
        </w:rPr>
        <w:t>separately</w:t>
      </w:r>
      <w:r w:rsidRPr="00AF0E8B">
        <w:rPr>
          <w:sz w:val="22"/>
        </w:rPr>
        <w:t xml:space="preserve"> in Current Assets. </w:t>
      </w:r>
      <w:r w:rsidR="009D4A1D" w:rsidRPr="00AF0E8B">
        <w:rPr>
          <w:sz w:val="22"/>
        </w:rPr>
        <w:t>Restricted</w:t>
      </w:r>
      <w:r w:rsidRPr="00AF0E8B">
        <w:rPr>
          <w:sz w:val="22"/>
        </w:rPr>
        <w:t xml:space="preserve"> deposits held against long-term borrowing </w:t>
      </w:r>
      <w:r w:rsidR="009D4A1D" w:rsidRPr="00AF0E8B">
        <w:rPr>
          <w:sz w:val="22"/>
        </w:rPr>
        <w:t>arrangements</w:t>
      </w:r>
      <w:r w:rsidRPr="00AF0E8B">
        <w:rPr>
          <w:sz w:val="22"/>
        </w:rPr>
        <w:t xml:space="preserve"> are </w:t>
      </w:r>
      <w:r w:rsidR="0099095C" w:rsidRPr="00AF0E8B">
        <w:rPr>
          <w:sz w:val="22"/>
        </w:rPr>
        <w:t xml:space="preserve">separately classified in non-current asset wither in Investments or Other Assets </w:t>
      </w:r>
    </w:p>
    <w:p w14:paraId="71BD21BE" w14:textId="1AAD78A7" w:rsidR="006D6845" w:rsidRPr="00AF0E8B" w:rsidRDefault="006D6845" w:rsidP="00AF0E8B">
      <w:pPr>
        <w:pStyle w:val="ListParagraph"/>
        <w:numPr>
          <w:ilvl w:val="0"/>
          <w:numId w:val="77"/>
        </w:numPr>
        <w:spacing w:line="276" w:lineRule="auto"/>
        <w:ind w:left="1800"/>
        <w:rPr>
          <w:sz w:val="22"/>
        </w:rPr>
      </w:pPr>
      <w:r w:rsidRPr="00AF0E8B">
        <w:rPr>
          <w:sz w:val="22"/>
        </w:rPr>
        <w:t xml:space="preserve">Bank overdrafts: these are reported in the Current Liabilities </w:t>
      </w:r>
      <w:r w:rsidR="004B6CFB" w:rsidRPr="00AF0E8B">
        <w:rPr>
          <w:sz w:val="22"/>
        </w:rPr>
        <w:t>s</w:t>
      </w:r>
      <w:r w:rsidRPr="00AF0E8B">
        <w:rPr>
          <w:sz w:val="22"/>
        </w:rPr>
        <w:t xml:space="preserve">ection and may be added to the amount reported as </w:t>
      </w:r>
      <w:r w:rsidR="004B6CFB" w:rsidRPr="00AF0E8B">
        <w:rPr>
          <w:sz w:val="22"/>
        </w:rPr>
        <w:t>accounts</w:t>
      </w:r>
      <w:r w:rsidRPr="00AF0E8B">
        <w:rPr>
          <w:sz w:val="22"/>
        </w:rPr>
        <w:t xml:space="preserve"> payable</w:t>
      </w:r>
    </w:p>
    <w:p w14:paraId="7FC47027" w14:textId="2964D722" w:rsidR="006D6845" w:rsidRPr="00AF0E8B" w:rsidRDefault="006D6845" w:rsidP="00AF0E8B">
      <w:pPr>
        <w:pStyle w:val="ListParagraph"/>
        <w:numPr>
          <w:ilvl w:val="0"/>
          <w:numId w:val="77"/>
        </w:numPr>
        <w:spacing w:line="276" w:lineRule="auto"/>
        <w:ind w:left="1800"/>
        <w:rPr>
          <w:sz w:val="22"/>
        </w:rPr>
      </w:pPr>
      <w:r w:rsidRPr="00AF0E8B">
        <w:rPr>
          <w:sz w:val="22"/>
        </w:rPr>
        <w:t xml:space="preserve">Cash equivalents: </w:t>
      </w:r>
      <w:r w:rsidR="00731715" w:rsidRPr="00AF0E8B">
        <w:rPr>
          <w:sz w:val="22"/>
        </w:rPr>
        <w:t>this</w:t>
      </w:r>
      <w:r w:rsidRPr="00AF0E8B">
        <w:rPr>
          <w:sz w:val="22"/>
        </w:rPr>
        <w:t xml:space="preserve"> item is often reported together with cash as “cash and cash equivalents”</w:t>
      </w:r>
    </w:p>
    <w:p w14:paraId="5AF9F8D0" w14:textId="79CC265D" w:rsidR="000B0A01" w:rsidRPr="00AF0E8B" w:rsidRDefault="00323027" w:rsidP="00AF0E8B">
      <w:pPr>
        <w:pStyle w:val="ListParagraph"/>
        <w:numPr>
          <w:ilvl w:val="0"/>
          <w:numId w:val="74"/>
        </w:numPr>
        <w:spacing w:line="276" w:lineRule="auto"/>
        <w:ind w:left="360"/>
        <w:rPr>
          <w:b/>
          <w:color w:val="E36C0A" w:themeColor="accent6" w:themeShade="BF"/>
          <w:sz w:val="22"/>
        </w:rPr>
      </w:pPr>
      <w:r w:rsidRPr="00AF0E8B">
        <w:rPr>
          <w:b/>
          <w:color w:val="E36C0A" w:themeColor="accent6" w:themeShade="BF"/>
          <w:sz w:val="22"/>
        </w:rPr>
        <w:t>Receivables and the different types of receivables from an accounting perspective</w:t>
      </w:r>
    </w:p>
    <w:p w14:paraId="27E8C1F6" w14:textId="0067A317" w:rsidR="00E66543" w:rsidRPr="00AF0E8B" w:rsidRDefault="00E66543" w:rsidP="00AF0E8B">
      <w:pPr>
        <w:pStyle w:val="ListParagraph"/>
        <w:numPr>
          <w:ilvl w:val="0"/>
          <w:numId w:val="78"/>
        </w:numPr>
        <w:spacing w:line="276" w:lineRule="auto"/>
        <w:ind w:left="1080"/>
        <w:rPr>
          <w:sz w:val="22"/>
        </w:rPr>
      </w:pPr>
      <w:r w:rsidRPr="00AF0E8B">
        <w:rPr>
          <w:sz w:val="22"/>
        </w:rPr>
        <w:t>Receivables are claims held against customers and other for money, goods, or services</w:t>
      </w:r>
    </w:p>
    <w:p w14:paraId="77A7EE23" w14:textId="75531534" w:rsidR="00E66543" w:rsidRPr="00AF0E8B" w:rsidRDefault="00E66543" w:rsidP="00AF0E8B">
      <w:pPr>
        <w:pStyle w:val="ListParagraph"/>
        <w:numPr>
          <w:ilvl w:val="0"/>
          <w:numId w:val="78"/>
        </w:numPr>
        <w:spacing w:line="276" w:lineRule="auto"/>
        <w:ind w:left="1080"/>
        <w:rPr>
          <w:sz w:val="22"/>
        </w:rPr>
      </w:pPr>
      <w:r w:rsidRPr="00AF0E8B">
        <w:rPr>
          <w:sz w:val="22"/>
        </w:rPr>
        <w:t>Most receivables are financial assets</w:t>
      </w:r>
    </w:p>
    <w:p w14:paraId="25958D1B" w14:textId="26EA0CFD" w:rsidR="00E66543" w:rsidRPr="00AF0E8B" w:rsidRDefault="00E66543" w:rsidP="00AF0E8B">
      <w:pPr>
        <w:pStyle w:val="ListParagraph"/>
        <w:numPr>
          <w:ilvl w:val="0"/>
          <w:numId w:val="78"/>
        </w:numPr>
        <w:spacing w:line="276" w:lineRule="auto"/>
        <w:ind w:left="1080"/>
        <w:rPr>
          <w:sz w:val="22"/>
        </w:rPr>
      </w:pPr>
      <w:r w:rsidRPr="00AF0E8B">
        <w:rPr>
          <w:sz w:val="22"/>
        </w:rPr>
        <w:t>The receivables are described in the following ways</w:t>
      </w:r>
    </w:p>
    <w:p w14:paraId="0F616846" w14:textId="274D6D86" w:rsidR="00E66543" w:rsidRPr="00AF0E8B" w:rsidRDefault="00E66543" w:rsidP="00AF0E8B">
      <w:pPr>
        <w:pStyle w:val="ListParagraph"/>
        <w:numPr>
          <w:ilvl w:val="0"/>
          <w:numId w:val="79"/>
        </w:numPr>
        <w:spacing w:line="276" w:lineRule="auto"/>
        <w:ind w:left="1800"/>
        <w:rPr>
          <w:sz w:val="22"/>
        </w:rPr>
      </w:pPr>
      <w:r w:rsidRPr="00AF0E8B">
        <w:rPr>
          <w:sz w:val="22"/>
        </w:rPr>
        <w:t>Current or non-current</w:t>
      </w:r>
    </w:p>
    <w:p w14:paraId="26F0A333" w14:textId="3A296789" w:rsidR="00E66543" w:rsidRPr="00AF0E8B" w:rsidRDefault="00E66543" w:rsidP="00AF0E8B">
      <w:pPr>
        <w:pStyle w:val="ListParagraph"/>
        <w:numPr>
          <w:ilvl w:val="0"/>
          <w:numId w:val="79"/>
        </w:numPr>
        <w:spacing w:line="276" w:lineRule="auto"/>
        <w:ind w:left="1800"/>
        <w:rPr>
          <w:sz w:val="22"/>
        </w:rPr>
      </w:pPr>
      <w:r w:rsidRPr="00AF0E8B">
        <w:rPr>
          <w:sz w:val="22"/>
        </w:rPr>
        <w:t>Trade or non-trade (interest receivable, amounts due from officers, advances to employees)</w:t>
      </w:r>
    </w:p>
    <w:p w14:paraId="066E85E7" w14:textId="52F51C4B" w:rsidR="00E66543" w:rsidRPr="00AF0E8B" w:rsidRDefault="00E66543" w:rsidP="00AF0E8B">
      <w:pPr>
        <w:pStyle w:val="ListParagraph"/>
        <w:numPr>
          <w:ilvl w:val="0"/>
          <w:numId w:val="79"/>
        </w:numPr>
        <w:spacing w:line="276" w:lineRule="auto"/>
        <w:ind w:left="1800"/>
        <w:rPr>
          <w:sz w:val="22"/>
        </w:rPr>
      </w:pPr>
      <w:r w:rsidRPr="00AF0E8B">
        <w:rPr>
          <w:sz w:val="22"/>
        </w:rPr>
        <w:t xml:space="preserve">Accounts receivable or notes or loans receivable </w:t>
      </w:r>
    </w:p>
    <w:p w14:paraId="6175B408" w14:textId="71AD093D" w:rsidR="00E66543" w:rsidRPr="00AF0E8B" w:rsidRDefault="00E66543" w:rsidP="00AF0E8B">
      <w:pPr>
        <w:pStyle w:val="ListParagraph"/>
        <w:numPr>
          <w:ilvl w:val="0"/>
          <w:numId w:val="74"/>
        </w:numPr>
        <w:spacing w:line="276" w:lineRule="auto"/>
        <w:ind w:left="360"/>
        <w:rPr>
          <w:b/>
          <w:color w:val="E36C0A" w:themeColor="accent6" w:themeShade="BF"/>
          <w:sz w:val="22"/>
        </w:rPr>
      </w:pPr>
      <w:r w:rsidRPr="00AF0E8B">
        <w:rPr>
          <w:b/>
          <w:color w:val="E36C0A" w:themeColor="accent6" w:themeShade="BF"/>
          <w:sz w:val="22"/>
        </w:rPr>
        <w:t>Accounting issues related to the recognition and measurement of accounts receivable and how to account for them</w:t>
      </w:r>
    </w:p>
    <w:p w14:paraId="2A9BB0DC" w14:textId="3B3F83B3" w:rsidR="00E66543" w:rsidRPr="00AF0E8B" w:rsidRDefault="00E66543" w:rsidP="00AF0E8B">
      <w:pPr>
        <w:pStyle w:val="ListParagraph"/>
        <w:numPr>
          <w:ilvl w:val="0"/>
          <w:numId w:val="80"/>
        </w:numPr>
        <w:spacing w:line="276" w:lineRule="auto"/>
        <w:ind w:left="1080"/>
        <w:rPr>
          <w:sz w:val="22"/>
        </w:rPr>
      </w:pPr>
      <w:r w:rsidRPr="00AF0E8B">
        <w:rPr>
          <w:sz w:val="22"/>
        </w:rPr>
        <w:t>The entity becomes a party to the contractual provisions of the accounts receivable financial instruments only when it has legal claim to receive cash or othe</w:t>
      </w:r>
      <w:r w:rsidR="00A93771" w:rsidRPr="00AF0E8B">
        <w:rPr>
          <w:sz w:val="22"/>
        </w:rPr>
        <w:t>r financial assets so, timing of A/R is intertwined with the timing of recognition of revenue</w:t>
      </w:r>
    </w:p>
    <w:p w14:paraId="708BB8DA" w14:textId="384A6A9D" w:rsidR="00A93771" w:rsidRPr="00AF0E8B" w:rsidRDefault="00A93771" w:rsidP="00AF0E8B">
      <w:pPr>
        <w:pStyle w:val="ListParagraph"/>
        <w:numPr>
          <w:ilvl w:val="0"/>
          <w:numId w:val="80"/>
        </w:numPr>
        <w:spacing w:line="276" w:lineRule="auto"/>
        <w:ind w:left="1080"/>
        <w:rPr>
          <w:sz w:val="22"/>
        </w:rPr>
      </w:pPr>
      <w:r w:rsidRPr="00AF0E8B">
        <w:rPr>
          <w:sz w:val="22"/>
        </w:rPr>
        <w:t>For most companies when the sale is recognized, either cash is received (realized) or an account receivable is recognized</w:t>
      </w:r>
    </w:p>
    <w:p w14:paraId="1DB80953" w14:textId="5CD1AC97" w:rsidR="00A93771" w:rsidRPr="00AF0E8B" w:rsidRDefault="00A93771" w:rsidP="00AF0E8B">
      <w:pPr>
        <w:pStyle w:val="ListParagraph"/>
        <w:numPr>
          <w:ilvl w:val="0"/>
          <w:numId w:val="80"/>
        </w:numPr>
        <w:spacing w:line="276" w:lineRule="auto"/>
        <w:ind w:left="1080"/>
        <w:rPr>
          <w:sz w:val="22"/>
        </w:rPr>
      </w:pPr>
      <w:r w:rsidRPr="00AF0E8B">
        <w:rPr>
          <w:sz w:val="22"/>
        </w:rPr>
        <w:t>Two issues that may complicate measurement of A/R are:</w:t>
      </w:r>
    </w:p>
    <w:p w14:paraId="4713D35A" w14:textId="2E070C20" w:rsidR="00A93771" w:rsidRPr="00AF0E8B" w:rsidRDefault="00A93771" w:rsidP="00AF0E8B">
      <w:pPr>
        <w:pStyle w:val="ListParagraph"/>
        <w:numPr>
          <w:ilvl w:val="0"/>
          <w:numId w:val="81"/>
        </w:numPr>
        <w:spacing w:line="276" w:lineRule="auto"/>
        <w:ind w:left="1800"/>
        <w:rPr>
          <w:sz w:val="22"/>
        </w:rPr>
      </w:pPr>
      <w:r w:rsidRPr="00AF0E8B">
        <w:rPr>
          <w:sz w:val="22"/>
        </w:rPr>
        <w:t>The availability of discounts (trade and cash discounts)</w:t>
      </w:r>
    </w:p>
    <w:p w14:paraId="38444490" w14:textId="2F1C60B1" w:rsidR="00A93771" w:rsidRPr="00AF0E8B" w:rsidRDefault="00A93771" w:rsidP="00AF0E8B">
      <w:pPr>
        <w:pStyle w:val="ListParagraph"/>
        <w:numPr>
          <w:ilvl w:val="0"/>
          <w:numId w:val="81"/>
        </w:numPr>
        <w:spacing w:line="276" w:lineRule="auto"/>
        <w:ind w:left="1800"/>
        <w:rPr>
          <w:sz w:val="22"/>
        </w:rPr>
      </w:pPr>
      <w:r w:rsidRPr="00AF0E8B">
        <w:rPr>
          <w:sz w:val="22"/>
        </w:rPr>
        <w:t>The length of time between the sale and the payment due dates (the interest element)</w:t>
      </w:r>
    </w:p>
    <w:p w14:paraId="768D8B0D" w14:textId="5E0D8FCF" w:rsidR="00A93771" w:rsidRPr="00AF0E8B" w:rsidRDefault="00A93771" w:rsidP="00AF0E8B">
      <w:pPr>
        <w:pStyle w:val="ListParagraph"/>
        <w:numPr>
          <w:ilvl w:val="0"/>
          <w:numId w:val="82"/>
        </w:numPr>
        <w:spacing w:line="276" w:lineRule="auto"/>
        <w:ind w:left="1080"/>
        <w:rPr>
          <w:sz w:val="22"/>
        </w:rPr>
      </w:pPr>
      <w:r w:rsidRPr="00AF0E8B">
        <w:rPr>
          <w:sz w:val="22"/>
        </w:rPr>
        <w:t>Ideally, receivables should be measured initially at their fair value, which is their present value (discounted value of the cash to be received in the future</w:t>
      </w:r>
    </w:p>
    <w:p w14:paraId="24474ACE" w14:textId="7A354DBA" w:rsidR="00A93771" w:rsidRPr="00AF0E8B" w:rsidRDefault="00A93771" w:rsidP="00AF0E8B">
      <w:pPr>
        <w:pStyle w:val="ListParagraph"/>
        <w:numPr>
          <w:ilvl w:val="0"/>
          <w:numId w:val="82"/>
        </w:numPr>
        <w:spacing w:line="276" w:lineRule="auto"/>
        <w:ind w:left="1080"/>
        <w:rPr>
          <w:sz w:val="22"/>
        </w:rPr>
      </w:pPr>
      <w:r w:rsidRPr="00AF0E8B">
        <w:rPr>
          <w:sz w:val="22"/>
        </w:rPr>
        <w:t>Receivables that are created by normal business transactions and are due in short term are excluded from present value requirements</w:t>
      </w:r>
    </w:p>
    <w:p w14:paraId="05B13470" w14:textId="49EE0717" w:rsidR="00A93771" w:rsidRPr="00AF0E8B" w:rsidRDefault="00A93771" w:rsidP="00AF0E8B">
      <w:pPr>
        <w:pStyle w:val="ListParagraph"/>
        <w:numPr>
          <w:ilvl w:val="0"/>
          <w:numId w:val="74"/>
        </w:numPr>
        <w:spacing w:line="276" w:lineRule="auto"/>
        <w:ind w:left="360"/>
        <w:rPr>
          <w:sz w:val="22"/>
        </w:rPr>
      </w:pPr>
      <w:r w:rsidRPr="00AF0E8B">
        <w:rPr>
          <w:b/>
          <w:color w:val="E36C0A" w:themeColor="accent6" w:themeShade="BF"/>
          <w:sz w:val="22"/>
        </w:rPr>
        <w:t>Accounting issues related to the impairment in value of accounts receivable and how to account for them</w:t>
      </w:r>
    </w:p>
    <w:p w14:paraId="4B92D4F2" w14:textId="4227250B" w:rsidR="00A93771" w:rsidRPr="00AF0E8B" w:rsidRDefault="00A93771" w:rsidP="00AF0E8B">
      <w:pPr>
        <w:pStyle w:val="ListParagraph"/>
        <w:numPr>
          <w:ilvl w:val="0"/>
          <w:numId w:val="83"/>
        </w:numPr>
        <w:spacing w:line="276" w:lineRule="auto"/>
        <w:ind w:left="1080"/>
        <w:rPr>
          <w:sz w:val="22"/>
        </w:rPr>
      </w:pPr>
      <w:r w:rsidRPr="00AF0E8B">
        <w:rPr>
          <w:sz w:val="22"/>
        </w:rPr>
        <w:t>Short-term receivables are reported at their net realizable value – the amount that is expected to be received in cash, which is not necessarily the amount that is legally received</w:t>
      </w:r>
    </w:p>
    <w:p w14:paraId="5744C32D" w14:textId="561628C5" w:rsidR="00A93771" w:rsidRPr="00AF0E8B" w:rsidRDefault="00A93771" w:rsidP="00AF0E8B">
      <w:pPr>
        <w:pStyle w:val="ListParagraph"/>
        <w:numPr>
          <w:ilvl w:val="0"/>
          <w:numId w:val="83"/>
        </w:numPr>
        <w:spacing w:line="276" w:lineRule="auto"/>
        <w:ind w:left="1080"/>
        <w:rPr>
          <w:sz w:val="22"/>
        </w:rPr>
      </w:pPr>
      <w:r w:rsidRPr="00AF0E8B">
        <w:rPr>
          <w:sz w:val="22"/>
        </w:rPr>
        <w:t>Determining net realizable value requires estimating uncollectible receivables and any future returns or allowances and discounts that are expected to be taken</w:t>
      </w:r>
    </w:p>
    <w:p w14:paraId="2E56E183" w14:textId="2AB6C564" w:rsidR="00A93771" w:rsidRPr="00AF0E8B" w:rsidRDefault="00A93771" w:rsidP="00AF0E8B">
      <w:pPr>
        <w:pStyle w:val="ListParagraph"/>
        <w:numPr>
          <w:ilvl w:val="0"/>
          <w:numId w:val="83"/>
        </w:numPr>
        <w:spacing w:line="276" w:lineRule="auto"/>
        <w:ind w:left="1080"/>
        <w:rPr>
          <w:sz w:val="22"/>
        </w:rPr>
      </w:pPr>
      <w:r w:rsidRPr="00AF0E8B">
        <w:rPr>
          <w:sz w:val="22"/>
        </w:rPr>
        <w:t>The adjustments to the asset account also affect the income statement amounts of bad debt expense, sales returns and allowances, and sales discounts</w:t>
      </w:r>
    </w:p>
    <w:p w14:paraId="049CCE63" w14:textId="7D7C2465" w:rsidR="00A93771" w:rsidRPr="00AF0E8B" w:rsidRDefault="00A93771" w:rsidP="00AF0E8B">
      <w:pPr>
        <w:pStyle w:val="ListParagraph"/>
        <w:numPr>
          <w:ilvl w:val="0"/>
          <w:numId w:val="83"/>
        </w:numPr>
        <w:spacing w:line="276" w:lineRule="auto"/>
        <w:ind w:left="1080"/>
        <w:rPr>
          <w:sz w:val="22"/>
        </w:rPr>
      </w:pPr>
      <w:r w:rsidRPr="00AF0E8B">
        <w:rPr>
          <w:sz w:val="22"/>
        </w:rPr>
        <w:t>The assessment of impairment is usually based on an aged accounts receivable report, with higher percentages of uncollectible accounts indicated for older amounts outstanding</w:t>
      </w:r>
    </w:p>
    <w:p w14:paraId="72C4F4F4" w14:textId="72410195" w:rsidR="00A93771" w:rsidRPr="00AF0E8B" w:rsidRDefault="00A93771" w:rsidP="00AF0E8B">
      <w:pPr>
        <w:pStyle w:val="ListParagraph"/>
        <w:numPr>
          <w:ilvl w:val="0"/>
          <w:numId w:val="83"/>
        </w:numPr>
        <w:spacing w:line="276" w:lineRule="auto"/>
        <w:ind w:left="1080"/>
        <w:rPr>
          <w:sz w:val="22"/>
        </w:rPr>
      </w:pPr>
      <w:r w:rsidRPr="00AF0E8B">
        <w:rPr>
          <w:sz w:val="22"/>
        </w:rPr>
        <w:t xml:space="preserve">Even if a company estimates bad debt expense each period as a percentage of </w:t>
      </w:r>
      <w:r w:rsidR="00E4259E" w:rsidRPr="00AF0E8B">
        <w:rPr>
          <w:sz w:val="22"/>
        </w:rPr>
        <w:t>sales</w:t>
      </w:r>
      <w:r w:rsidRPr="00AF0E8B">
        <w:rPr>
          <w:sz w:val="22"/>
        </w:rPr>
        <w:t>, the accounts receivable at the date of the SFP are analyzed to ensure the balance in the allowance account is appropriate</w:t>
      </w:r>
    </w:p>
    <w:p w14:paraId="1598FF70" w14:textId="6CCD6908" w:rsidR="00A93771" w:rsidRPr="00AF0E8B" w:rsidRDefault="00A93771" w:rsidP="00AF0E8B">
      <w:pPr>
        <w:pStyle w:val="ListParagraph"/>
        <w:numPr>
          <w:ilvl w:val="0"/>
          <w:numId w:val="74"/>
        </w:numPr>
        <w:spacing w:line="276" w:lineRule="auto"/>
        <w:ind w:left="360"/>
        <w:rPr>
          <w:sz w:val="22"/>
        </w:rPr>
      </w:pPr>
      <w:r w:rsidRPr="00AF0E8B">
        <w:rPr>
          <w:b/>
          <w:color w:val="E36C0A" w:themeColor="accent6" w:themeShade="BF"/>
          <w:sz w:val="22"/>
        </w:rPr>
        <w:t>The accounting issues related to the recognition and measurement of short-term notes and loans receivable</w:t>
      </w:r>
    </w:p>
    <w:p w14:paraId="072335A3" w14:textId="4EE47786" w:rsidR="00A93771" w:rsidRPr="00AF0E8B" w:rsidRDefault="00A93771" w:rsidP="00AF0E8B">
      <w:pPr>
        <w:pStyle w:val="ListParagraph"/>
        <w:numPr>
          <w:ilvl w:val="0"/>
          <w:numId w:val="84"/>
        </w:numPr>
        <w:spacing w:line="276" w:lineRule="auto"/>
        <w:ind w:left="1080"/>
        <w:rPr>
          <w:sz w:val="22"/>
        </w:rPr>
      </w:pPr>
      <w:r w:rsidRPr="00AF0E8B">
        <w:rPr>
          <w:sz w:val="22"/>
        </w:rPr>
        <w:t>The accounting issues related to short-term notes receivable are similar to those of accounts receivable</w:t>
      </w:r>
    </w:p>
    <w:p w14:paraId="6F4F43AF" w14:textId="463EDB64" w:rsidR="00A93771" w:rsidRPr="00AF0E8B" w:rsidRDefault="00A93771" w:rsidP="00AF0E8B">
      <w:pPr>
        <w:pStyle w:val="ListParagraph"/>
        <w:numPr>
          <w:ilvl w:val="0"/>
          <w:numId w:val="84"/>
        </w:numPr>
        <w:spacing w:line="276" w:lineRule="auto"/>
        <w:ind w:left="1080"/>
        <w:rPr>
          <w:sz w:val="22"/>
        </w:rPr>
      </w:pPr>
      <w:r w:rsidRPr="00AF0E8B">
        <w:rPr>
          <w:sz w:val="22"/>
        </w:rPr>
        <w:t xml:space="preserve">However, because notes always contain an interest element, </w:t>
      </w:r>
      <w:r w:rsidR="002C6BA4" w:rsidRPr="00AF0E8B">
        <w:rPr>
          <w:sz w:val="22"/>
        </w:rPr>
        <w:t>interest income must be properly recognized</w:t>
      </w:r>
    </w:p>
    <w:p w14:paraId="446733E6" w14:textId="2674C469" w:rsidR="002C6BA4" w:rsidRPr="00AF0E8B" w:rsidRDefault="002C6BA4" w:rsidP="00AF0E8B">
      <w:pPr>
        <w:pStyle w:val="ListParagraph"/>
        <w:numPr>
          <w:ilvl w:val="0"/>
          <w:numId w:val="84"/>
        </w:numPr>
        <w:spacing w:line="276" w:lineRule="auto"/>
        <w:ind w:left="1080"/>
        <w:rPr>
          <w:sz w:val="22"/>
        </w:rPr>
      </w:pPr>
      <w:r w:rsidRPr="00AF0E8B">
        <w:rPr>
          <w:sz w:val="22"/>
        </w:rPr>
        <w:t>Notes receivable either bear interest on the face amount (interest-bearing) or have an interest element that is the difference between the amount lent and the maturity value (non-interest bearing)</w:t>
      </w:r>
    </w:p>
    <w:p w14:paraId="689FBCF2" w14:textId="41930682" w:rsidR="002C6BA4" w:rsidRPr="00AF0E8B" w:rsidRDefault="002C6BA4" w:rsidP="00AF0E8B">
      <w:pPr>
        <w:pStyle w:val="ListParagraph"/>
        <w:numPr>
          <w:ilvl w:val="0"/>
          <w:numId w:val="74"/>
        </w:numPr>
        <w:spacing w:line="276" w:lineRule="auto"/>
        <w:ind w:left="360"/>
        <w:rPr>
          <w:sz w:val="22"/>
        </w:rPr>
      </w:pPr>
      <w:r w:rsidRPr="00AF0E8B">
        <w:rPr>
          <w:b/>
          <w:color w:val="E36C0A" w:themeColor="accent6" w:themeShade="BF"/>
          <w:sz w:val="22"/>
        </w:rPr>
        <w:t>The accounting issues related to the recognition and measurement of long-term notes and loans receivable</w:t>
      </w:r>
    </w:p>
    <w:p w14:paraId="3C23B993" w14:textId="571AB7C1" w:rsidR="002C6BA4" w:rsidRPr="00AF0E8B" w:rsidRDefault="002C6BA4" w:rsidP="00AF0E8B">
      <w:pPr>
        <w:pStyle w:val="ListParagraph"/>
        <w:numPr>
          <w:ilvl w:val="0"/>
          <w:numId w:val="85"/>
        </w:numPr>
        <w:spacing w:line="276" w:lineRule="auto"/>
        <w:ind w:left="1080"/>
        <w:rPr>
          <w:sz w:val="22"/>
        </w:rPr>
      </w:pPr>
      <w:r w:rsidRPr="00AF0E8B">
        <w:rPr>
          <w:sz w:val="22"/>
        </w:rPr>
        <w:t>Long-term notes and loans receivables are recognized initially at their fair value (the present value of the future cash flows) and subsequently at their amortized costs</w:t>
      </w:r>
    </w:p>
    <w:p w14:paraId="59B94A23" w14:textId="55BB9F44" w:rsidR="002C6BA4" w:rsidRPr="00AF0E8B" w:rsidRDefault="002C6BA4" w:rsidP="00AF0E8B">
      <w:pPr>
        <w:pStyle w:val="ListParagraph"/>
        <w:numPr>
          <w:ilvl w:val="0"/>
          <w:numId w:val="85"/>
        </w:numPr>
        <w:spacing w:line="276" w:lineRule="auto"/>
        <w:ind w:left="1080"/>
        <w:rPr>
          <w:sz w:val="22"/>
        </w:rPr>
      </w:pPr>
      <w:r w:rsidRPr="00AF0E8B">
        <w:rPr>
          <w:sz w:val="22"/>
        </w:rPr>
        <w:t>Transaction costs are capitalized</w:t>
      </w:r>
    </w:p>
    <w:p w14:paraId="37085542" w14:textId="6D40DB94" w:rsidR="002C6BA4" w:rsidRPr="00AF0E8B" w:rsidRDefault="002C6BA4" w:rsidP="00AF0E8B">
      <w:pPr>
        <w:pStyle w:val="ListParagraph"/>
        <w:numPr>
          <w:ilvl w:val="0"/>
          <w:numId w:val="85"/>
        </w:numPr>
        <w:spacing w:line="276" w:lineRule="auto"/>
        <w:ind w:left="1080"/>
        <w:rPr>
          <w:sz w:val="22"/>
        </w:rPr>
      </w:pPr>
      <w:r w:rsidRPr="00AF0E8B">
        <w:rPr>
          <w:sz w:val="22"/>
        </w:rPr>
        <w:t>This requires amortizing any discount if the item was issued at less than its face vale, or any premium if it was issued for an amount grater than its face value, using the effective interest method</w:t>
      </w:r>
    </w:p>
    <w:p w14:paraId="1DCC1A8B" w14:textId="718DA66C" w:rsidR="002C6BA4" w:rsidRPr="00AF0E8B" w:rsidRDefault="002C6BA4" w:rsidP="00AF0E8B">
      <w:pPr>
        <w:pStyle w:val="ListParagraph"/>
        <w:numPr>
          <w:ilvl w:val="0"/>
          <w:numId w:val="85"/>
        </w:numPr>
        <w:spacing w:line="276" w:lineRule="auto"/>
        <w:ind w:left="1080"/>
        <w:rPr>
          <w:sz w:val="22"/>
        </w:rPr>
      </w:pPr>
      <w:r w:rsidRPr="00AF0E8B">
        <w:rPr>
          <w:sz w:val="22"/>
        </w:rPr>
        <w:t>The straight-line method may be used under ASPE</w:t>
      </w:r>
    </w:p>
    <w:p w14:paraId="19339B40" w14:textId="0208556E" w:rsidR="002C6BA4" w:rsidRPr="00AF0E8B" w:rsidRDefault="002C6BA4" w:rsidP="00AF0E8B">
      <w:pPr>
        <w:pStyle w:val="ListParagraph"/>
        <w:numPr>
          <w:ilvl w:val="0"/>
          <w:numId w:val="85"/>
        </w:numPr>
        <w:spacing w:line="276" w:lineRule="auto"/>
        <w:ind w:left="1080"/>
        <w:rPr>
          <w:sz w:val="22"/>
        </w:rPr>
      </w:pPr>
      <w:r w:rsidRPr="00AF0E8B">
        <w:rPr>
          <w:sz w:val="22"/>
        </w:rPr>
        <w:t>Amortization of the premium (or discount) results in a reduction (or increase in) interest income below (or above) the cash amount received</w:t>
      </w:r>
    </w:p>
    <w:p w14:paraId="0B2030B7" w14:textId="3A9B5B98" w:rsidR="002C6BA4" w:rsidRPr="00AF0E8B" w:rsidRDefault="002C6BA4" w:rsidP="00AF0E8B">
      <w:pPr>
        <w:pStyle w:val="ListParagraph"/>
        <w:numPr>
          <w:ilvl w:val="0"/>
          <w:numId w:val="74"/>
        </w:numPr>
        <w:spacing w:line="276" w:lineRule="auto"/>
        <w:ind w:left="360"/>
        <w:rPr>
          <w:sz w:val="22"/>
        </w:rPr>
      </w:pPr>
      <w:r w:rsidRPr="00AF0E8B">
        <w:rPr>
          <w:b/>
          <w:color w:val="E36C0A" w:themeColor="accent6" w:themeShade="BF"/>
          <w:sz w:val="22"/>
        </w:rPr>
        <w:t>To accelerate the receipt of cash from receivables, the owner may transfer the receivables to another entity for cash</w:t>
      </w:r>
    </w:p>
    <w:p w14:paraId="56644AB0" w14:textId="65EF518A" w:rsidR="002C6BA4" w:rsidRPr="00AF0E8B" w:rsidRDefault="002C6BA4" w:rsidP="00AF0E8B">
      <w:pPr>
        <w:pStyle w:val="ListParagraph"/>
        <w:numPr>
          <w:ilvl w:val="0"/>
          <w:numId w:val="86"/>
        </w:numPr>
        <w:spacing w:line="276" w:lineRule="auto"/>
        <w:ind w:left="1080"/>
        <w:rPr>
          <w:sz w:val="22"/>
        </w:rPr>
      </w:pPr>
      <w:r w:rsidRPr="00AF0E8B">
        <w:rPr>
          <w:color w:val="000000" w:themeColor="text1"/>
          <w:sz w:val="22"/>
        </w:rPr>
        <w:t>The transfer of receivables to a third party for cash may be done in one of the following ways:</w:t>
      </w:r>
    </w:p>
    <w:p w14:paraId="291814BE" w14:textId="739222D3" w:rsidR="002C6BA4" w:rsidRPr="00AF0E8B" w:rsidRDefault="002C6BA4" w:rsidP="00AF0E8B">
      <w:pPr>
        <w:pStyle w:val="ListParagraph"/>
        <w:numPr>
          <w:ilvl w:val="0"/>
          <w:numId w:val="87"/>
        </w:numPr>
        <w:spacing w:line="276" w:lineRule="auto"/>
        <w:ind w:left="1800"/>
        <w:rPr>
          <w:sz w:val="22"/>
        </w:rPr>
      </w:pPr>
      <w:r w:rsidRPr="00AF0E8B">
        <w:rPr>
          <w:color w:val="000000" w:themeColor="text1"/>
          <w:sz w:val="22"/>
        </w:rPr>
        <w:t xml:space="preserve">To designate or pledge receivables as </w:t>
      </w:r>
      <w:r w:rsidR="00E01F5C" w:rsidRPr="00AF0E8B">
        <w:rPr>
          <w:color w:val="000000" w:themeColor="text1"/>
          <w:sz w:val="22"/>
        </w:rPr>
        <w:t>security</w:t>
      </w:r>
      <w:r w:rsidRPr="00AF0E8B">
        <w:rPr>
          <w:color w:val="000000" w:themeColor="text1"/>
          <w:sz w:val="22"/>
        </w:rPr>
        <w:t xml:space="preserve"> for the loan</w:t>
      </w:r>
    </w:p>
    <w:p w14:paraId="149C1620" w14:textId="2CBB1967" w:rsidR="00B92400" w:rsidRPr="00AF0E8B" w:rsidRDefault="002C6BA4" w:rsidP="00AF0E8B">
      <w:pPr>
        <w:pStyle w:val="ListParagraph"/>
        <w:numPr>
          <w:ilvl w:val="0"/>
          <w:numId w:val="87"/>
        </w:numPr>
        <w:spacing w:line="276" w:lineRule="auto"/>
        <w:ind w:left="1800"/>
        <w:rPr>
          <w:sz w:val="22"/>
        </w:rPr>
      </w:pPr>
      <w:r w:rsidRPr="00AF0E8B">
        <w:rPr>
          <w:color w:val="000000" w:themeColor="text1"/>
          <w:sz w:val="22"/>
        </w:rPr>
        <w:t xml:space="preserve">Sale (factoring or securitization) of receivables: Factors are finance companies or banks that </w:t>
      </w:r>
      <w:r w:rsidR="00E01F5C" w:rsidRPr="00AF0E8B">
        <w:rPr>
          <w:color w:val="000000" w:themeColor="text1"/>
          <w:sz w:val="22"/>
        </w:rPr>
        <w:t>buy receivables from businesses and then collect the remittances directly from the customers</w:t>
      </w:r>
    </w:p>
    <w:p w14:paraId="55E85C0D" w14:textId="17C7D72F" w:rsidR="00E01F5C" w:rsidRPr="00AF0E8B" w:rsidRDefault="00E01F5C" w:rsidP="00AF0E8B">
      <w:pPr>
        <w:pStyle w:val="ListParagraph"/>
        <w:numPr>
          <w:ilvl w:val="0"/>
          <w:numId w:val="86"/>
        </w:numPr>
        <w:spacing w:line="276" w:lineRule="auto"/>
        <w:ind w:left="1080"/>
        <w:rPr>
          <w:sz w:val="22"/>
        </w:rPr>
      </w:pPr>
      <w:r w:rsidRPr="00AF0E8B">
        <w:rPr>
          <w:sz w:val="22"/>
        </w:rPr>
        <w:t>Securitization is the transfer of receivables to a special purpose entity that is mainly financed by highly rated debt instruments</w:t>
      </w:r>
    </w:p>
    <w:p w14:paraId="4946AC6C" w14:textId="45707B73" w:rsidR="00E01F5C" w:rsidRPr="00AF0E8B" w:rsidRDefault="00E01F5C" w:rsidP="00AF0E8B">
      <w:pPr>
        <w:pStyle w:val="ListParagraph"/>
        <w:numPr>
          <w:ilvl w:val="0"/>
          <w:numId w:val="86"/>
        </w:numPr>
        <w:spacing w:line="276" w:lineRule="auto"/>
        <w:ind w:left="1080"/>
        <w:rPr>
          <w:sz w:val="22"/>
        </w:rPr>
      </w:pPr>
      <w:r w:rsidRPr="00AF0E8B">
        <w:rPr>
          <w:sz w:val="22"/>
        </w:rPr>
        <w:t>In many cases, transferors have some continuing involvement with the receivables they sell</w:t>
      </w:r>
    </w:p>
    <w:p w14:paraId="76DADD80" w14:textId="758E7B70" w:rsidR="00E01F5C" w:rsidRPr="00AF0E8B" w:rsidRDefault="00E01F5C" w:rsidP="00AF0E8B">
      <w:pPr>
        <w:pStyle w:val="ListParagraph"/>
        <w:numPr>
          <w:ilvl w:val="0"/>
          <w:numId w:val="86"/>
        </w:numPr>
        <w:spacing w:line="276" w:lineRule="auto"/>
        <w:ind w:left="1080"/>
        <w:rPr>
          <w:sz w:val="22"/>
        </w:rPr>
      </w:pPr>
      <w:r w:rsidRPr="00AF0E8B">
        <w:rPr>
          <w:sz w:val="22"/>
        </w:rPr>
        <w:t>For the transfer to be recorded as a sale, IFRS focuses on whether the risks and rewards of ownership have been transferred to the transferee</w:t>
      </w:r>
    </w:p>
    <w:p w14:paraId="1085D54F" w14:textId="4808C374" w:rsidR="00E01F5C" w:rsidRPr="00AF0E8B" w:rsidRDefault="00E01F5C" w:rsidP="00AF0E8B">
      <w:pPr>
        <w:pStyle w:val="ListParagraph"/>
        <w:numPr>
          <w:ilvl w:val="0"/>
          <w:numId w:val="86"/>
        </w:numPr>
        <w:spacing w:line="276" w:lineRule="auto"/>
        <w:ind w:left="1080"/>
        <w:rPr>
          <w:sz w:val="22"/>
        </w:rPr>
      </w:pPr>
      <w:r w:rsidRPr="00AF0E8B">
        <w:rPr>
          <w:sz w:val="22"/>
        </w:rPr>
        <w:t>ASPE focuses on whether the transferor has surrendered control and has continued involvement with the receivables</w:t>
      </w:r>
    </w:p>
    <w:p w14:paraId="4465D452" w14:textId="77777777" w:rsidR="00460A70" w:rsidRPr="00AF0E8B" w:rsidRDefault="00460A70" w:rsidP="00AF0E8B">
      <w:pPr>
        <w:spacing w:line="276" w:lineRule="auto"/>
        <w:ind w:firstLine="720"/>
        <w:rPr>
          <w:b/>
          <w:sz w:val="22"/>
        </w:rPr>
      </w:pPr>
      <w:r w:rsidRPr="00AF0E8B">
        <w:rPr>
          <w:b/>
          <w:sz w:val="22"/>
        </w:rPr>
        <w:t>Transfer of receivables under ASPE:</w:t>
      </w:r>
    </w:p>
    <w:p w14:paraId="118F29F4" w14:textId="42E6990E" w:rsidR="00460A70" w:rsidRPr="00AF0E8B" w:rsidRDefault="00460A70" w:rsidP="00AF0E8B">
      <w:pPr>
        <w:pStyle w:val="ListParagraph"/>
        <w:numPr>
          <w:ilvl w:val="0"/>
          <w:numId w:val="90"/>
        </w:numPr>
        <w:spacing w:line="276" w:lineRule="auto"/>
        <w:ind w:left="1080"/>
        <w:rPr>
          <w:sz w:val="22"/>
        </w:rPr>
      </w:pPr>
      <w:r w:rsidRPr="00AF0E8B">
        <w:rPr>
          <w:sz w:val="22"/>
        </w:rPr>
        <w:t>The transferred assets have been isolated from the transferor (put beyond reach of the transferor and its creditors even in bankruptcy or receivership) ASPE 3856 B5</w:t>
      </w:r>
      <w:r w:rsidR="00E4259E" w:rsidRPr="00AF0E8B">
        <w:rPr>
          <w:sz w:val="22"/>
        </w:rPr>
        <w:t xml:space="preserve"> </w:t>
      </w:r>
      <w:r w:rsidRPr="00AF0E8B">
        <w:rPr>
          <w:sz w:val="22"/>
        </w:rPr>
        <w:t>(a)</w:t>
      </w:r>
    </w:p>
    <w:p w14:paraId="3C493927" w14:textId="238A8588" w:rsidR="00460A70" w:rsidRPr="00AF0E8B" w:rsidRDefault="00460A70" w:rsidP="00AF0E8B">
      <w:pPr>
        <w:pStyle w:val="ListParagraph"/>
        <w:numPr>
          <w:ilvl w:val="0"/>
          <w:numId w:val="90"/>
        </w:numPr>
        <w:spacing w:line="276" w:lineRule="auto"/>
        <w:ind w:left="1080"/>
        <w:rPr>
          <w:sz w:val="22"/>
        </w:rPr>
      </w:pPr>
      <w:r w:rsidRPr="00AF0E8B">
        <w:rPr>
          <w:sz w:val="22"/>
        </w:rPr>
        <w:t>The transferee has obtained the right to pledge or to sell either the transferred assets or beneficial interests in the transferred assets ASPE 3856 B5</w:t>
      </w:r>
      <w:r w:rsidR="00E4259E" w:rsidRPr="00AF0E8B">
        <w:rPr>
          <w:sz w:val="22"/>
        </w:rPr>
        <w:t xml:space="preserve"> </w:t>
      </w:r>
      <w:r w:rsidRPr="00AF0E8B">
        <w:rPr>
          <w:sz w:val="22"/>
        </w:rPr>
        <w:t>(b)</w:t>
      </w:r>
    </w:p>
    <w:p w14:paraId="602259E5" w14:textId="77777777" w:rsidR="00460A70" w:rsidRPr="00AF0E8B" w:rsidRDefault="00460A70" w:rsidP="00AF0E8B">
      <w:pPr>
        <w:pStyle w:val="ListParagraph"/>
        <w:numPr>
          <w:ilvl w:val="0"/>
          <w:numId w:val="90"/>
        </w:numPr>
        <w:spacing w:line="276" w:lineRule="auto"/>
        <w:ind w:left="1080"/>
        <w:rPr>
          <w:sz w:val="22"/>
        </w:rPr>
      </w:pPr>
      <w:r w:rsidRPr="00AF0E8B">
        <w:rPr>
          <w:sz w:val="22"/>
        </w:rPr>
        <w:t>The transferor does not maintain effective control over the transferred assets through either:</w:t>
      </w:r>
    </w:p>
    <w:p w14:paraId="51A48921" w14:textId="77777777" w:rsidR="00460A70" w:rsidRPr="00AF0E8B" w:rsidRDefault="00460A70" w:rsidP="00AF0E8B">
      <w:pPr>
        <w:pStyle w:val="ListParagraph"/>
        <w:numPr>
          <w:ilvl w:val="0"/>
          <w:numId w:val="91"/>
        </w:numPr>
        <w:spacing w:line="276" w:lineRule="auto"/>
        <w:ind w:left="1440"/>
        <w:rPr>
          <w:sz w:val="22"/>
        </w:rPr>
      </w:pPr>
      <w:r w:rsidRPr="00AF0E8B">
        <w:rPr>
          <w:sz w:val="22"/>
        </w:rPr>
        <w:t>An agreement that both entities and obligates the transferor to repurchase or redeem them before their maturity</w:t>
      </w:r>
    </w:p>
    <w:p w14:paraId="612ACEE4" w14:textId="143164E9" w:rsidR="00460A70" w:rsidRPr="00AF0E8B" w:rsidRDefault="00460A70" w:rsidP="00AF0E8B">
      <w:pPr>
        <w:pStyle w:val="ListParagraph"/>
        <w:numPr>
          <w:ilvl w:val="0"/>
          <w:numId w:val="91"/>
        </w:numPr>
        <w:spacing w:line="276" w:lineRule="auto"/>
        <w:ind w:left="1440"/>
        <w:rPr>
          <w:sz w:val="22"/>
        </w:rPr>
      </w:pPr>
      <w:r w:rsidRPr="00AF0E8B">
        <w:rPr>
          <w:sz w:val="22"/>
        </w:rPr>
        <w:t>The ability to unilaterally cause the holder to return specific assets, other than through a cleanup call</w:t>
      </w:r>
      <w:r w:rsidRPr="00AF0E8B">
        <w:rPr>
          <w:sz w:val="22"/>
        </w:rPr>
        <w:tab/>
      </w:r>
      <w:r w:rsidRPr="00AF0E8B">
        <w:rPr>
          <w:sz w:val="22"/>
        </w:rPr>
        <w:tab/>
        <w:t>-</w:t>
      </w:r>
      <w:r w:rsidRPr="00AF0E8B">
        <w:rPr>
          <w:sz w:val="22"/>
        </w:rPr>
        <w:tab/>
        <w:t>ASPE 3856 B5</w:t>
      </w:r>
      <w:r w:rsidR="00E4259E" w:rsidRPr="00AF0E8B">
        <w:rPr>
          <w:sz w:val="22"/>
        </w:rPr>
        <w:t xml:space="preserve"> </w:t>
      </w:r>
      <w:r w:rsidRPr="00AF0E8B">
        <w:rPr>
          <w:sz w:val="22"/>
        </w:rPr>
        <w:t>(c)</w:t>
      </w:r>
      <w:r w:rsidR="00263A71" w:rsidRPr="00AF0E8B">
        <w:rPr>
          <w:sz w:val="22"/>
        </w:rPr>
        <w:br/>
      </w:r>
    </w:p>
    <w:p w14:paraId="11EBB856" w14:textId="77777777" w:rsidR="00460A70" w:rsidRPr="00AF0E8B" w:rsidRDefault="00460A70" w:rsidP="00AF0E8B">
      <w:pPr>
        <w:pStyle w:val="ListParagraph"/>
        <w:numPr>
          <w:ilvl w:val="0"/>
          <w:numId w:val="93"/>
        </w:numPr>
        <w:spacing w:line="276" w:lineRule="auto"/>
        <w:ind w:left="1080"/>
        <w:rPr>
          <w:sz w:val="22"/>
        </w:rPr>
      </w:pPr>
      <w:r w:rsidRPr="00AF0E8B">
        <w:rPr>
          <w:sz w:val="22"/>
        </w:rPr>
        <w:t>In order for a transfer of receivables to be considered a sale, the following conditions must be followed:</w:t>
      </w:r>
    </w:p>
    <w:p w14:paraId="1B0B8413" w14:textId="77777777" w:rsidR="00460A70" w:rsidRPr="00AF0E8B" w:rsidRDefault="00460A70" w:rsidP="00AF0E8B">
      <w:pPr>
        <w:pStyle w:val="ListParagraph"/>
        <w:numPr>
          <w:ilvl w:val="1"/>
          <w:numId w:val="93"/>
        </w:numPr>
        <w:spacing w:line="276" w:lineRule="auto"/>
        <w:ind w:left="1800"/>
        <w:rPr>
          <w:sz w:val="22"/>
        </w:rPr>
      </w:pPr>
      <w:r w:rsidRPr="00AF0E8B">
        <w:rPr>
          <w:sz w:val="22"/>
        </w:rPr>
        <w:t>If the entity transfers substantially all the risks and rewards of ownership of the accounts receivable, the entity shall derecognize the accounts receivable. An entity transfers substantially all the risks and rewards of ownership of the A/R if and only if it either:</w:t>
      </w:r>
    </w:p>
    <w:p w14:paraId="23D695A9" w14:textId="77777777" w:rsidR="00460A70" w:rsidRPr="00AF0E8B" w:rsidRDefault="00460A70" w:rsidP="00AF0E8B">
      <w:pPr>
        <w:pStyle w:val="ListParagraph"/>
        <w:numPr>
          <w:ilvl w:val="0"/>
          <w:numId w:val="92"/>
        </w:numPr>
        <w:spacing w:line="276" w:lineRule="auto"/>
        <w:ind w:left="1800"/>
        <w:rPr>
          <w:sz w:val="22"/>
        </w:rPr>
      </w:pPr>
      <w:r w:rsidRPr="00AF0E8B">
        <w:rPr>
          <w:sz w:val="22"/>
        </w:rPr>
        <w:t>Transfer the contractual rights to receive the cash flows of the A/R; or</w:t>
      </w:r>
    </w:p>
    <w:p w14:paraId="7A38362E" w14:textId="77777777" w:rsidR="00460A70" w:rsidRPr="00AF0E8B" w:rsidRDefault="00460A70" w:rsidP="00AF0E8B">
      <w:pPr>
        <w:pStyle w:val="ListParagraph"/>
        <w:numPr>
          <w:ilvl w:val="0"/>
          <w:numId w:val="92"/>
        </w:numPr>
        <w:spacing w:line="276" w:lineRule="auto"/>
        <w:ind w:left="1800"/>
        <w:rPr>
          <w:sz w:val="22"/>
        </w:rPr>
      </w:pPr>
      <w:r w:rsidRPr="00AF0E8B">
        <w:rPr>
          <w:sz w:val="22"/>
        </w:rPr>
        <w:t>Retains the contractual rights to receive cash flows from A/R, but has a contractual obligation to pay the cash flows to one or more recipients. Three additional conditions must also be met:</w:t>
      </w:r>
    </w:p>
    <w:p w14:paraId="6128FD54" w14:textId="77777777" w:rsidR="00460A70" w:rsidRPr="00AF0E8B" w:rsidRDefault="00460A70" w:rsidP="00AF0E8B">
      <w:pPr>
        <w:pStyle w:val="ListParagraph"/>
        <w:numPr>
          <w:ilvl w:val="0"/>
          <w:numId w:val="94"/>
        </w:numPr>
        <w:spacing w:line="276" w:lineRule="auto"/>
        <w:ind w:left="2520"/>
        <w:rPr>
          <w:sz w:val="22"/>
        </w:rPr>
      </w:pPr>
      <w:r w:rsidRPr="00AF0E8B">
        <w:rPr>
          <w:sz w:val="22"/>
        </w:rPr>
        <w:t>The entity has no obligation to pay amounts to the eventual recipients unless it collects equivalent amounts from the original A/R</w:t>
      </w:r>
    </w:p>
    <w:p w14:paraId="7033CAE8" w14:textId="77777777" w:rsidR="00460A70" w:rsidRPr="00AF0E8B" w:rsidRDefault="00460A70" w:rsidP="00AF0E8B">
      <w:pPr>
        <w:pStyle w:val="ListParagraph"/>
        <w:numPr>
          <w:ilvl w:val="0"/>
          <w:numId w:val="94"/>
        </w:numPr>
        <w:spacing w:line="276" w:lineRule="auto"/>
        <w:ind w:left="2520"/>
        <w:rPr>
          <w:sz w:val="22"/>
        </w:rPr>
      </w:pPr>
      <w:r w:rsidRPr="00AF0E8B">
        <w:rPr>
          <w:sz w:val="22"/>
        </w:rPr>
        <w:t>The entity is prohibited by the terms of the transfer contract from selling or pledging the original asset other than as security to the eventual recipients for the obligation to pay them cash flows</w:t>
      </w:r>
    </w:p>
    <w:p w14:paraId="6DCDAE7C" w14:textId="17CAEB3D" w:rsidR="00DD79E1" w:rsidRPr="00AF0E8B" w:rsidRDefault="00460A70" w:rsidP="00AF0E8B">
      <w:pPr>
        <w:pStyle w:val="ListParagraph"/>
        <w:numPr>
          <w:ilvl w:val="0"/>
          <w:numId w:val="94"/>
        </w:numPr>
        <w:spacing w:line="276" w:lineRule="auto"/>
        <w:ind w:left="2520"/>
        <w:rPr>
          <w:sz w:val="22"/>
        </w:rPr>
      </w:pPr>
      <w:r w:rsidRPr="00AF0E8B">
        <w:rPr>
          <w:sz w:val="22"/>
        </w:rPr>
        <w:t>The entity has an obligation to remit any cash flows it collects on behalf of the eventual recipients without material delay</w:t>
      </w:r>
    </w:p>
    <w:p w14:paraId="34F6C3B5" w14:textId="00C289C4" w:rsidR="002C6BA4" w:rsidRPr="00AF0E8B" w:rsidRDefault="00E01F5C" w:rsidP="00AF0E8B">
      <w:pPr>
        <w:pStyle w:val="ListParagraph"/>
        <w:numPr>
          <w:ilvl w:val="0"/>
          <w:numId w:val="74"/>
        </w:numPr>
        <w:spacing w:line="276" w:lineRule="auto"/>
        <w:ind w:left="360"/>
        <w:rPr>
          <w:b/>
          <w:color w:val="E36C0A" w:themeColor="accent6" w:themeShade="BF"/>
          <w:sz w:val="22"/>
        </w:rPr>
      </w:pPr>
      <w:r w:rsidRPr="00AF0E8B">
        <w:rPr>
          <w:b/>
          <w:color w:val="E36C0A" w:themeColor="accent6" w:themeShade="BF"/>
          <w:sz w:val="22"/>
        </w:rPr>
        <w:t>How receivables and loans are reported and analyzed</w:t>
      </w:r>
    </w:p>
    <w:p w14:paraId="6896EB02" w14:textId="26DE36BC" w:rsidR="00E01F5C" w:rsidRPr="00AF0E8B" w:rsidRDefault="00E01F5C" w:rsidP="00AF0E8B">
      <w:pPr>
        <w:pStyle w:val="ListParagraph"/>
        <w:numPr>
          <w:ilvl w:val="0"/>
          <w:numId w:val="88"/>
        </w:numPr>
        <w:spacing w:line="276" w:lineRule="auto"/>
        <w:ind w:left="1080"/>
        <w:rPr>
          <w:sz w:val="22"/>
        </w:rPr>
      </w:pPr>
      <w:r w:rsidRPr="00AF0E8B">
        <w:rPr>
          <w:sz w:val="22"/>
        </w:rPr>
        <w:t>Disclosure of receivables requires the valuation accounts be appropriately offset against receivables, that the receivables be appropriately classified as current or non-current, and that pledged or designated receivables be identified</w:t>
      </w:r>
    </w:p>
    <w:p w14:paraId="20EC5DFB" w14:textId="524E73EC" w:rsidR="00E01F5C" w:rsidRPr="00AF0E8B" w:rsidRDefault="00E01F5C" w:rsidP="00AF0E8B">
      <w:pPr>
        <w:pStyle w:val="ListParagraph"/>
        <w:numPr>
          <w:ilvl w:val="0"/>
          <w:numId w:val="88"/>
        </w:numPr>
        <w:spacing w:line="276" w:lineRule="auto"/>
        <w:ind w:left="1080"/>
        <w:rPr>
          <w:sz w:val="22"/>
        </w:rPr>
      </w:pPr>
      <w:r w:rsidRPr="00AF0E8B">
        <w:rPr>
          <w:sz w:val="22"/>
        </w:rPr>
        <w:t>As financial instruments, specific disclosures are required for receivables so that users can determine their significance to the company’s financial position and performance and can assess the nature and extent of associated risks and how these risks are managed and measured</w:t>
      </w:r>
    </w:p>
    <w:p w14:paraId="1542228A" w14:textId="258509AB" w:rsidR="00E01F5C" w:rsidRPr="00AF0E8B" w:rsidRDefault="00E01F5C" w:rsidP="00AF0E8B">
      <w:pPr>
        <w:pStyle w:val="ListParagraph"/>
        <w:numPr>
          <w:ilvl w:val="0"/>
          <w:numId w:val="88"/>
        </w:numPr>
        <w:spacing w:line="276" w:lineRule="auto"/>
        <w:ind w:left="1080"/>
        <w:rPr>
          <w:sz w:val="22"/>
        </w:rPr>
      </w:pPr>
      <w:r w:rsidRPr="00AF0E8B">
        <w:rPr>
          <w:sz w:val="22"/>
        </w:rPr>
        <w:t>Private entities require less disclosures than those reporting under IFRS</w:t>
      </w:r>
    </w:p>
    <w:p w14:paraId="7BD0BAC3" w14:textId="3B476464" w:rsidR="00E01F5C" w:rsidRPr="00AF0E8B" w:rsidRDefault="00E01F5C" w:rsidP="00AF0E8B">
      <w:pPr>
        <w:pStyle w:val="ListParagraph"/>
        <w:numPr>
          <w:ilvl w:val="0"/>
          <w:numId w:val="88"/>
        </w:numPr>
        <w:spacing w:line="276" w:lineRule="auto"/>
        <w:ind w:left="1080"/>
        <w:rPr>
          <w:sz w:val="22"/>
        </w:rPr>
      </w:pPr>
      <w:r w:rsidRPr="00AF0E8B">
        <w:rPr>
          <w:sz w:val="22"/>
        </w:rPr>
        <w:t>Receivables are analyzed in terms of their turnover and age (number of days outstanding), and in terms of relative changes in the related sales, receivables, and allowance accounts</w:t>
      </w:r>
    </w:p>
    <w:p w14:paraId="6C96E0AE" w14:textId="26DEFAB0" w:rsidR="00E01F5C" w:rsidRPr="00AF0E8B" w:rsidRDefault="00E01F5C" w:rsidP="00AF0E8B">
      <w:pPr>
        <w:pStyle w:val="ListParagraph"/>
        <w:numPr>
          <w:ilvl w:val="0"/>
          <w:numId w:val="74"/>
        </w:numPr>
        <w:spacing w:line="276" w:lineRule="auto"/>
        <w:ind w:left="360"/>
        <w:rPr>
          <w:b/>
          <w:color w:val="E36C0A" w:themeColor="accent6" w:themeShade="BF"/>
          <w:sz w:val="22"/>
        </w:rPr>
      </w:pPr>
      <w:r w:rsidRPr="00AF0E8B">
        <w:rPr>
          <w:b/>
          <w:color w:val="E36C0A" w:themeColor="accent6" w:themeShade="BF"/>
          <w:sz w:val="22"/>
        </w:rPr>
        <w:t>Differences in accounting between ASPE and IFRS and what changes are expected in the near future</w:t>
      </w:r>
    </w:p>
    <w:p w14:paraId="53440AA7" w14:textId="72836E65" w:rsidR="00E01F5C" w:rsidRPr="00AF0E8B" w:rsidRDefault="00E01F5C" w:rsidP="00AF0E8B">
      <w:pPr>
        <w:pStyle w:val="ListParagraph"/>
        <w:numPr>
          <w:ilvl w:val="0"/>
          <w:numId w:val="89"/>
        </w:numPr>
        <w:spacing w:line="276" w:lineRule="auto"/>
        <w:ind w:left="1080"/>
        <w:rPr>
          <w:b/>
          <w:color w:val="E36C0A" w:themeColor="accent6" w:themeShade="BF"/>
          <w:sz w:val="22"/>
        </w:rPr>
      </w:pPr>
      <w:r w:rsidRPr="00AF0E8B">
        <w:rPr>
          <w:sz w:val="22"/>
        </w:rPr>
        <w:t>The two sets of standards are very similar, with minor differences relating to what is included in cash equivalents</w:t>
      </w:r>
    </w:p>
    <w:p w14:paraId="372F1F1D" w14:textId="02C8E785" w:rsidR="00E01F5C" w:rsidRPr="00AF0E8B" w:rsidRDefault="00E01F5C" w:rsidP="00AF0E8B">
      <w:pPr>
        <w:pStyle w:val="ListParagraph"/>
        <w:numPr>
          <w:ilvl w:val="0"/>
          <w:numId w:val="89"/>
        </w:numPr>
        <w:spacing w:line="276" w:lineRule="auto"/>
        <w:ind w:left="1080"/>
        <w:rPr>
          <w:b/>
          <w:color w:val="E36C0A" w:themeColor="accent6" w:themeShade="BF"/>
          <w:sz w:val="22"/>
        </w:rPr>
      </w:pPr>
      <w:r w:rsidRPr="00AF0E8B">
        <w:rPr>
          <w:sz w:val="22"/>
        </w:rPr>
        <w:t>ASPE does not require the use of the effective interest method, whereas IFRS does for financial asset investments that are not held for trading purposes</w:t>
      </w:r>
    </w:p>
    <w:p w14:paraId="4E0B9B2E" w14:textId="611153AC" w:rsidR="00CA48B1" w:rsidRPr="00AF0E8B" w:rsidRDefault="00E01F5C" w:rsidP="00AF0E8B">
      <w:pPr>
        <w:pStyle w:val="ListParagraph"/>
        <w:numPr>
          <w:ilvl w:val="0"/>
          <w:numId w:val="89"/>
        </w:numPr>
        <w:spacing w:line="276" w:lineRule="auto"/>
        <w:ind w:left="1080"/>
        <w:rPr>
          <w:b/>
          <w:color w:val="E36C0A" w:themeColor="accent6" w:themeShade="BF"/>
          <w:sz w:val="22"/>
        </w:rPr>
      </w:pPr>
      <w:r w:rsidRPr="00AF0E8B">
        <w:rPr>
          <w:sz w:val="22"/>
        </w:rPr>
        <w:t>Impairment provisions is one issue that remains under study by IFRS; the eventual resolution may generate additional</w:t>
      </w:r>
      <w:r w:rsidR="00720464" w:rsidRPr="00AF0E8B">
        <w:rPr>
          <w:sz w:val="22"/>
        </w:rPr>
        <w:t xml:space="preserve"> difference between IFRS and ASPE</w:t>
      </w:r>
    </w:p>
    <w:sectPr w:rsidR="00CA48B1" w:rsidRPr="00AF0E8B" w:rsidSect="00AF0E8B">
      <w:pgSz w:w="12240" w:h="15840"/>
      <w:pgMar w:top="680" w:right="624" w:bottom="680"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921F9"/>
    <w:multiLevelType w:val="hybridMultilevel"/>
    <w:tmpl w:val="0548E982"/>
    <w:lvl w:ilvl="0" w:tplc="0409000F">
      <w:start w:val="1"/>
      <w:numFmt w:val="decimal"/>
      <w:lvlText w:val="%1."/>
      <w:lvlJc w:val="left"/>
      <w:pPr>
        <w:ind w:left="2444" w:hanging="360"/>
      </w:pPr>
    </w:lvl>
    <w:lvl w:ilvl="1" w:tplc="04090019">
      <w:start w:val="1"/>
      <w:numFmt w:val="lowerLetter"/>
      <w:lvlText w:val="%2."/>
      <w:lvlJc w:val="left"/>
      <w:pPr>
        <w:ind w:left="4538" w:hanging="360"/>
      </w:pPr>
    </w:lvl>
    <w:lvl w:ilvl="2" w:tplc="0409001B">
      <w:start w:val="1"/>
      <w:numFmt w:val="lowerRoman"/>
      <w:lvlText w:val="%3."/>
      <w:lvlJc w:val="right"/>
      <w:pPr>
        <w:ind w:left="5258" w:hanging="180"/>
      </w:pPr>
    </w:lvl>
    <w:lvl w:ilvl="3" w:tplc="0409000F" w:tentative="1">
      <w:start w:val="1"/>
      <w:numFmt w:val="decimal"/>
      <w:lvlText w:val="%4."/>
      <w:lvlJc w:val="left"/>
      <w:pPr>
        <w:ind w:left="5978" w:hanging="360"/>
      </w:pPr>
    </w:lvl>
    <w:lvl w:ilvl="4" w:tplc="04090019" w:tentative="1">
      <w:start w:val="1"/>
      <w:numFmt w:val="lowerLetter"/>
      <w:lvlText w:val="%5."/>
      <w:lvlJc w:val="left"/>
      <w:pPr>
        <w:ind w:left="6698" w:hanging="360"/>
      </w:pPr>
    </w:lvl>
    <w:lvl w:ilvl="5" w:tplc="0409001B" w:tentative="1">
      <w:start w:val="1"/>
      <w:numFmt w:val="lowerRoman"/>
      <w:lvlText w:val="%6."/>
      <w:lvlJc w:val="right"/>
      <w:pPr>
        <w:ind w:left="7418" w:hanging="180"/>
      </w:pPr>
    </w:lvl>
    <w:lvl w:ilvl="6" w:tplc="0409000F" w:tentative="1">
      <w:start w:val="1"/>
      <w:numFmt w:val="decimal"/>
      <w:lvlText w:val="%7."/>
      <w:lvlJc w:val="left"/>
      <w:pPr>
        <w:ind w:left="8138" w:hanging="360"/>
      </w:pPr>
    </w:lvl>
    <w:lvl w:ilvl="7" w:tplc="04090019" w:tentative="1">
      <w:start w:val="1"/>
      <w:numFmt w:val="lowerLetter"/>
      <w:lvlText w:val="%8."/>
      <w:lvlJc w:val="left"/>
      <w:pPr>
        <w:ind w:left="8858" w:hanging="360"/>
      </w:pPr>
    </w:lvl>
    <w:lvl w:ilvl="8" w:tplc="0409001B" w:tentative="1">
      <w:start w:val="1"/>
      <w:numFmt w:val="lowerRoman"/>
      <w:lvlText w:val="%9."/>
      <w:lvlJc w:val="right"/>
      <w:pPr>
        <w:ind w:left="9578" w:hanging="180"/>
      </w:pPr>
    </w:lvl>
  </w:abstractNum>
  <w:abstractNum w:abstractNumId="1">
    <w:nsid w:val="03F87A1D"/>
    <w:multiLevelType w:val="hybridMultilevel"/>
    <w:tmpl w:val="18FAA5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A60446"/>
    <w:multiLevelType w:val="hybridMultilevel"/>
    <w:tmpl w:val="316EA7E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5037318"/>
    <w:multiLevelType w:val="hybridMultilevel"/>
    <w:tmpl w:val="5BDEED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D1EC2"/>
    <w:multiLevelType w:val="hybridMultilevel"/>
    <w:tmpl w:val="FE2A41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2C5542"/>
    <w:multiLevelType w:val="hybridMultilevel"/>
    <w:tmpl w:val="05D652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8C81A34"/>
    <w:multiLevelType w:val="hybridMultilevel"/>
    <w:tmpl w:val="D160D3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8F6670D"/>
    <w:multiLevelType w:val="hybridMultilevel"/>
    <w:tmpl w:val="5BEC01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A3E25F5"/>
    <w:multiLevelType w:val="hybridMultilevel"/>
    <w:tmpl w:val="D3223F6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F1615F"/>
    <w:multiLevelType w:val="hybridMultilevel"/>
    <w:tmpl w:val="907EB58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B0320DB"/>
    <w:multiLevelType w:val="hybridMultilevel"/>
    <w:tmpl w:val="4134CD2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D3D7F14"/>
    <w:multiLevelType w:val="hybridMultilevel"/>
    <w:tmpl w:val="CFDA7F6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DB229E6"/>
    <w:multiLevelType w:val="hybridMultilevel"/>
    <w:tmpl w:val="37AE6F94"/>
    <w:lvl w:ilvl="0" w:tplc="8F320334">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6D1D6A"/>
    <w:multiLevelType w:val="hybridMultilevel"/>
    <w:tmpl w:val="65A6037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02B024E"/>
    <w:multiLevelType w:val="hybridMultilevel"/>
    <w:tmpl w:val="C018025C"/>
    <w:lvl w:ilvl="0" w:tplc="334A1934">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09437A6"/>
    <w:multiLevelType w:val="hybridMultilevel"/>
    <w:tmpl w:val="FB8CD3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17C63F4"/>
    <w:multiLevelType w:val="hybridMultilevel"/>
    <w:tmpl w:val="9C666744"/>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nsid w:val="12ED4906"/>
    <w:multiLevelType w:val="hybridMultilevel"/>
    <w:tmpl w:val="604E08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59F2EAD"/>
    <w:multiLevelType w:val="hybridMultilevel"/>
    <w:tmpl w:val="9E00D5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64873FA"/>
    <w:multiLevelType w:val="hybridMultilevel"/>
    <w:tmpl w:val="4024382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6877BE3"/>
    <w:multiLevelType w:val="hybridMultilevel"/>
    <w:tmpl w:val="EEFCF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8326ABB"/>
    <w:multiLevelType w:val="hybridMultilevel"/>
    <w:tmpl w:val="EAA201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A3A5ED2"/>
    <w:multiLevelType w:val="hybridMultilevel"/>
    <w:tmpl w:val="CF660F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AC82AFC"/>
    <w:multiLevelType w:val="hybridMultilevel"/>
    <w:tmpl w:val="893E8E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BE010E5"/>
    <w:multiLevelType w:val="hybridMultilevel"/>
    <w:tmpl w:val="CD4C7CE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1CE94F16"/>
    <w:multiLevelType w:val="hybridMultilevel"/>
    <w:tmpl w:val="8056D38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F437338"/>
    <w:multiLevelType w:val="hybridMultilevel"/>
    <w:tmpl w:val="FD368D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20CA0A95"/>
    <w:multiLevelType w:val="hybridMultilevel"/>
    <w:tmpl w:val="385C9946"/>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23E23FAF"/>
    <w:multiLevelType w:val="hybridMultilevel"/>
    <w:tmpl w:val="C630A9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5AE3432"/>
    <w:multiLevelType w:val="hybridMultilevel"/>
    <w:tmpl w:val="1B3E8A5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262E685F"/>
    <w:multiLevelType w:val="hybridMultilevel"/>
    <w:tmpl w:val="7E68BE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6967DD0"/>
    <w:multiLevelType w:val="hybridMultilevel"/>
    <w:tmpl w:val="6E807D2E"/>
    <w:lvl w:ilvl="0" w:tplc="115424F4">
      <w:start w:val="1"/>
      <w:numFmt w:val="decimal"/>
      <w:lvlText w:val="%1."/>
      <w:lvlJc w:val="left"/>
      <w:pPr>
        <w:ind w:left="2160" w:hanging="360"/>
      </w:pPr>
      <w:rPr>
        <w:rFonts w:hint="default"/>
        <w:b w:val="0"/>
        <w:color w:val="auto"/>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2754020E"/>
    <w:multiLevelType w:val="hybridMultilevel"/>
    <w:tmpl w:val="4578974A"/>
    <w:lvl w:ilvl="0" w:tplc="887A325C">
      <w:start w:val="1"/>
      <w:numFmt w:val="decimal"/>
      <w:lvlText w:val="%1)"/>
      <w:lvlJc w:val="left"/>
      <w:pPr>
        <w:ind w:left="2160" w:hanging="360"/>
      </w:pPr>
      <w:rPr>
        <w:rFonts w:hint="default"/>
        <w:b w:val="0"/>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2765052C"/>
    <w:multiLevelType w:val="hybridMultilevel"/>
    <w:tmpl w:val="28F45E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92D6B75"/>
    <w:multiLevelType w:val="hybridMultilevel"/>
    <w:tmpl w:val="F1E2115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293A4574"/>
    <w:multiLevelType w:val="hybridMultilevel"/>
    <w:tmpl w:val="69C05B4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2CFE461A"/>
    <w:multiLevelType w:val="hybridMultilevel"/>
    <w:tmpl w:val="35EE478A"/>
    <w:lvl w:ilvl="0" w:tplc="887A325C">
      <w:start w:val="1"/>
      <w:numFmt w:val="decimal"/>
      <w:lvlText w:val="%1)"/>
      <w:lvlJc w:val="left"/>
      <w:pPr>
        <w:ind w:left="2880" w:hanging="360"/>
      </w:pPr>
      <w:rPr>
        <w:rFonts w:hint="default"/>
        <w:b w:val="0"/>
        <w:color w:val="auto"/>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7">
    <w:nsid w:val="2D1A7282"/>
    <w:multiLevelType w:val="hybridMultilevel"/>
    <w:tmpl w:val="610A24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2D5C6DF2"/>
    <w:multiLevelType w:val="hybridMultilevel"/>
    <w:tmpl w:val="4984E3FC"/>
    <w:lvl w:ilvl="0" w:tplc="D7C8C0E2">
      <w:start w:val="1"/>
      <w:numFmt w:val="decimal"/>
      <w:lvlText w:val="%1."/>
      <w:lvlJc w:val="left"/>
      <w:pPr>
        <w:ind w:left="720" w:hanging="360"/>
      </w:pPr>
      <w:rPr>
        <w:rFonts w:hint="default"/>
        <w:b/>
        <w:color w:val="E36C0A" w:themeColor="accent6"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E0239F2"/>
    <w:multiLevelType w:val="hybridMultilevel"/>
    <w:tmpl w:val="8A80BF9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2F9B1529"/>
    <w:multiLevelType w:val="hybridMultilevel"/>
    <w:tmpl w:val="FB78A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2EE23C7"/>
    <w:multiLevelType w:val="hybridMultilevel"/>
    <w:tmpl w:val="87E283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33DE00CA"/>
    <w:multiLevelType w:val="hybridMultilevel"/>
    <w:tmpl w:val="035648E2"/>
    <w:lvl w:ilvl="0" w:tplc="04090013">
      <w:start w:val="1"/>
      <w:numFmt w:val="upperRoman"/>
      <w:lvlText w:val="%1."/>
      <w:lvlJc w:val="right"/>
      <w:pPr>
        <w:ind w:left="216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346C5FE3"/>
    <w:multiLevelType w:val="hybridMultilevel"/>
    <w:tmpl w:val="C32C0B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34B37D69"/>
    <w:multiLevelType w:val="hybridMultilevel"/>
    <w:tmpl w:val="21007A1E"/>
    <w:lvl w:ilvl="0" w:tplc="D7C8C0E2">
      <w:start w:val="1"/>
      <w:numFmt w:val="decimal"/>
      <w:lvlText w:val="%1."/>
      <w:lvlJc w:val="left"/>
      <w:pPr>
        <w:ind w:left="720" w:hanging="360"/>
      </w:pPr>
      <w:rPr>
        <w:rFonts w:hint="default"/>
        <w:b/>
        <w:color w:val="E36C0A" w:themeColor="accent6"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50B1598"/>
    <w:multiLevelType w:val="hybridMultilevel"/>
    <w:tmpl w:val="16AC16EC"/>
    <w:lvl w:ilvl="0" w:tplc="04090001">
      <w:start w:val="1"/>
      <w:numFmt w:val="bullet"/>
      <w:lvlText w:val=""/>
      <w:lvlJc w:val="left"/>
      <w:pPr>
        <w:ind w:left="1779" w:hanging="360"/>
      </w:pPr>
      <w:rPr>
        <w:rFonts w:ascii="Symbol" w:hAnsi="Symbol"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46">
    <w:nsid w:val="36103427"/>
    <w:multiLevelType w:val="hybridMultilevel"/>
    <w:tmpl w:val="BC84AAF6"/>
    <w:lvl w:ilvl="0" w:tplc="3CD420A0">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36BA34B0"/>
    <w:multiLevelType w:val="hybridMultilevel"/>
    <w:tmpl w:val="EFE0E858"/>
    <w:lvl w:ilvl="0" w:tplc="D7C8C0E2">
      <w:start w:val="1"/>
      <w:numFmt w:val="decimal"/>
      <w:lvlText w:val="%1."/>
      <w:lvlJc w:val="left"/>
      <w:pPr>
        <w:ind w:left="720" w:hanging="360"/>
      </w:pPr>
      <w:rPr>
        <w:rFonts w:hint="default"/>
        <w:b/>
        <w:color w:val="E36C0A" w:themeColor="accent6"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7672DB1"/>
    <w:multiLevelType w:val="hybridMultilevel"/>
    <w:tmpl w:val="FD984F24"/>
    <w:lvl w:ilvl="0" w:tplc="D7C8C0E2">
      <w:start w:val="1"/>
      <w:numFmt w:val="decimal"/>
      <w:lvlText w:val="%1."/>
      <w:lvlJc w:val="left"/>
      <w:pPr>
        <w:ind w:left="720" w:hanging="360"/>
      </w:pPr>
      <w:rPr>
        <w:rFonts w:hint="default"/>
        <w:b/>
        <w:color w:val="E36C0A" w:themeColor="accent6"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C693A6F"/>
    <w:multiLevelType w:val="hybridMultilevel"/>
    <w:tmpl w:val="DE8069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CF96B55"/>
    <w:multiLevelType w:val="hybridMultilevel"/>
    <w:tmpl w:val="B5B8FF8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nsid w:val="3D4716CC"/>
    <w:multiLevelType w:val="hybridMultilevel"/>
    <w:tmpl w:val="E102B3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3E0877E5"/>
    <w:multiLevelType w:val="hybridMultilevel"/>
    <w:tmpl w:val="D70C74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E9D46BE"/>
    <w:multiLevelType w:val="hybridMultilevel"/>
    <w:tmpl w:val="54C457A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3F4B577F"/>
    <w:multiLevelType w:val="hybridMultilevel"/>
    <w:tmpl w:val="BB7C2BEA"/>
    <w:lvl w:ilvl="0" w:tplc="0012F78E">
      <w:start w:val="1"/>
      <w:numFmt w:val="none"/>
      <w:lvlText w:val="5."/>
      <w:lvlJc w:val="left"/>
      <w:pPr>
        <w:ind w:left="644" w:hanging="360"/>
      </w:pPr>
      <w:rPr>
        <w:rFonts w:hint="default"/>
      </w:rPr>
    </w:lvl>
    <w:lvl w:ilvl="1" w:tplc="04090019" w:tentative="1">
      <w:start w:val="1"/>
      <w:numFmt w:val="lowerLetter"/>
      <w:lvlText w:val="%2."/>
      <w:lvlJc w:val="left"/>
      <w:pPr>
        <w:ind w:left="-76" w:hanging="360"/>
      </w:pPr>
    </w:lvl>
    <w:lvl w:ilvl="2" w:tplc="0409001B" w:tentative="1">
      <w:start w:val="1"/>
      <w:numFmt w:val="lowerRoman"/>
      <w:lvlText w:val="%3."/>
      <w:lvlJc w:val="right"/>
      <w:pPr>
        <w:ind w:left="644" w:hanging="180"/>
      </w:pPr>
    </w:lvl>
    <w:lvl w:ilvl="3" w:tplc="0409000F" w:tentative="1">
      <w:start w:val="1"/>
      <w:numFmt w:val="decimal"/>
      <w:lvlText w:val="%4."/>
      <w:lvlJc w:val="left"/>
      <w:pPr>
        <w:ind w:left="1364" w:hanging="360"/>
      </w:pPr>
    </w:lvl>
    <w:lvl w:ilvl="4" w:tplc="04090019" w:tentative="1">
      <w:start w:val="1"/>
      <w:numFmt w:val="lowerLetter"/>
      <w:lvlText w:val="%5."/>
      <w:lvlJc w:val="left"/>
      <w:pPr>
        <w:ind w:left="2084" w:hanging="360"/>
      </w:pPr>
    </w:lvl>
    <w:lvl w:ilvl="5" w:tplc="0409001B" w:tentative="1">
      <w:start w:val="1"/>
      <w:numFmt w:val="lowerRoman"/>
      <w:lvlText w:val="%6."/>
      <w:lvlJc w:val="right"/>
      <w:pPr>
        <w:ind w:left="2804" w:hanging="180"/>
      </w:pPr>
    </w:lvl>
    <w:lvl w:ilvl="6" w:tplc="0409000F" w:tentative="1">
      <w:start w:val="1"/>
      <w:numFmt w:val="decimal"/>
      <w:lvlText w:val="%7."/>
      <w:lvlJc w:val="left"/>
      <w:pPr>
        <w:ind w:left="3524" w:hanging="360"/>
      </w:pPr>
    </w:lvl>
    <w:lvl w:ilvl="7" w:tplc="04090019" w:tentative="1">
      <w:start w:val="1"/>
      <w:numFmt w:val="lowerLetter"/>
      <w:lvlText w:val="%8."/>
      <w:lvlJc w:val="left"/>
      <w:pPr>
        <w:ind w:left="4244" w:hanging="360"/>
      </w:pPr>
    </w:lvl>
    <w:lvl w:ilvl="8" w:tplc="0409001B" w:tentative="1">
      <w:start w:val="1"/>
      <w:numFmt w:val="lowerRoman"/>
      <w:lvlText w:val="%9."/>
      <w:lvlJc w:val="right"/>
      <w:pPr>
        <w:ind w:left="4964" w:hanging="180"/>
      </w:pPr>
    </w:lvl>
  </w:abstractNum>
  <w:abstractNum w:abstractNumId="55">
    <w:nsid w:val="3F9D1B64"/>
    <w:multiLevelType w:val="hybridMultilevel"/>
    <w:tmpl w:val="EBB626A6"/>
    <w:lvl w:ilvl="0" w:tplc="334A1934">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06C423B"/>
    <w:multiLevelType w:val="hybridMultilevel"/>
    <w:tmpl w:val="1FDA3C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407B5D9B"/>
    <w:multiLevelType w:val="hybridMultilevel"/>
    <w:tmpl w:val="8F9CF3CC"/>
    <w:lvl w:ilvl="0" w:tplc="8F320334">
      <w:start w:val="1"/>
      <w:numFmt w:val="bullet"/>
      <w:lvlText w:val=""/>
      <w:lvlJc w:val="left"/>
      <w:pPr>
        <w:ind w:left="1440" w:hanging="360"/>
      </w:pPr>
      <w:rPr>
        <w:rFonts w:ascii="Symbol" w:hAnsi="Symbol" w:hint="default"/>
        <w:color w:val="auto"/>
      </w:rPr>
    </w:lvl>
    <w:lvl w:ilvl="1" w:tplc="74AC6B3A">
      <w:start w:val="1"/>
      <w:numFmt w:val="bullet"/>
      <w:lvlText w:val="o"/>
      <w:lvlJc w:val="left"/>
      <w:pPr>
        <w:ind w:left="2160" w:hanging="360"/>
      </w:pPr>
      <w:rPr>
        <w:rFonts w:ascii="Courier New" w:hAnsi="Courier New" w:hint="default"/>
        <w:color w:val="auto"/>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422B26C1"/>
    <w:multiLevelType w:val="hybridMultilevel"/>
    <w:tmpl w:val="DB0C14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43F41FFD"/>
    <w:multiLevelType w:val="hybridMultilevel"/>
    <w:tmpl w:val="5F92F060"/>
    <w:lvl w:ilvl="0" w:tplc="55925B02">
      <w:start w:val="1"/>
      <w:numFmt w:val="lowerRoman"/>
      <w:lvlText w:val="%1."/>
      <w:lvlJc w:val="right"/>
      <w:pPr>
        <w:ind w:left="2520" w:hanging="360"/>
      </w:pPr>
      <w:rPr>
        <w:b w:val="0"/>
        <w:i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0">
    <w:nsid w:val="44360177"/>
    <w:multiLevelType w:val="hybridMultilevel"/>
    <w:tmpl w:val="956259A0"/>
    <w:lvl w:ilvl="0" w:tplc="334A1934">
      <w:start w:val="1"/>
      <w:numFmt w:val="bullet"/>
      <w:lvlText w:val=""/>
      <w:lvlJc w:val="left"/>
      <w:pPr>
        <w:ind w:left="1440" w:hanging="360"/>
      </w:pPr>
      <w:rPr>
        <w:rFonts w:ascii="Symbol" w:hAnsi="Symbol"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75F3C78"/>
    <w:multiLevelType w:val="hybridMultilevel"/>
    <w:tmpl w:val="FAB0B3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48C318B5"/>
    <w:multiLevelType w:val="hybridMultilevel"/>
    <w:tmpl w:val="B9A22002"/>
    <w:lvl w:ilvl="0" w:tplc="36B8A154">
      <w:start w:val="1"/>
      <w:numFmt w:val="none"/>
      <w:lvlText w:val="4."/>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F763590"/>
    <w:multiLevelType w:val="hybridMultilevel"/>
    <w:tmpl w:val="C1F2F712"/>
    <w:lvl w:ilvl="0" w:tplc="F66AEAB4">
      <w:start w:val="1"/>
      <w:numFmt w:val="none"/>
      <w:lvlText w:val="7."/>
      <w:lvlJc w:val="left"/>
      <w:pPr>
        <w:ind w:left="644" w:hanging="360"/>
      </w:pPr>
      <w:rPr>
        <w:rFonts w:hint="default"/>
        <w:b/>
        <w:color w:val="E36C0A" w:themeColor="accent6" w:themeShade="BF"/>
      </w:r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64">
    <w:nsid w:val="5506218B"/>
    <w:multiLevelType w:val="hybridMultilevel"/>
    <w:tmpl w:val="21CA98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56CF0FE2"/>
    <w:multiLevelType w:val="hybridMultilevel"/>
    <w:tmpl w:val="F76446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5DE6108D"/>
    <w:multiLevelType w:val="hybridMultilevel"/>
    <w:tmpl w:val="54BC45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5E7150CE"/>
    <w:multiLevelType w:val="hybridMultilevel"/>
    <w:tmpl w:val="8FB225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5E9F3DC1"/>
    <w:multiLevelType w:val="hybridMultilevel"/>
    <w:tmpl w:val="C05AE960"/>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9">
    <w:nsid w:val="60805304"/>
    <w:multiLevelType w:val="hybridMultilevel"/>
    <w:tmpl w:val="04E629E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62314A28"/>
    <w:multiLevelType w:val="hybridMultilevel"/>
    <w:tmpl w:val="50785B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62372B14"/>
    <w:multiLevelType w:val="hybridMultilevel"/>
    <w:tmpl w:val="A5A42E7C"/>
    <w:lvl w:ilvl="0" w:tplc="8F320334">
      <w:start w:val="1"/>
      <w:numFmt w:val="bullet"/>
      <w:lvlText w:val=""/>
      <w:lvlJc w:val="left"/>
      <w:pPr>
        <w:ind w:left="216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649747DF"/>
    <w:multiLevelType w:val="hybridMultilevel"/>
    <w:tmpl w:val="E80833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6572073A"/>
    <w:multiLevelType w:val="hybridMultilevel"/>
    <w:tmpl w:val="F2D6C188"/>
    <w:lvl w:ilvl="0" w:tplc="9060383C">
      <w:start w:val="1"/>
      <w:numFmt w:val="bullet"/>
      <w:lvlText w:val=""/>
      <w:lvlJc w:val="left"/>
      <w:pPr>
        <w:ind w:left="144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5F70290"/>
    <w:multiLevelType w:val="hybridMultilevel"/>
    <w:tmpl w:val="09A8C9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6D25625"/>
    <w:multiLevelType w:val="hybridMultilevel"/>
    <w:tmpl w:val="2090B820"/>
    <w:lvl w:ilvl="0" w:tplc="3E8625A4">
      <w:start w:val="1"/>
      <w:numFmt w:val="none"/>
      <w:lvlText w:val="9."/>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6E77E0A"/>
    <w:multiLevelType w:val="hybridMultilevel"/>
    <w:tmpl w:val="61E4BCA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673C2CEC"/>
    <w:multiLevelType w:val="hybridMultilevel"/>
    <w:tmpl w:val="26D4F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6AA17834"/>
    <w:multiLevelType w:val="hybridMultilevel"/>
    <w:tmpl w:val="869C74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6DED5CA1"/>
    <w:multiLevelType w:val="hybridMultilevel"/>
    <w:tmpl w:val="9306E4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6EE7755F"/>
    <w:multiLevelType w:val="hybridMultilevel"/>
    <w:tmpl w:val="8B8ABB78"/>
    <w:lvl w:ilvl="0" w:tplc="9402BA1A">
      <w:start w:val="1"/>
      <w:numFmt w:val="bullet"/>
      <w:lvlText w:val=""/>
      <w:lvlJc w:val="left"/>
      <w:pPr>
        <w:ind w:left="1495" w:hanging="360"/>
      </w:pPr>
      <w:rPr>
        <w:rFonts w:ascii="Symbol" w:hAnsi="Symbol" w:hint="default"/>
        <w:color w:val="000000" w:themeColor="text1"/>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81">
    <w:nsid w:val="6F734E8C"/>
    <w:multiLevelType w:val="hybridMultilevel"/>
    <w:tmpl w:val="3F983A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70677484"/>
    <w:multiLevelType w:val="hybridMultilevel"/>
    <w:tmpl w:val="7A3CB6D8"/>
    <w:lvl w:ilvl="0" w:tplc="41BC46DE">
      <w:start w:val="1"/>
      <w:numFmt w:val="none"/>
      <w:lvlText w:val="6."/>
      <w:lvlJc w:val="left"/>
      <w:pPr>
        <w:ind w:left="644" w:hanging="360"/>
      </w:pPr>
      <w:rPr>
        <w:rFonts w:hint="default"/>
      </w:rPr>
    </w:lvl>
    <w:lvl w:ilvl="1" w:tplc="04090019" w:tentative="1">
      <w:start w:val="1"/>
      <w:numFmt w:val="lowerLetter"/>
      <w:lvlText w:val="%2."/>
      <w:lvlJc w:val="left"/>
      <w:pPr>
        <w:ind w:left="-76" w:hanging="360"/>
      </w:pPr>
    </w:lvl>
    <w:lvl w:ilvl="2" w:tplc="0409001B" w:tentative="1">
      <w:start w:val="1"/>
      <w:numFmt w:val="lowerRoman"/>
      <w:lvlText w:val="%3."/>
      <w:lvlJc w:val="right"/>
      <w:pPr>
        <w:ind w:left="644" w:hanging="180"/>
      </w:pPr>
    </w:lvl>
    <w:lvl w:ilvl="3" w:tplc="0409000F" w:tentative="1">
      <w:start w:val="1"/>
      <w:numFmt w:val="decimal"/>
      <w:lvlText w:val="%4."/>
      <w:lvlJc w:val="left"/>
      <w:pPr>
        <w:ind w:left="1364" w:hanging="360"/>
      </w:pPr>
    </w:lvl>
    <w:lvl w:ilvl="4" w:tplc="04090019" w:tentative="1">
      <w:start w:val="1"/>
      <w:numFmt w:val="lowerLetter"/>
      <w:lvlText w:val="%5."/>
      <w:lvlJc w:val="left"/>
      <w:pPr>
        <w:ind w:left="2084" w:hanging="360"/>
      </w:pPr>
    </w:lvl>
    <w:lvl w:ilvl="5" w:tplc="0409001B" w:tentative="1">
      <w:start w:val="1"/>
      <w:numFmt w:val="lowerRoman"/>
      <w:lvlText w:val="%6."/>
      <w:lvlJc w:val="right"/>
      <w:pPr>
        <w:ind w:left="2804" w:hanging="180"/>
      </w:pPr>
    </w:lvl>
    <w:lvl w:ilvl="6" w:tplc="0409000F" w:tentative="1">
      <w:start w:val="1"/>
      <w:numFmt w:val="decimal"/>
      <w:lvlText w:val="%7."/>
      <w:lvlJc w:val="left"/>
      <w:pPr>
        <w:ind w:left="3524" w:hanging="360"/>
      </w:pPr>
    </w:lvl>
    <w:lvl w:ilvl="7" w:tplc="04090019" w:tentative="1">
      <w:start w:val="1"/>
      <w:numFmt w:val="lowerLetter"/>
      <w:lvlText w:val="%8."/>
      <w:lvlJc w:val="left"/>
      <w:pPr>
        <w:ind w:left="4244" w:hanging="360"/>
      </w:pPr>
    </w:lvl>
    <w:lvl w:ilvl="8" w:tplc="0409001B" w:tentative="1">
      <w:start w:val="1"/>
      <w:numFmt w:val="lowerRoman"/>
      <w:lvlText w:val="%9."/>
      <w:lvlJc w:val="right"/>
      <w:pPr>
        <w:ind w:left="4964" w:hanging="180"/>
      </w:pPr>
    </w:lvl>
  </w:abstractNum>
  <w:abstractNum w:abstractNumId="83">
    <w:nsid w:val="71867230"/>
    <w:multiLevelType w:val="hybridMultilevel"/>
    <w:tmpl w:val="3160760E"/>
    <w:lvl w:ilvl="0" w:tplc="9060383C">
      <w:start w:val="1"/>
      <w:numFmt w:val="bullet"/>
      <w:lvlText w:val=""/>
      <w:lvlJc w:val="left"/>
      <w:pPr>
        <w:ind w:left="1440" w:hanging="360"/>
      </w:pPr>
      <w:rPr>
        <w:rFonts w:ascii="Symbol" w:hAnsi="Symbol" w:hint="default"/>
        <w:color w:val="000000" w:themeColor="text1"/>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739A25B1"/>
    <w:multiLevelType w:val="hybridMultilevel"/>
    <w:tmpl w:val="5058913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7458294C"/>
    <w:multiLevelType w:val="hybridMultilevel"/>
    <w:tmpl w:val="25A233A6"/>
    <w:lvl w:ilvl="0" w:tplc="E91421D0">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776C3B90"/>
    <w:multiLevelType w:val="hybridMultilevel"/>
    <w:tmpl w:val="9C16A22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77BC4738"/>
    <w:multiLevelType w:val="hybridMultilevel"/>
    <w:tmpl w:val="BFEA2FF6"/>
    <w:lvl w:ilvl="0" w:tplc="04090001">
      <w:start w:val="1"/>
      <w:numFmt w:val="bullet"/>
      <w:lvlText w:val=""/>
      <w:lvlJc w:val="left"/>
      <w:pPr>
        <w:ind w:left="1364" w:hanging="360"/>
      </w:pPr>
      <w:rPr>
        <w:rFonts w:ascii="Symbol" w:hAnsi="Symbol" w:hint="default"/>
      </w:rPr>
    </w:lvl>
    <w:lvl w:ilvl="1" w:tplc="04090003">
      <w:start w:val="1"/>
      <w:numFmt w:val="bullet"/>
      <w:lvlText w:val="o"/>
      <w:lvlJc w:val="left"/>
      <w:pPr>
        <w:ind w:left="2084" w:hanging="360"/>
      </w:pPr>
      <w:rPr>
        <w:rFonts w:ascii="Courier New" w:hAnsi="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88">
    <w:nsid w:val="77EA0F62"/>
    <w:multiLevelType w:val="hybridMultilevel"/>
    <w:tmpl w:val="B8ECD76E"/>
    <w:lvl w:ilvl="0" w:tplc="9402BA1A">
      <w:start w:val="1"/>
      <w:numFmt w:val="bullet"/>
      <w:lvlText w:val=""/>
      <w:lvlJc w:val="left"/>
      <w:pPr>
        <w:ind w:left="1495"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AB36B5B"/>
    <w:multiLevelType w:val="hybridMultilevel"/>
    <w:tmpl w:val="BB6CA6E6"/>
    <w:lvl w:ilvl="0" w:tplc="D7C8C0E2">
      <w:start w:val="1"/>
      <w:numFmt w:val="decimal"/>
      <w:lvlText w:val="%1."/>
      <w:lvlJc w:val="left"/>
      <w:pPr>
        <w:ind w:left="720" w:hanging="360"/>
      </w:pPr>
      <w:rPr>
        <w:rFonts w:hint="default"/>
        <w:b/>
        <w:color w:val="E36C0A" w:themeColor="accent6"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B9B2ADB"/>
    <w:multiLevelType w:val="hybridMultilevel"/>
    <w:tmpl w:val="C28AC9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7C004F1A"/>
    <w:multiLevelType w:val="hybridMultilevel"/>
    <w:tmpl w:val="BC9E93C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2">
    <w:nsid w:val="7ECF2D20"/>
    <w:multiLevelType w:val="hybridMultilevel"/>
    <w:tmpl w:val="E0DA8B00"/>
    <w:lvl w:ilvl="0" w:tplc="0409000F">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0F">
      <w:start w:val="1"/>
      <w:numFmt w:val="decimal"/>
      <w:lvlText w:val="%3."/>
      <w:lvlJc w:val="left"/>
      <w:pPr>
        <w:ind w:left="2160" w:hanging="36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3">
    <w:nsid w:val="7ED04C0E"/>
    <w:multiLevelType w:val="hybridMultilevel"/>
    <w:tmpl w:val="141235B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7EFE2B38"/>
    <w:multiLevelType w:val="hybridMultilevel"/>
    <w:tmpl w:val="53EC13D4"/>
    <w:lvl w:ilvl="0" w:tplc="04090013">
      <w:start w:val="1"/>
      <w:numFmt w:val="upp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5"/>
  </w:num>
  <w:num w:numId="2">
    <w:abstractNumId w:val="61"/>
  </w:num>
  <w:num w:numId="3">
    <w:abstractNumId w:val="10"/>
  </w:num>
  <w:num w:numId="4">
    <w:abstractNumId w:val="18"/>
  </w:num>
  <w:num w:numId="5">
    <w:abstractNumId w:val="69"/>
  </w:num>
  <w:num w:numId="6">
    <w:abstractNumId w:val="5"/>
  </w:num>
  <w:num w:numId="7">
    <w:abstractNumId w:val="1"/>
  </w:num>
  <w:num w:numId="8">
    <w:abstractNumId w:val="49"/>
  </w:num>
  <w:num w:numId="9">
    <w:abstractNumId w:val="75"/>
  </w:num>
  <w:num w:numId="10">
    <w:abstractNumId w:val="11"/>
  </w:num>
  <w:num w:numId="11">
    <w:abstractNumId w:val="4"/>
  </w:num>
  <w:num w:numId="12">
    <w:abstractNumId w:val="14"/>
  </w:num>
  <w:num w:numId="13">
    <w:abstractNumId w:val="55"/>
  </w:num>
  <w:num w:numId="14">
    <w:abstractNumId w:val="60"/>
  </w:num>
  <w:num w:numId="15">
    <w:abstractNumId w:val="92"/>
  </w:num>
  <w:num w:numId="16">
    <w:abstractNumId w:val="0"/>
  </w:num>
  <w:num w:numId="17">
    <w:abstractNumId w:val="50"/>
  </w:num>
  <w:num w:numId="18">
    <w:abstractNumId w:val="22"/>
  </w:num>
  <w:num w:numId="19">
    <w:abstractNumId w:val="62"/>
  </w:num>
  <w:num w:numId="20">
    <w:abstractNumId w:val="54"/>
  </w:num>
  <w:num w:numId="21">
    <w:abstractNumId w:val="80"/>
  </w:num>
  <w:num w:numId="22">
    <w:abstractNumId w:val="88"/>
  </w:num>
  <w:num w:numId="23">
    <w:abstractNumId w:val="48"/>
  </w:num>
  <w:num w:numId="24">
    <w:abstractNumId w:val="82"/>
  </w:num>
  <w:num w:numId="25">
    <w:abstractNumId w:val="83"/>
  </w:num>
  <w:num w:numId="26">
    <w:abstractNumId w:val="73"/>
  </w:num>
  <w:num w:numId="27">
    <w:abstractNumId w:val="17"/>
  </w:num>
  <w:num w:numId="28">
    <w:abstractNumId w:val="81"/>
  </w:num>
  <w:num w:numId="29">
    <w:abstractNumId w:val="65"/>
  </w:num>
  <w:num w:numId="30">
    <w:abstractNumId w:val="86"/>
  </w:num>
  <w:num w:numId="31">
    <w:abstractNumId w:val="25"/>
  </w:num>
  <w:num w:numId="32">
    <w:abstractNumId w:val="52"/>
  </w:num>
  <w:num w:numId="33">
    <w:abstractNumId w:val="38"/>
  </w:num>
  <w:num w:numId="34">
    <w:abstractNumId w:val="63"/>
  </w:num>
  <w:num w:numId="35">
    <w:abstractNumId w:val="87"/>
  </w:num>
  <w:num w:numId="36">
    <w:abstractNumId w:val="43"/>
  </w:num>
  <w:num w:numId="37">
    <w:abstractNumId w:val="28"/>
  </w:num>
  <w:num w:numId="38">
    <w:abstractNumId w:val="39"/>
  </w:num>
  <w:num w:numId="39">
    <w:abstractNumId w:val="93"/>
  </w:num>
  <w:num w:numId="40">
    <w:abstractNumId w:val="23"/>
  </w:num>
  <w:num w:numId="41">
    <w:abstractNumId w:val="78"/>
  </w:num>
  <w:num w:numId="42">
    <w:abstractNumId w:val="41"/>
  </w:num>
  <w:num w:numId="43">
    <w:abstractNumId w:val="40"/>
  </w:num>
  <w:num w:numId="44">
    <w:abstractNumId w:val="34"/>
  </w:num>
  <w:num w:numId="45">
    <w:abstractNumId w:val="45"/>
  </w:num>
  <w:num w:numId="46">
    <w:abstractNumId w:val="74"/>
  </w:num>
  <w:num w:numId="47">
    <w:abstractNumId w:val="20"/>
  </w:num>
  <w:num w:numId="48">
    <w:abstractNumId w:val="89"/>
  </w:num>
  <w:num w:numId="49">
    <w:abstractNumId w:val="66"/>
  </w:num>
  <w:num w:numId="50">
    <w:abstractNumId w:val="90"/>
  </w:num>
  <w:num w:numId="51">
    <w:abstractNumId w:val="9"/>
  </w:num>
  <w:num w:numId="52">
    <w:abstractNumId w:val="76"/>
  </w:num>
  <w:num w:numId="53">
    <w:abstractNumId w:val="59"/>
  </w:num>
  <w:num w:numId="54">
    <w:abstractNumId w:val="31"/>
  </w:num>
  <w:num w:numId="55">
    <w:abstractNumId w:val="46"/>
  </w:num>
  <w:num w:numId="56">
    <w:abstractNumId w:val="6"/>
  </w:num>
  <w:num w:numId="57">
    <w:abstractNumId w:val="3"/>
  </w:num>
  <w:num w:numId="58">
    <w:abstractNumId w:val="2"/>
  </w:num>
  <w:num w:numId="59">
    <w:abstractNumId w:val="64"/>
  </w:num>
  <w:num w:numId="60">
    <w:abstractNumId w:val="70"/>
  </w:num>
  <w:num w:numId="61">
    <w:abstractNumId w:val="44"/>
  </w:num>
  <w:num w:numId="62">
    <w:abstractNumId w:val="72"/>
  </w:num>
  <w:num w:numId="63">
    <w:abstractNumId w:val="84"/>
  </w:num>
  <w:num w:numId="64">
    <w:abstractNumId w:val="21"/>
  </w:num>
  <w:num w:numId="65">
    <w:abstractNumId w:val="94"/>
  </w:num>
  <w:num w:numId="66">
    <w:abstractNumId w:val="8"/>
  </w:num>
  <w:num w:numId="67">
    <w:abstractNumId w:val="30"/>
  </w:num>
  <w:num w:numId="68">
    <w:abstractNumId w:val="79"/>
  </w:num>
  <w:num w:numId="69">
    <w:abstractNumId w:val="57"/>
  </w:num>
  <w:num w:numId="70">
    <w:abstractNumId w:val="12"/>
  </w:num>
  <w:num w:numId="71">
    <w:abstractNumId w:val="71"/>
  </w:num>
  <w:num w:numId="72">
    <w:abstractNumId w:val="35"/>
  </w:num>
  <w:num w:numId="73">
    <w:abstractNumId w:val="53"/>
  </w:num>
  <w:num w:numId="74">
    <w:abstractNumId w:val="47"/>
  </w:num>
  <w:num w:numId="75">
    <w:abstractNumId w:val="67"/>
  </w:num>
  <w:num w:numId="76">
    <w:abstractNumId w:val="29"/>
  </w:num>
  <w:num w:numId="77">
    <w:abstractNumId w:val="32"/>
  </w:num>
  <w:num w:numId="78">
    <w:abstractNumId w:val="33"/>
  </w:num>
  <w:num w:numId="79">
    <w:abstractNumId w:val="91"/>
  </w:num>
  <w:num w:numId="80">
    <w:abstractNumId w:val="19"/>
  </w:num>
  <w:num w:numId="81">
    <w:abstractNumId w:val="68"/>
  </w:num>
  <w:num w:numId="82">
    <w:abstractNumId w:val="77"/>
  </w:num>
  <w:num w:numId="83">
    <w:abstractNumId w:val="7"/>
  </w:num>
  <w:num w:numId="84">
    <w:abstractNumId w:val="26"/>
  </w:num>
  <w:num w:numId="85">
    <w:abstractNumId w:val="56"/>
  </w:num>
  <w:num w:numId="86">
    <w:abstractNumId w:val="51"/>
  </w:num>
  <w:num w:numId="87">
    <w:abstractNumId w:val="24"/>
  </w:num>
  <w:num w:numId="88">
    <w:abstractNumId w:val="58"/>
  </w:num>
  <w:num w:numId="89">
    <w:abstractNumId w:val="85"/>
  </w:num>
  <w:num w:numId="90">
    <w:abstractNumId w:val="37"/>
  </w:num>
  <w:num w:numId="91">
    <w:abstractNumId w:val="27"/>
  </w:num>
  <w:num w:numId="92">
    <w:abstractNumId w:val="42"/>
  </w:num>
  <w:num w:numId="93">
    <w:abstractNumId w:val="13"/>
  </w:num>
  <w:num w:numId="94">
    <w:abstractNumId w:val="16"/>
  </w:num>
  <w:num w:numId="95">
    <w:abstractNumId w:val="36"/>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E2A"/>
    <w:rsid w:val="00003879"/>
    <w:rsid w:val="00022E88"/>
    <w:rsid w:val="00051A77"/>
    <w:rsid w:val="000B0A01"/>
    <w:rsid w:val="000B42B3"/>
    <w:rsid w:val="00107CA3"/>
    <w:rsid w:val="001108BD"/>
    <w:rsid w:val="00152751"/>
    <w:rsid w:val="00157C0B"/>
    <w:rsid w:val="0016664E"/>
    <w:rsid w:val="00173F3B"/>
    <w:rsid w:val="00196C65"/>
    <w:rsid w:val="001A7111"/>
    <w:rsid w:val="001B0D8A"/>
    <w:rsid w:val="001F6DBA"/>
    <w:rsid w:val="002118A0"/>
    <w:rsid w:val="002203BB"/>
    <w:rsid w:val="00262F9B"/>
    <w:rsid w:val="00263A71"/>
    <w:rsid w:val="00275EB8"/>
    <w:rsid w:val="00283F75"/>
    <w:rsid w:val="002A7C86"/>
    <w:rsid w:val="002B18DF"/>
    <w:rsid w:val="002C6BA4"/>
    <w:rsid w:val="002E592D"/>
    <w:rsid w:val="00321394"/>
    <w:rsid w:val="00323027"/>
    <w:rsid w:val="003673AC"/>
    <w:rsid w:val="00375A62"/>
    <w:rsid w:val="003A1C3D"/>
    <w:rsid w:val="003D3067"/>
    <w:rsid w:val="003E6DEC"/>
    <w:rsid w:val="003F3843"/>
    <w:rsid w:val="004135A4"/>
    <w:rsid w:val="004137FE"/>
    <w:rsid w:val="00430BFF"/>
    <w:rsid w:val="00460A70"/>
    <w:rsid w:val="004739B0"/>
    <w:rsid w:val="00496B0D"/>
    <w:rsid w:val="004B6CFB"/>
    <w:rsid w:val="004C4B70"/>
    <w:rsid w:val="004F0FC6"/>
    <w:rsid w:val="005011FE"/>
    <w:rsid w:val="005014EA"/>
    <w:rsid w:val="00585E2A"/>
    <w:rsid w:val="005A50D5"/>
    <w:rsid w:val="005A7B5B"/>
    <w:rsid w:val="006725C1"/>
    <w:rsid w:val="006D6845"/>
    <w:rsid w:val="00720464"/>
    <w:rsid w:val="00727C1A"/>
    <w:rsid w:val="00731715"/>
    <w:rsid w:val="00770F8F"/>
    <w:rsid w:val="007837A6"/>
    <w:rsid w:val="007A58A0"/>
    <w:rsid w:val="007D13AB"/>
    <w:rsid w:val="007D2D2E"/>
    <w:rsid w:val="00843A6A"/>
    <w:rsid w:val="0086185D"/>
    <w:rsid w:val="008759CF"/>
    <w:rsid w:val="008925BD"/>
    <w:rsid w:val="008C6AF6"/>
    <w:rsid w:val="00976205"/>
    <w:rsid w:val="0099095C"/>
    <w:rsid w:val="00996AD7"/>
    <w:rsid w:val="009D4A1D"/>
    <w:rsid w:val="009F7354"/>
    <w:rsid w:val="00A068B8"/>
    <w:rsid w:val="00A06BC6"/>
    <w:rsid w:val="00A17F2D"/>
    <w:rsid w:val="00A566CC"/>
    <w:rsid w:val="00A93771"/>
    <w:rsid w:val="00AF0E8B"/>
    <w:rsid w:val="00AF51B9"/>
    <w:rsid w:val="00AF5243"/>
    <w:rsid w:val="00AF6A9B"/>
    <w:rsid w:val="00B068CB"/>
    <w:rsid w:val="00B366FC"/>
    <w:rsid w:val="00B42EE6"/>
    <w:rsid w:val="00B4644E"/>
    <w:rsid w:val="00B547D7"/>
    <w:rsid w:val="00B642BD"/>
    <w:rsid w:val="00B813DD"/>
    <w:rsid w:val="00B92400"/>
    <w:rsid w:val="00B96C3D"/>
    <w:rsid w:val="00B976FF"/>
    <w:rsid w:val="00BB17E0"/>
    <w:rsid w:val="00BE472A"/>
    <w:rsid w:val="00C04EAB"/>
    <w:rsid w:val="00C068D8"/>
    <w:rsid w:val="00C14C90"/>
    <w:rsid w:val="00C3214E"/>
    <w:rsid w:val="00C43D49"/>
    <w:rsid w:val="00C51776"/>
    <w:rsid w:val="00C57AAC"/>
    <w:rsid w:val="00C62BA5"/>
    <w:rsid w:val="00C7564D"/>
    <w:rsid w:val="00C95606"/>
    <w:rsid w:val="00CA48B1"/>
    <w:rsid w:val="00CB4B8A"/>
    <w:rsid w:val="00CE28CA"/>
    <w:rsid w:val="00D25643"/>
    <w:rsid w:val="00D40BC8"/>
    <w:rsid w:val="00D67090"/>
    <w:rsid w:val="00D84DC2"/>
    <w:rsid w:val="00DA1DA2"/>
    <w:rsid w:val="00DB6EFF"/>
    <w:rsid w:val="00DC2745"/>
    <w:rsid w:val="00DC4EF2"/>
    <w:rsid w:val="00DD79E1"/>
    <w:rsid w:val="00E01F5C"/>
    <w:rsid w:val="00E105BD"/>
    <w:rsid w:val="00E310FA"/>
    <w:rsid w:val="00E4259E"/>
    <w:rsid w:val="00E66543"/>
    <w:rsid w:val="00E85ECD"/>
    <w:rsid w:val="00ED2BCF"/>
    <w:rsid w:val="00F32182"/>
    <w:rsid w:val="00F57F4E"/>
    <w:rsid w:val="00F71E91"/>
    <w:rsid w:val="00F94E73"/>
    <w:rsid w:val="00FA0B90"/>
    <w:rsid w:val="00FF04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EC2F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4E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4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C1EFF-C26E-9248-AB49-712F7EA69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16</Pages>
  <Words>7925</Words>
  <Characters>45178</Characters>
  <Application>Microsoft Macintosh Word</Application>
  <DocSecurity>0</DocSecurity>
  <Lines>376</Lines>
  <Paragraphs>105</Paragraphs>
  <ScaleCrop>false</ScaleCrop>
  <Company/>
  <LinksUpToDate>false</LinksUpToDate>
  <CharactersWithSpaces>52998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Sevier</dc:creator>
  <cp:keywords/>
  <dc:description/>
  <cp:lastModifiedBy>Leslie Sevier</cp:lastModifiedBy>
  <cp:revision>34</cp:revision>
  <dcterms:created xsi:type="dcterms:W3CDTF">2015-10-20T23:30:00Z</dcterms:created>
  <dcterms:modified xsi:type="dcterms:W3CDTF">2015-10-25T23:58:00Z</dcterms:modified>
</cp:coreProperties>
</file>