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1718C" w14:textId="77777777" w:rsidR="00CE4BFB" w:rsidRDefault="00CE4BFB" w:rsidP="00CE4BFB">
      <w:pPr>
        <w:rPr>
          <w:rFonts w:ascii="Times New Roman" w:hAnsi="Times New Roman" w:cs="Times New Roman"/>
          <w:color w:val="000000"/>
          <w:lang w:val="fr-CA"/>
        </w:rPr>
      </w:pPr>
      <w:r w:rsidRPr="00CE4BFB">
        <w:rPr>
          <w:rFonts w:ascii="Times New Roman" w:hAnsi="Times New Roman" w:cs="Times New Roman"/>
          <w:color w:val="000000"/>
        </w:rPr>
        <w:t>Microbiologie :</w:t>
      </w:r>
      <w:r>
        <w:rPr>
          <w:rFonts w:ascii="Times New Roman" w:hAnsi="Times New Roman" w:cs="Times New Roman"/>
          <w:color w:val="000000"/>
        </w:rPr>
        <w:t xml:space="preserve"> </w:t>
      </w:r>
      <w:r w:rsidRPr="00CE4BFB">
        <w:rPr>
          <w:rFonts w:ascii="Times New Roman" w:hAnsi="Times New Roman" w:cs="Times New Roman"/>
          <w:color w:val="000000"/>
          <w:lang w:val="fr-CA"/>
        </w:rPr>
        <w:t>L’Étude des Microorganismes</w:t>
      </w:r>
    </w:p>
    <w:p w14:paraId="4D0DFDF2" w14:textId="77777777" w:rsidR="00CE4BFB" w:rsidRPr="00CE4BFB" w:rsidRDefault="00CE4BFB" w:rsidP="00CE4BFB">
      <w:pPr>
        <w:rPr>
          <w:rFonts w:ascii="Times New Roman" w:hAnsi="Times New Roman" w:cs="Times New Roman"/>
          <w:color w:val="000000"/>
        </w:rPr>
      </w:pPr>
      <w:bookmarkStart w:id="0" w:name="_GoBack"/>
      <w:bookmarkEnd w:id="0"/>
    </w:p>
    <w:p w14:paraId="2CD41C7C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 xml:space="preserve">Définition d’un Microorganisme </w:t>
      </w:r>
    </w:p>
    <w:p w14:paraId="60558647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Dérivé du grec: </w:t>
      </w:r>
      <w:r w:rsidRPr="00CE4BFB">
        <w:rPr>
          <w:rFonts w:ascii="Times New Roman" w:hAnsi="Times New Roman" w:cs="Times New Roman"/>
          <w:i/>
          <w:iCs/>
          <w:color w:val="000000"/>
          <w:lang w:val="fr-CA"/>
        </w:rPr>
        <w:t>Mikros</w:t>
      </w:r>
      <w:r w:rsidRPr="00CE4BFB">
        <w:rPr>
          <w:rFonts w:ascii="Times New Roman" w:hAnsi="Times New Roman" w:cs="Times New Roman"/>
          <w:color w:val="000000"/>
          <w:lang w:val="fr-CA"/>
        </w:rPr>
        <w:t xml:space="preserve">, «petit» et </w:t>
      </w:r>
      <w:r w:rsidRPr="00CE4BFB">
        <w:rPr>
          <w:rFonts w:ascii="Times New Roman" w:hAnsi="Times New Roman" w:cs="Times New Roman"/>
          <w:i/>
          <w:iCs/>
          <w:color w:val="000000"/>
          <w:lang w:val="fr-CA"/>
        </w:rPr>
        <w:t>Organismos</w:t>
      </w:r>
      <w:r w:rsidRPr="00CE4BFB">
        <w:rPr>
          <w:rFonts w:ascii="Times New Roman" w:hAnsi="Times New Roman" w:cs="Times New Roman"/>
          <w:color w:val="000000"/>
          <w:lang w:val="fr-CA"/>
        </w:rPr>
        <w:t xml:space="preserve">, «organisme» Organisme microscopique qui comprend soit une seule cellule (unicellulaire) </w:t>
      </w:r>
    </w:p>
    <w:p w14:paraId="4C0D4BB3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ou un amas de cellules identiques (non différentiée) </w:t>
      </w:r>
    </w:p>
    <w:p w14:paraId="351E002C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Ils comprennent les bactéries, les champignons, les algues, les virus, et les protozoaires </w:t>
      </w:r>
    </w:p>
    <w:p w14:paraId="5AF97246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 </w:t>
      </w:r>
    </w:p>
    <w:p w14:paraId="2EA1BC8D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_Organisme?</w:t>
      </w:r>
    </w:p>
    <w:p w14:paraId="0DCB2DE4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Qui est vivant</w:t>
      </w:r>
    </w:p>
    <w:p w14:paraId="46AC2DF0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Possède un métabolisme </w:t>
      </w:r>
    </w:p>
    <w:p w14:paraId="566B2D2C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Qui peut vivre de façon indépendante </w:t>
      </w:r>
    </w:p>
    <w:p w14:paraId="68B0DAC8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N’est pas l’unité d’une organisation multicellulaire </w:t>
      </w:r>
      <w:r w:rsidRPr="00CE4BFB">
        <w:rPr>
          <w:rFonts w:ascii="Times New Roman" w:hAnsi="Times New Roman" w:cs="Times New Roman"/>
          <w:color w:val="000000"/>
          <w:lang w:val="fr-CA"/>
        </w:rPr>
        <w:t xml:space="preserve">Ex. une cellule du foie n’est pas un organisme </w:t>
      </w:r>
    </w:p>
    <w:p w14:paraId="63C616C7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Exception: Parasite obligatoire</w:t>
      </w:r>
    </w:p>
    <w:p w14:paraId="4164AE41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Ne peut pas vivre de façon indépendante, mais est un organisme! </w:t>
      </w:r>
    </w:p>
    <w:p w14:paraId="4E7DC4E9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</w:rPr>
      </w:pPr>
      <w:r w:rsidRPr="00CE4BFB">
        <w:rPr>
          <w:rFonts w:ascii="Times New Roman" w:hAnsi="Times New Roman" w:cs="Times New Roman"/>
          <w:color w:val="000000"/>
        </w:rPr>
        <w:t> </w:t>
      </w:r>
    </w:p>
    <w:p w14:paraId="49F7FB8E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 xml:space="preserve">Propriétés de la Vie </w:t>
      </w:r>
    </w:p>
    <w:p w14:paraId="497A596B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Les organismes vivants: </w:t>
      </w:r>
    </w:p>
    <w:p w14:paraId="75C527BF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Sont composés de cellules</w:t>
      </w:r>
    </w:p>
    <w:p w14:paraId="2792CE56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Réagissent à leurs environnements</w:t>
      </w:r>
    </w:p>
    <w:p w14:paraId="46028E23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Peuvent se nourrir</w:t>
      </w:r>
    </w:p>
    <w:p w14:paraId="6B13A6D5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Sont capable d’obtenir et d’utiliser de l’énergie </w:t>
      </w:r>
    </w:p>
    <w:p w14:paraId="6BF43C93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Ils maintiennent un équilibre interne</w:t>
      </w:r>
    </w:p>
    <w:p w14:paraId="13C4D5B5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Peuvent croître et se reproduire </w:t>
      </w:r>
    </w:p>
    <w:p w14:paraId="01472F70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</w:rPr>
        <w:t>–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  <w:r w:rsidRPr="00CE4BFB">
        <w:rPr>
          <w:rFonts w:ascii="Times New Roman" w:hAnsi="Times New Roman" w:cs="Times New Roman"/>
          <w:color w:val="000000"/>
          <w:lang w:val="fr-CA"/>
        </w:rPr>
        <w:t xml:space="preserve">Ils sont assujettis à une adaptation évolutionnaire </w:t>
      </w:r>
    </w:p>
    <w:p w14:paraId="22F39562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75B6A532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Unité de la Vie - La Cellule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7AEC5746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i/>
          <w:iCs/>
          <w:color w:val="000000"/>
          <w:u w:val="single"/>
          <w:lang w:val="en-CA"/>
        </w:rPr>
        <w:t>Composantes structurales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: </w:t>
      </w:r>
    </w:p>
    <w:p w14:paraId="57DD146F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Membrane plasmique, +/- Paroi cellulaire, Noyau/Nucléoïde, Cytoplasme </w:t>
      </w:r>
    </w:p>
    <w:p w14:paraId="5765D7D7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 </w:t>
      </w:r>
    </w:p>
    <w:p w14:paraId="7916340F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i/>
          <w:iCs/>
          <w:color w:val="000000"/>
          <w:u w:val="single"/>
          <w:lang w:val="en-CA"/>
        </w:rPr>
        <w:t>Composantes chimiques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: </w:t>
      </w:r>
    </w:p>
    <w:p w14:paraId="63D8254C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Protéines, Lipides, Polysaccharides,  Acides nucléiques </w:t>
      </w:r>
    </w:p>
    <w:p w14:paraId="761BCC91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 </w:t>
      </w:r>
    </w:p>
    <w:p w14:paraId="2383CF76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Cellules Eucaryotes Vs Procaryote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tbl>
      <w:tblPr>
        <w:tblW w:w="0" w:type="auto"/>
        <w:tblInd w:w="4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8"/>
        <w:gridCol w:w="3787"/>
      </w:tblGrid>
      <w:tr w:rsidR="00CE4BFB" w:rsidRPr="00CE4BFB" w14:paraId="689031EB" w14:textId="77777777" w:rsidTr="00CE4BFB">
        <w:tc>
          <w:tcPr>
            <w:tcW w:w="28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2BAB437" w14:textId="77777777" w:rsidR="00CE4BFB" w:rsidRPr="00CE4BFB" w:rsidRDefault="00CE4BFB" w:rsidP="00CE4BFB">
            <w:pPr>
              <w:rPr>
                <w:rFonts w:ascii="Times New Roman" w:hAnsi="Times New Roman" w:cs="Times New Roman"/>
                <w:color w:val="000000"/>
              </w:rPr>
            </w:pPr>
            <w:r w:rsidRPr="00CE4BF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Eucaryote </w:t>
            </w:r>
          </w:p>
        </w:tc>
        <w:tc>
          <w:tcPr>
            <w:tcW w:w="37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FA06D5C" w14:textId="77777777" w:rsidR="00CE4BFB" w:rsidRPr="00CE4BFB" w:rsidRDefault="00CE4BFB" w:rsidP="00CE4BFB">
            <w:pPr>
              <w:rPr>
                <w:rFonts w:ascii="Times New Roman" w:hAnsi="Times New Roman" w:cs="Times New Roman"/>
                <w:color w:val="000000"/>
              </w:rPr>
            </w:pPr>
            <w:r w:rsidRPr="00CE4BF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Procaryote </w:t>
            </w:r>
          </w:p>
        </w:tc>
      </w:tr>
      <w:tr w:rsidR="00CE4BFB" w:rsidRPr="00CE4BFB" w14:paraId="18288501" w14:textId="77777777" w:rsidTr="00CE4BFB">
        <w:tc>
          <w:tcPr>
            <w:tcW w:w="286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ED7F9DB" w14:textId="77777777" w:rsidR="00CE4BFB" w:rsidRPr="00CE4BFB" w:rsidRDefault="00CE4BFB" w:rsidP="00CE4BFB">
            <w:pPr>
              <w:rPr>
                <w:rFonts w:ascii="Times New Roman" w:hAnsi="Times New Roman" w:cs="Times New Roman"/>
                <w:color w:val="000000"/>
              </w:rPr>
            </w:pPr>
            <w:r w:rsidRPr="00CE4BFB">
              <w:rPr>
                <w:rFonts w:ascii="Times New Roman" w:hAnsi="Times New Roman" w:cs="Times New Roman"/>
                <w:color w:val="000000"/>
              </w:rPr>
              <w:t xml:space="preserve">Membrane nucléaire Noyau </w:t>
            </w:r>
          </w:p>
        </w:tc>
        <w:tc>
          <w:tcPr>
            <w:tcW w:w="37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E993F91" w14:textId="77777777" w:rsidR="00CE4BFB" w:rsidRPr="00CE4BFB" w:rsidRDefault="00CE4BFB" w:rsidP="00CE4BFB">
            <w:pPr>
              <w:rPr>
                <w:rFonts w:ascii="Times New Roman" w:hAnsi="Times New Roman" w:cs="Times New Roman"/>
                <w:color w:val="000000"/>
              </w:rPr>
            </w:pPr>
            <w:r w:rsidRPr="00CE4BFB">
              <w:rPr>
                <w:rFonts w:ascii="Times New Roman" w:hAnsi="Times New Roman" w:cs="Times New Roman"/>
                <w:color w:val="000000"/>
              </w:rPr>
              <w:t xml:space="preserve">Aucune membrane nucléaire Nucléoïde </w:t>
            </w:r>
          </w:p>
        </w:tc>
      </w:tr>
      <w:tr w:rsidR="00CE4BFB" w:rsidRPr="00CE4BFB" w14:paraId="6FCB15AC" w14:textId="77777777" w:rsidTr="00CE4BFB">
        <w:tc>
          <w:tcPr>
            <w:tcW w:w="28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5833D58" w14:textId="77777777" w:rsidR="00CE4BFB" w:rsidRPr="00CE4BFB" w:rsidRDefault="00CE4BFB" w:rsidP="00CE4BFB">
            <w:pPr>
              <w:rPr>
                <w:rFonts w:ascii="Times New Roman" w:hAnsi="Times New Roman" w:cs="Times New Roman"/>
                <w:color w:val="000000"/>
              </w:rPr>
            </w:pPr>
            <w:r w:rsidRPr="00CE4BFB">
              <w:rPr>
                <w:rFonts w:ascii="Times New Roman" w:hAnsi="Times New Roman" w:cs="Times New Roman"/>
                <w:color w:val="000000"/>
              </w:rPr>
              <w:t xml:space="preserve">Plus d’une molécule d’ADN </w:t>
            </w:r>
          </w:p>
        </w:tc>
        <w:tc>
          <w:tcPr>
            <w:tcW w:w="37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6D54BD5" w14:textId="77777777" w:rsidR="00CE4BFB" w:rsidRPr="00CE4BFB" w:rsidRDefault="00CE4BFB" w:rsidP="00CE4BFB">
            <w:pPr>
              <w:rPr>
                <w:rFonts w:ascii="Times New Roman" w:hAnsi="Times New Roman" w:cs="Times New Roman"/>
                <w:color w:val="000000"/>
              </w:rPr>
            </w:pPr>
            <w:r w:rsidRPr="00CE4BFB">
              <w:rPr>
                <w:rFonts w:ascii="Times New Roman" w:hAnsi="Times New Roman" w:cs="Times New Roman"/>
                <w:color w:val="000000"/>
              </w:rPr>
              <w:t xml:space="preserve">Une molécule d’ADN </w:t>
            </w:r>
          </w:p>
        </w:tc>
      </w:tr>
      <w:tr w:rsidR="00CE4BFB" w:rsidRPr="00CE4BFB" w14:paraId="3B0FEFCF" w14:textId="77777777" w:rsidTr="00CE4BFB">
        <w:tc>
          <w:tcPr>
            <w:tcW w:w="28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D0B6BE2" w14:textId="77777777" w:rsidR="00CE4BFB" w:rsidRPr="00CE4BFB" w:rsidRDefault="00CE4BFB" w:rsidP="00CE4BFB">
            <w:pPr>
              <w:rPr>
                <w:rFonts w:ascii="Times New Roman" w:hAnsi="Times New Roman" w:cs="Times New Roman"/>
                <w:color w:val="000000"/>
              </w:rPr>
            </w:pPr>
            <w:r w:rsidRPr="00CE4BFB">
              <w:rPr>
                <w:rFonts w:ascii="Times New Roman" w:hAnsi="Times New Roman" w:cs="Times New Roman"/>
                <w:color w:val="000000"/>
              </w:rPr>
              <w:t xml:space="preserve">Division mitotique </w:t>
            </w:r>
          </w:p>
        </w:tc>
        <w:tc>
          <w:tcPr>
            <w:tcW w:w="37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A369572" w14:textId="77777777" w:rsidR="00CE4BFB" w:rsidRPr="00CE4BFB" w:rsidRDefault="00CE4BFB" w:rsidP="00CE4BFB">
            <w:pPr>
              <w:rPr>
                <w:rFonts w:ascii="Times New Roman" w:hAnsi="Times New Roman" w:cs="Times New Roman"/>
                <w:color w:val="000000"/>
              </w:rPr>
            </w:pPr>
            <w:r w:rsidRPr="00CE4BFB">
              <w:rPr>
                <w:rFonts w:ascii="Times New Roman" w:hAnsi="Times New Roman" w:cs="Times New Roman"/>
                <w:color w:val="000000"/>
              </w:rPr>
              <w:t xml:space="preserve">Division non-mitotique Fission binaire </w:t>
            </w:r>
          </w:p>
        </w:tc>
      </w:tr>
      <w:tr w:rsidR="00CE4BFB" w:rsidRPr="00CE4BFB" w14:paraId="67AFAD12" w14:textId="77777777" w:rsidTr="00CE4BFB">
        <w:tc>
          <w:tcPr>
            <w:tcW w:w="28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6FB748" w14:textId="77777777" w:rsidR="00CE4BFB" w:rsidRPr="00CE4BFB" w:rsidRDefault="00CE4BFB" w:rsidP="00CE4BFB">
            <w:pPr>
              <w:rPr>
                <w:rFonts w:ascii="Times New Roman" w:hAnsi="Times New Roman" w:cs="Times New Roman"/>
                <w:color w:val="000000"/>
              </w:rPr>
            </w:pPr>
            <w:r w:rsidRPr="00CE4BFB">
              <w:rPr>
                <w:rFonts w:ascii="Times New Roman" w:hAnsi="Times New Roman" w:cs="Times New Roman"/>
                <w:color w:val="000000"/>
              </w:rPr>
              <w:t xml:space="preserve">Organites </w:t>
            </w:r>
          </w:p>
        </w:tc>
        <w:tc>
          <w:tcPr>
            <w:tcW w:w="37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1D73240" w14:textId="77777777" w:rsidR="00CE4BFB" w:rsidRPr="00CE4BFB" w:rsidRDefault="00CE4BFB" w:rsidP="00CE4BFB">
            <w:pPr>
              <w:rPr>
                <w:rFonts w:ascii="Times New Roman" w:hAnsi="Times New Roman" w:cs="Times New Roman"/>
                <w:color w:val="000000"/>
              </w:rPr>
            </w:pPr>
            <w:r w:rsidRPr="00CE4BFB">
              <w:rPr>
                <w:rFonts w:ascii="Times New Roman" w:hAnsi="Times New Roman" w:cs="Times New Roman"/>
                <w:color w:val="000000"/>
              </w:rPr>
              <w:t xml:space="preserve">Pas d’organites </w:t>
            </w:r>
          </w:p>
        </w:tc>
      </w:tr>
    </w:tbl>
    <w:p w14:paraId="598F7410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lastRenderedPageBreak/>
        <w:t> </w:t>
      </w:r>
    </w:p>
    <w:p w14:paraId="6F64728F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Réagir à son Environnement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7B8BD59A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Les organismes interagissent avec leur environnement et d’autres organismes </w:t>
      </w:r>
    </w:p>
    <w:p w14:paraId="3E8E6650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Les réponses aident à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assurer la survie de l’organisme et de poursuivre ses activités biologiques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77F7DE28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Ex. Se déplacer d’un endroit pauvre en nutriments à un endroit plus riche </w:t>
      </w:r>
    </w:p>
    <w:p w14:paraId="7B128F3A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Chimiotaxie</w:t>
      </w:r>
      <w:r w:rsidRPr="00CE4BFB">
        <w:rPr>
          <w:rFonts w:ascii="Times New Roman" w:hAnsi="Times New Roman" w:cs="Times New Roman"/>
          <w:color w:val="000000"/>
          <w:lang w:val="en-CA"/>
        </w:rPr>
        <w:t>: Utilisation de composes chimiques pour faire la photosynthese</w:t>
      </w:r>
    </w:p>
    <w:p w14:paraId="120D9717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Phototaxie</w:t>
      </w:r>
      <w:r w:rsidRPr="00CE4BFB">
        <w:rPr>
          <w:rFonts w:ascii="Times New Roman" w:hAnsi="Times New Roman" w:cs="Times New Roman"/>
          <w:color w:val="000000"/>
          <w:lang w:val="en-CA"/>
        </w:rPr>
        <w:t>: Utilisation de la lumiere pour faire la photosynthese</w:t>
      </w:r>
    </w:p>
    <w:p w14:paraId="2E69F9F0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</w:rPr>
      </w:pPr>
      <w:r w:rsidRPr="00CE4BFB">
        <w:rPr>
          <w:rFonts w:ascii="Times New Roman" w:hAnsi="Times New Roman" w:cs="Times New Roman"/>
          <w:color w:val="000000"/>
        </w:rPr>
        <w:t xml:space="preserve">Ces deux procedes permettent la survie. Reaction a condition dangereuse pour survir. . </w:t>
      </w:r>
    </w:p>
    <w:p w14:paraId="32A648F3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</w:rPr>
      </w:pPr>
      <w:r w:rsidRPr="00CE4BFB">
        <w:rPr>
          <w:rFonts w:ascii="Times New Roman" w:hAnsi="Times New Roman" w:cs="Times New Roman"/>
          <w:color w:val="000000"/>
        </w:rPr>
        <w:t> </w:t>
      </w:r>
    </w:p>
    <w:p w14:paraId="3049672C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Pouvoir se Nourrir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0B07D51C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Le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Métabolisme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: Absorption et transformation des composés chimiques </w:t>
      </w:r>
    </w:p>
    <w:p w14:paraId="468749A5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Anabolisme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(Synthèse macromoléculaire: Construction) +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Catabolisme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(Dégradation macromoléculaire: Destruction) </w:t>
      </w:r>
    </w:p>
    <w:p w14:paraId="4F211ACE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</w:rPr>
      </w:pPr>
      <w:r w:rsidRPr="00CE4BFB">
        <w:rPr>
          <w:rFonts w:ascii="Times New Roman" w:hAnsi="Times New Roman" w:cs="Times New Roman"/>
          <w:color w:val="000000"/>
        </w:rPr>
        <w:t>Ingerer, digerer, excreter. Metabolisme absorbe nutriments et en sortir ce dont on a besoin.</w:t>
      </w:r>
    </w:p>
    <w:p w14:paraId="440E1ED6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</w:rPr>
      </w:pPr>
      <w:r w:rsidRPr="00CE4BFB">
        <w:rPr>
          <w:rFonts w:ascii="Times New Roman" w:hAnsi="Times New Roman" w:cs="Times New Roman"/>
          <w:color w:val="000000"/>
        </w:rPr>
        <w:t>Metabolisme implique toutes reactions pour obtenir, generer et utiliser l’energie.</w:t>
      </w:r>
    </w:p>
    <w:p w14:paraId="6CC1D4F3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 </w:t>
      </w:r>
    </w:p>
    <w:p w14:paraId="63136CFB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Maintenir un Équilibre Interne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7B48B903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La cellule essaie de maintenir un environnement interne constant  </w:t>
      </w:r>
      <w:r w:rsidRPr="00CE4BFB">
        <w:rPr>
          <w:rFonts w:ascii="Times New Roman" w:hAnsi="Times New Roman" w:cs="Times New Roman"/>
          <w:color w:val="000000"/>
        </w:rPr>
        <w:t>independamment de lenvironnement dans lequel ils vivent.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2FEEB482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fr-CA"/>
        </w:rPr>
      </w:pPr>
      <w:r w:rsidRPr="00CE4BFB">
        <w:rPr>
          <w:rFonts w:ascii="Times New Roman" w:hAnsi="Times New Roman" w:cs="Times New Roman"/>
          <w:color w:val="000000"/>
          <w:lang w:val="fr-CA"/>
        </w:rPr>
        <w:t xml:space="preserve">Ex. pH, concentration de soluté, pression osmotique, température, </w:t>
      </w:r>
      <w:r w:rsidRPr="00CE4BFB">
        <w:rPr>
          <w:rFonts w:ascii="Times New Roman" w:hAnsi="Times New Roman" w:cs="Times New Roman"/>
          <w:i/>
          <w:iCs/>
          <w:color w:val="000000"/>
          <w:lang w:val="fr-CA"/>
        </w:rPr>
        <w:t>etc</w:t>
      </w:r>
      <w:r w:rsidRPr="00CE4BFB">
        <w:rPr>
          <w:rFonts w:ascii="Times New Roman" w:hAnsi="Times New Roman" w:cs="Times New Roman"/>
          <w:color w:val="000000"/>
          <w:lang w:val="fr-CA"/>
        </w:rPr>
        <w:t xml:space="preserve">. </w:t>
      </w:r>
    </w:p>
    <w:p w14:paraId="738FA1FC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L’organisme essaie de maintenir un environnement interne constant: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 xml:space="preserve"> </w:t>
      </w:r>
      <w:r w:rsidRPr="00CE4BFB">
        <w:rPr>
          <w:rFonts w:ascii="Times New Roman" w:hAnsi="Times New Roman" w:cs="Times New Roman"/>
          <w:b/>
          <w:bCs/>
          <w:color w:val="000000"/>
          <w:lang w:val="fr-CA"/>
        </w:rPr>
        <w:t>Homéostasie</w:t>
      </w:r>
      <w:r w:rsidRPr="00CE4BFB">
        <w:rPr>
          <w:rFonts w:ascii="Times New Roman" w:hAnsi="Times New Roman" w:cs="Times New Roman"/>
          <w:color w:val="000000"/>
          <w:lang w:val="fr-CA"/>
        </w:rPr>
        <w:t xml:space="preserve"> </w:t>
      </w:r>
    </w:p>
    <w:p w14:paraId="68463AAE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</w:rPr>
      </w:pPr>
      <w:r w:rsidRPr="00CE4BFB">
        <w:rPr>
          <w:rFonts w:ascii="Times New Roman" w:hAnsi="Times New Roman" w:cs="Times New Roman"/>
          <w:color w:val="000000"/>
        </w:rPr>
        <w:t>Ex: Homme avec temp interne de 37degre</w:t>
      </w:r>
    </w:p>
    <w:p w14:paraId="6946020B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 </w:t>
      </w:r>
    </w:p>
    <w:p w14:paraId="3DC96239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Reproduction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71C9F2B4" w14:textId="77777777" w:rsidR="00CE4BFB" w:rsidRPr="00CE4BFB" w:rsidRDefault="00CE4BFB" w:rsidP="00CE4BFB">
      <w:pPr>
        <w:numPr>
          <w:ilvl w:val="0"/>
          <w:numId w:val="1"/>
        </w:numPr>
        <w:ind w:left="540"/>
        <w:textAlignment w:val="center"/>
        <w:rPr>
          <w:rFonts w:ascii="Times New Roman" w:eastAsia="Times New Roman" w:hAnsi="Times New Roman" w:cs="Times New Roman"/>
          <w:color w:val="000000"/>
          <w:lang w:val="en-CA"/>
        </w:rPr>
      </w:pPr>
      <w:r w:rsidRPr="00CE4BFB">
        <w:rPr>
          <w:rFonts w:ascii="Times New Roman" w:eastAsia="Times New Roman" w:hAnsi="Times New Roman" w:cs="Times New Roman"/>
          <w:color w:val="000000"/>
          <w:lang w:val="en-CA"/>
        </w:rPr>
        <w:t xml:space="preserve">Capacité de tout type d’organisme de générer un autre organisme tel que lui </w:t>
      </w:r>
    </w:p>
    <w:p w14:paraId="6B70E6F6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</w:rPr>
      </w:pPr>
      <w:r w:rsidRPr="00CE4BFB">
        <w:rPr>
          <w:rFonts w:ascii="Times New Roman" w:hAnsi="Times New Roman" w:cs="Times New Roman"/>
          <w:color w:val="000000"/>
        </w:rPr>
        <w:t>Une cellule initiale devient deux cellules donc cellule initiale nexiste plus</w:t>
      </w:r>
    </w:p>
    <w:p w14:paraId="65596A12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fr-CA"/>
        </w:rPr>
        <w:t>Organisme unicellulaire</w:t>
      </w:r>
      <w:r w:rsidRPr="00CE4BFB">
        <w:rPr>
          <w:rFonts w:ascii="Times New Roman" w:hAnsi="Times New Roman" w:cs="Times New Roman"/>
          <w:color w:val="000000"/>
          <w:lang w:val="fr-CA"/>
        </w:rPr>
        <w:t xml:space="preserve">, tel que les bactéries se divisent tout simplement en deux : 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Fission binaire </w:t>
      </w:r>
    </w:p>
    <w:p w14:paraId="32471460" w14:textId="77777777" w:rsidR="00CE4BFB" w:rsidRPr="00CE4BFB" w:rsidRDefault="00CE4BFB" w:rsidP="00CE4BFB">
      <w:pPr>
        <w:numPr>
          <w:ilvl w:val="0"/>
          <w:numId w:val="2"/>
        </w:numPr>
        <w:ind w:left="540"/>
        <w:textAlignment w:val="center"/>
        <w:rPr>
          <w:rFonts w:ascii="Times New Roman" w:eastAsia="Times New Roman" w:hAnsi="Times New Roman" w:cs="Times New Roman"/>
          <w:color w:val="000000"/>
          <w:lang w:val="en-CA"/>
        </w:rPr>
      </w:pPr>
      <w:r w:rsidRPr="00CE4BFB">
        <w:rPr>
          <w:rFonts w:ascii="Times New Roman" w:eastAsia="Times New Roman" w:hAnsi="Times New Roman" w:cs="Times New Roman"/>
          <w:color w:val="000000"/>
          <w:lang w:val="en-CA"/>
        </w:rPr>
        <w:t xml:space="preserve">Les </w:t>
      </w:r>
      <w:r w:rsidRPr="00CE4BFB">
        <w:rPr>
          <w:rFonts w:ascii="Times New Roman" w:eastAsia="Times New Roman" w:hAnsi="Times New Roman" w:cs="Times New Roman"/>
          <w:b/>
          <w:bCs/>
          <w:color w:val="000000"/>
          <w:lang w:val="en-CA"/>
        </w:rPr>
        <w:t>organismes multicellulaires</w:t>
      </w:r>
      <w:r w:rsidRPr="00CE4BFB">
        <w:rPr>
          <w:rFonts w:ascii="Times New Roman" w:eastAsia="Times New Roman" w:hAnsi="Times New Roman" w:cs="Times New Roman"/>
          <w:color w:val="000000"/>
          <w:lang w:val="en-CA"/>
        </w:rPr>
        <w:t xml:space="preserve"> sont souvent le résultat de l’union de deux cellules de différents individus. </w:t>
      </w:r>
    </w:p>
    <w:p w14:paraId="6BE56690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</w:rPr>
      </w:pPr>
      <w:r w:rsidRPr="00CE4BFB">
        <w:rPr>
          <w:rFonts w:ascii="Times New Roman" w:hAnsi="Times New Roman" w:cs="Times New Roman"/>
          <w:color w:val="000000"/>
        </w:rPr>
        <w:t xml:space="preserve">Nouvelle information genetique </w:t>
      </w:r>
    </w:p>
    <w:p w14:paraId="5A9C8B49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Ex. Spermatozoïde + ovule </w:t>
      </w:r>
    </w:p>
    <w:p w14:paraId="42985BCB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 </w:t>
      </w:r>
    </w:p>
    <w:p w14:paraId="6A064047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Le Code Ge</w:t>
      </w:r>
      <w:r w:rsidRPr="00CE4BFB">
        <w:rPr>
          <w:rFonts w:ascii="Times New Roman" w:hAnsi="Times New Roman" w:cs="Times New Roman"/>
          <w:b/>
          <w:bCs/>
          <w:color w:val="000000"/>
          <w:u w:val="single"/>
        </w:rPr>
        <w:t>́</w:t>
      </w: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ne</w:t>
      </w:r>
      <w:r w:rsidRPr="00CE4BFB">
        <w:rPr>
          <w:rFonts w:ascii="Times New Roman" w:hAnsi="Times New Roman" w:cs="Times New Roman"/>
          <w:b/>
          <w:bCs/>
          <w:color w:val="000000"/>
          <w:u w:val="single"/>
        </w:rPr>
        <w:t>́</w:t>
      </w: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tique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0CDCD337" w14:textId="77777777" w:rsidR="00CE4BFB" w:rsidRPr="00CE4BFB" w:rsidRDefault="00CE4BFB" w:rsidP="00CE4BFB">
      <w:pPr>
        <w:spacing w:before="80"/>
        <w:ind w:left="540"/>
        <w:rPr>
          <w:rFonts w:ascii="Times New Roman" w:hAnsi="Times New Roman" w:cs="Times New Roman"/>
          <w:color w:val="000000"/>
        </w:rPr>
      </w:pPr>
      <w:r w:rsidRPr="00CE4BFB">
        <w:rPr>
          <w:rFonts w:ascii="Times New Roman" w:hAnsi="Times New Roman" w:cs="Times New Roman"/>
          <w:b/>
          <w:bCs/>
          <w:color w:val="000000"/>
        </w:rPr>
        <w:t>Code genetique fait un organisme comme l’original</w:t>
      </w:r>
    </w:p>
    <w:p w14:paraId="0E9F9C48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Les instructions pour l’organisation et le développement d’un organisme sont encodés dans les gènes </w:t>
      </w:r>
    </w:p>
    <w:p w14:paraId="1C3B2B95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</w:rPr>
      </w:pPr>
      <w:r w:rsidRPr="00CE4BFB">
        <w:rPr>
          <w:rFonts w:ascii="Times New Roman" w:hAnsi="Times New Roman" w:cs="Times New Roman"/>
          <w:color w:val="000000"/>
        </w:rPr>
        <w:t>Chez tous les organismes cellulaires les genes ont linformation genetique et ces genes sont composes d’ADN</w:t>
      </w:r>
    </w:p>
    <w:p w14:paraId="2503BA2A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Les gènes sont composés d’ADN </w:t>
      </w:r>
    </w:p>
    <w:p w14:paraId="1B09983B" w14:textId="77777777" w:rsidR="00CE4BFB" w:rsidRPr="00CE4BFB" w:rsidRDefault="00CE4BFB" w:rsidP="00CE4BFB">
      <w:pPr>
        <w:numPr>
          <w:ilvl w:val="0"/>
          <w:numId w:val="3"/>
        </w:numPr>
        <w:ind w:left="540"/>
        <w:textAlignment w:val="center"/>
        <w:rPr>
          <w:rFonts w:ascii="Times New Roman" w:eastAsia="Times New Roman" w:hAnsi="Times New Roman" w:cs="Times New Roman"/>
          <w:color w:val="000000"/>
          <w:lang w:val="en-CA"/>
        </w:rPr>
      </w:pPr>
      <w:r w:rsidRPr="00CE4BFB">
        <w:rPr>
          <w:rFonts w:ascii="Times New Roman" w:eastAsia="Times New Roman" w:hAnsi="Times New Roman" w:cs="Times New Roman"/>
          <w:color w:val="000000"/>
          <w:lang w:val="en-CA"/>
        </w:rPr>
        <w:t>Le génome</w:t>
      </w:r>
    </w:p>
    <w:p w14:paraId="5A21C109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Déchiffrage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(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Transcription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qui transforne ARN en proteine +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Traduction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qui traduit AND en ARN) pour generer l'organisme</w:t>
      </w:r>
    </w:p>
    <w:p w14:paraId="5BF7598C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Génération de la machinerie cellulaire </w:t>
      </w:r>
    </w:p>
    <w:p w14:paraId="3B33438D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Génération de nouvelles cellules </w:t>
      </w:r>
    </w:p>
    <w:p w14:paraId="38B33D15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Maintien de la cellule </w:t>
      </w:r>
    </w:p>
    <w:p w14:paraId="4F3B25B2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2B21FA0D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 xml:space="preserve">Adaptation Évolutionnaire </w:t>
      </w:r>
    </w:p>
    <w:p w14:paraId="51829D23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Les organismes acquièrent des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changements transmissibles aux générations futures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qui permettent de mieux répondre à leur environnement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1AD32E72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Changement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au niveau du génome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32A98004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Le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maintien de ces changements dépend de pressions sélectives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(</w:t>
      </w:r>
      <w:r w:rsidRPr="00CE4BFB">
        <w:rPr>
          <w:rFonts w:ascii="Times New Roman" w:hAnsi="Times New Roman" w:cs="Times New Roman"/>
          <w:color w:val="000000"/>
        </w:rPr>
        <w:t>“Tu gardes tu vis, tu perds tu meurs.”)</w:t>
      </w:r>
    </w:p>
    <w:p w14:paraId="2BA0E090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 xml:space="preserve">Ex. Acquisition de résistances aux antibiotiques afin de </w:t>
      </w:r>
      <w:r w:rsidRPr="00CE4BFB">
        <w:rPr>
          <w:rFonts w:ascii="Times New Roman" w:hAnsi="Times New Roman" w:cs="Times New Roman"/>
          <w:color w:val="000000"/>
        </w:rPr>
        <w:t>developper une resistance pour survivre</w:t>
      </w:r>
    </w:p>
    <w:p w14:paraId="55D3B640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 </w:t>
      </w:r>
    </w:p>
    <w:p w14:paraId="36038918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u w:val="single"/>
          <w:lang w:val="en-CA"/>
        </w:rPr>
        <w:t>Domaines de la Microbiologie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40AF4160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color w:val="000000"/>
          <w:lang w:val="en-CA"/>
        </w:rPr>
        <w:t> </w:t>
      </w:r>
    </w:p>
    <w:p w14:paraId="1E6BC9AF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Bactériologie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: L’étude des bactéries </w:t>
      </w:r>
    </w:p>
    <w:p w14:paraId="2824EED4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Microbiologie environnementale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: L'étude des processus microbiens dans l'environnement </w:t>
      </w:r>
    </w:p>
    <w:p w14:paraId="2BEB13F5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Microbiologie alimentaire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: L’étude des microorganismes pathogènes qui causent des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maladies d'origine alimentaire et la détérioration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746968C8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Microbiologie industrielle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: Utilisation et développement de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microorganismes en biotechnologie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0AE5A523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Microbiologie médicale</w:t>
      </w:r>
      <w:r w:rsidRPr="00CE4BFB">
        <w:rPr>
          <w:rFonts w:ascii="Times New Roman" w:hAnsi="Times New Roman" w:cs="Times New Roman"/>
          <w:color w:val="000000"/>
          <w:lang w:val="en-CA"/>
        </w:rPr>
        <w:t>: L’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étude, le diagnostic et le traitement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des maladies microbiennes </w:t>
      </w:r>
    </w:p>
    <w:p w14:paraId="26FCF985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Mycologie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: L’étude des champignons </w:t>
      </w:r>
    </w:p>
    <w:p w14:paraId="51FD39EF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Protozoologie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: L’étude des protistes ou protozoaires </w:t>
      </w:r>
    </w:p>
    <w:p w14:paraId="7AA45EC3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Virologie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: L’étude des virus </w:t>
      </w:r>
    </w:p>
    <w:p w14:paraId="0ED44FFC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Épidémiologie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: L’étude du rôle des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microorganismes dans la santé et la maladie des populations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020D34D1" w14:textId="77777777" w:rsidR="00CE4BFB" w:rsidRPr="00CE4BFB" w:rsidRDefault="00CE4BFB" w:rsidP="00CE4BFB">
      <w:pPr>
        <w:ind w:left="540"/>
        <w:rPr>
          <w:rFonts w:ascii="Times New Roman" w:hAnsi="Times New Roman" w:cs="Times New Roman"/>
          <w:color w:val="000000"/>
          <w:lang w:val="en-CA"/>
        </w:rPr>
      </w:pP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Immunologie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: L’étude des mécanismes de </w:t>
      </w:r>
      <w:r w:rsidRPr="00CE4BFB">
        <w:rPr>
          <w:rFonts w:ascii="Times New Roman" w:hAnsi="Times New Roman" w:cs="Times New Roman"/>
          <w:b/>
          <w:bCs/>
          <w:color w:val="000000"/>
          <w:lang w:val="en-CA"/>
        </w:rPr>
        <w:t>défense du corps contre les virus, les bactéries, et les champignons</w:t>
      </w:r>
      <w:r w:rsidRPr="00CE4BFB">
        <w:rPr>
          <w:rFonts w:ascii="Times New Roman" w:hAnsi="Times New Roman" w:cs="Times New Roman"/>
          <w:color w:val="000000"/>
          <w:lang w:val="en-CA"/>
        </w:rPr>
        <w:t xml:space="preserve"> </w:t>
      </w:r>
    </w:p>
    <w:p w14:paraId="4FAFE73A" w14:textId="77777777" w:rsidR="00B62179" w:rsidRPr="00CE4BFB" w:rsidRDefault="00CE4BFB">
      <w:pPr>
        <w:rPr>
          <w:rFonts w:ascii="Times New Roman" w:hAnsi="Times New Roman" w:cs="Times New Roman"/>
        </w:rPr>
      </w:pPr>
    </w:p>
    <w:sectPr w:rsidR="00B62179" w:rsidRPr="00CE4BFB" w:rsidSect="00C974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93B93"/>
    <w:multiLevelType w:val="multilevel"/>
    <w:tmpl w:val="6AB65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5A067A"/>
    <w:multiLevelType w:val="multilevel"/>
    <w:tmpl w:val="37ECA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E0732EE"/>
    <w:multiLevelType w:val="multilevel"/>
    <w:tmpl w:val="32484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BFB"/>
    <w:rsid w:val="005D7418"/>
    <w:rsid w:val="008B473A"/>
    <w:rsid w:val="00A76A3D"/>
    <w:rsid w:val="00C974BE"/>
    <w:rsid w:val="00CE4BFB"/>
    <w:rsid w:val="00DF6145"/>
    <w:rsid w:val="00F3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66338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4BFB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8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1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739</Words>
  <Characters>4218</Characters>
  <Application>Microsoft Macintosh Word</Application>
  <DocSecurity>0</DocSecurity>
  <Lines>35</Lines>
  <Paragraphs>9</Paragraphs>
  <ScaleCrop>false</ScaleCrop>
  <LinksUpToDate>false</LinksUpToDate>
  <CharactersWithSpaces>4948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Sixtine Assale</dc:creator>
  <cp:keywords/>
  <dc:description/>
  <cp:lastModifiedBy>Sixtine Assale</cp:lastModifiedBy>
  <cp:revision>1</cp:revision>
  <dcterms:created xsi:type="dcterms:W3CDTF">2015-12-13T21:05:00Z</dcterms:created>
  <dcterms:modified xsi:type="dcterms:W3CDTF">2015-12-13T21:06:00Z</dcterms:modified>
</cp:coreProperties>
</file>