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212" w:rsidRDefault="00B75212" w:rsidP="00B75212">
      <w:pPr>
        <w:spacing w:after="0" w:line="240" w:lineRule="auto"/>
        <w:jc w:val="center"/>
        <w:rPr>
          <w:rFonts w:ascii="Arial" w:hAnsi="Arial" w:cs="Arial"/>
          <w:b/>
          <w:sz w:val="48"/>
          <w:szCs w:val="48"/>
          <w:lang w:val="en-CA"/>
        </w:rPr>
      </w:pPr>
      <w:bookmarkStart w:id="0" w:name="_GoBack"/>
      <w:bookmarkEnd w:id="0"/>
    </w:p>
    <w:p w:rsidR="00B75212" w:rsidRDefault="00B75212" w:rsidP="00B75212">
      <w:pPr>
        <w:spacing w:after="0" w:line="240" w:lineRule="auto"/>
        <w:jc w:val="center"/>
        <w:rPr>
          <w:rFonts w:ascii="Arial" w:hAnsi="Arial" w:cs="Arial"/>
          <w:b/>
          <w:sz w:val="48"/>
          <w:szCs w:val="48"/>
          <w:lang w:val="en-CA"/>
        </w:rPr>
      </w:pPr>
      <w:r>
        <w:rPr>
          <w:rFonts w:ascii="Arial" w:hAnsi="Arial" w:cs="Arial"/>
          <w:b/>
          <w:sz w:val="48"/>
          <w:szCs w:val="48"/>
          <w:lang w:val="en-CA"/>
        </w:rPr>
        <w:t>CHAPTER 10</w:t>
      </w:r>
    </w:p>
    <w:p w:rsidR="00B75212" w:rsidRDefault="00B75212" w:rsidP="00B75212">
      <w:pPr>
        <w:spacing w:after="0" w:line="240" w:lineRule="auto"/>
        <w:jc w:val="center"/>
        <w:rPr>
          <w:rFonts w:ascii="Arial" w:hAnsi="Arial" w:cs="Arial"/>
          <w:b/>
          <w:sz w:val="40"/>
          <w:szCs w:val="40"/>
          <w:lang w:val="en-CA"/>
        </w:rPr>
      </w:pPr>
      <w:r>
        <w:rPr>
          <w:rFonts w:ascii="Arial" w:hAnsi="Arial" w:cs="Arial"/>
          <w:b/>
          <w:sz w:val="40"/>
          <w:szCs w:val="40"/>
          <w:lang w:val="en-CA"/>
        </w:rPr>
        <w:t>Reporting for Public Sector Entities</w:t>
      </w:r>
    </w:p>
    <w:p w:rsidR="00B75212" w:rsidRDefault="00B75212" w:rsidP="00B75212">
      <w:pPr>
        <w:spacing w:after="0" w:line="240" w:lineRule="auto"/>
        <w:jc w:val="center"/>
        <w:rPr>
          <w:rFonts w:ascii="Arial" w:hAnsi="Arial" w:cs="Arial"/>
          <w:lang w:val="en-CA"/>
        </w:rPr>
      </w:pPr>
    </w:p>
    <w:p w:rsidR="00B75212" w:rsidRDefault="00B75212" w:rsidP="00B75212">
      <w:pPr>
        <w:spacing w:after="0" w:line="240" w:lineRule="auto"/>
        <w:jc w:val="center"/>
        <w:rPr>
          <w:rFonts w:ascii="Arial" w:hAnsi="Arial" w:cs="Arial"/>
          <w:lang w:val="en-CA"/>
        </w:rPr>
      </w:pPr>
    </w:p>
    <w:p w:rsidR="007D511A" w:rsidRPr="007D511A" w:rsidRDefault="007D511A" w:rsidP="007D511A">
      <w:pPr>
        <w:rPr>
          <w:rFonts w:ascii="Arial" w:hAnsi="Arial" w:cs="Arial"/>
          <w:b/>
          <w:sz w:val="24"/>
          <w:szCs w:val="24"/>
          <w:lang w:val="en-CA"/>
        </w:rPr>
      </w:pPr>
    </w:p>
    <w:p w:rsidR="00B75212" w:rsidRDefault="00B75212" w:rsidP="00B75212">
      <w:pPr>
        <w:jc w:val="center"/>
        <w:rPr>
          <w:rFonts w:ascii="Arial" w:hAnsi="Arial" w:cs="Arial"/>
          <w:b/>
          <w:color w:val="00B050"/>
          <w:sz w:val="36"/>
          <w:szCs w:val="36"/>
          <w:u w:val="single"/>
          <w:lang w:val="en-CA"/>
        </w:rPr>
      </w:pPr>
      <w:r>
        <w:rPr>
          <w:rFonts w:ascii="Arial" w:hAnsi="Arial" w:cs="Arial"/>
          <w:b/>
          <w:color w:val="00B050"/>
          <w:sz w:val="36"/>
          <w:szCs w:val="36"/>
          <w:u w:val="single"/>
          <w:lang w:val="en-CA"/>
        </w:rPr>
        <w:t>EXERCISES</w:t>
      </w:r>
    </w:p>
    <w:p w:rsidR="00B75212" w:rsidRDefault="00B75212" w:rsidP="00B75212">
      <w:pPr>
        <w:jc w:val="center"/>
        <w:rPr>
          <w:rFonts w:ascii="Arial" w:hAnsi="Arial" w:cs="Arial"/>
          <w:b/>
          <w:color w:val="00B050"/>
          <w:sz w:val="36"/>
          <w:szCs w:val="36"/>
          <w:u w:val="single"/>
          <w:lang w:val="en-CA"/>
        </w:rPr>
      </w:pPr>
    </w:p>
    <w:p w:rsidR="007D511A" w:rsidRPr="007D511A" w:rsidRDefault="007D511A" w:rsidP="007D511A">
      <w:pPr>
        <w:rPr>
          <w:rFonts w:ascii="Arial" w:hAnsi="Arial" w:cs="Arial"/>
          <w:b/>
          <w:sz w:val="24"/>
          <w:szCs w:val="24"/>
          <w:u w:val="single"/>
          <w:lang w:val="en-CA"/>
        </w:rPr>
      </w:pPr>
    </w:p>
    <w:p w:rsidR="002812FB" w:rsidRDefault="002812FB" w:rsidP="002812FB">
      <w:pPr>
        <w:rPr>
          <w:rFonts w:ascii="Arial" w:hAnsi="Arial" w:cs="Arial"/>
          <w:sz w:val="28"/>
          <w:szCs w:val="28"/>
          <w:lang w:val="en-CA"/>
        </w:rPr>
      </w:pPr>
      <w:r>
        <w:rPr>
          <w:rFonts w:ascii="Arial" w:hAnsi="Arial" w:cs="Arial"/>
          <w:sz w:val="28"/>
          <w:szCs w:val="28"/>
          <w:lang w:val="en-CA"/>
        </w:rPr>
        <w:t>EXERCISE 10-2</w:t>
      </w:r>
    </w:p>
    <w:p w:rsidR="007D511A" w:rsidRPr="007D511A" w:rsidRDefault="007D511A" w:rsidP="007D511A">
      <w:pPr>
        <w:ind w:left="720"/>
        <w:rPr>
          <w:rFonts w:ascii="Arial" w:hAnsi="Arial" w:cs="Arial"/>
          <w:sz w:val="24"/>
          <w:szCs w:val="24"/>
          <w:lang w:val="en-CA"/>
        </w:rPr>
      </w:pPr>
      <w:r w:rsidRPr="007D511A">
        <w:rPr>
          <w:rFonts w:ascii="Arial" w:hAnsi="Arial" w:cs="Arial"/>
          <w:sz w:val="24"/>
          <w:szCs w:val="24"/>
          <w:lang w:val="en-CA"/>
        </w:rPr>
        <w:t>The following table summarizes the solution based on the facts provided.</w:t>
      </w:r>
    </w:p>
    <w:tbl>
      <w:tblPr>
        <w:tblStyle w:val="TableGrid"/>
        <w:tblW w:w="0" w:type="auto"/>
        <w:tblInd w:w="828" w:type="dxa"/>
        <w:tblLayout w:type="fixed"/>
        <w:tblLook w:val="04A0" w:firstRow="1" w:lastRow="0" w:firstColumn="1" w:lastColumn="0" w:noHBand="0" w:noVBand="1"/>
      </w:tblPr>
      <w:tblGrid>
        <w:gridCol w:w="1530"/>
        <w:gridCol w:w="3150"/>
        <w:gridCol w:w="4006"/>
      </w:tblGrid>
      <w:tr w:rsidR="007D511A" w:rsidRPr="007D511A" w:rsidTr="00D635B9">
        <w:tc>
          <w:tcPr>
            <w:tcW w:w="1530" w:type="dxa"/>
            <w:shd w:val="clear" w:color="auto" w:fill="D9D9D9" w:themeFill="background1" w:themeFillShade="D9"/>
          </w:tcPr>
          <w:p w:rsidR="007D511A" w:rsidRPr="007D511A" w:rsidRDefault="007D511A" w:rsidP="00D635B9">
            <w:pPr>
              <w:ind w:left="23"/>
              <w:rPr>
                <w:rFonts w:ascii="Arial" w:eastAsiaTheme="majorEastAsia" w:hAnsi="Arial" w:cs="Arial"/>
                <w:b/>
                <w:bCs/>
                <w:sz w:val="24"/>
                <w:szCs w:val="24"/>
                <w:lang w:val="en-CA"/>
              </w:rPr>
            </w:pPr>
            <w:r w:rsidRPr="007D511A">
              <w:rPr>
                <w:rFonts w:ascii="Arial" w:eastAsiaTheme="majorEastAsia" w:hAnsi="Arial" w:cs="Arial"/>
                <w:b/>
                <w:bCs/>
                <w:sz w:val="24"/>
                <w:szCs w:val="24"/>
                <w:lang w:val="en-CA"/>
              </w:rPr>
              <w:t>Question Part</w:t>
            </w:r>
          </w:p>
        </w:tc>
        <w:tc>
          <w:tcPr>
            <w:tcW w:w="3150" w:type="dxa"/>
            <w:shd w:val="clear" w:color="auto" w:fill="D9D9D9" w:themeFill="background1" w:themeFillShade="D9"/>
          </w:tcPr>
          <w:p w:rsidR="007D511A" w:rsidRPr="007D511A" w:rsidRDefault="007D511A" w:rsidP="00D635B9">
            <w:pPr>
              <w:ind w:left="72"/>
              <w:rPr>
                <w:rFonts w:ascii="Arial" w:hAnsi="Arial" w:cs="Arial"/>
                <w:b/>
                <w:sz w:val="24"/>
                <w:szCs w:val="24"/>
                <w:lang w:val="en-CA"/>
              </w:rPr>
            </w:pPr>
            <w:r w:rsidRPr="007D511A">
              <w:rPr>
                <w:rFonts w:ascii="Arial" w:hAnsi="Arial" w:cs="Arial"/>
                <w:b/>
                <w:sz w:val="24"/>
                <w:szCs w:val="24"/>
                <w:lang w:val="en-CA"/>
              </w:rPr>
              <w:t>Relationship</w:t>
            </w:r>
          </w:p>
        </w:tc>
        <w:tc>
          <w:tcPr>
            <w:tcW w:w="4006" w:type="dxa"/>
            <w:shd w:val="clear" w:color="auto" w:fill="D9D9D9" w:themeFill="background1" w:themeFillShade="D9"/>
          </w:tcPr>
          <w:p w:rsidR="007D511A" w:rsidRPr="007D511A" w:rsidRDefault="007D511A" w:rsidP="00D635B9">
            <w:pPr>
              <w:ind w:left="116"/>
              <w:rPr>
                <w:rFonts w:ascii="Arial" w:hAnsi="Arial" w:cs="Arial"/>
                <w:b/>
                <w:sz w:val="24"/>
                <w:szCs w:val="24"/>
                <w:lang w:val="en-CA"/>
              </w:rPr>
            </w:pPr>
            <w:r w:rsidRPr="007D511A">
              <w:rPr>
                <w:rFonts w:ascii="Arial" w:hAnsi="Arial" w:cs="Arial"/>
                <w:b/>
                <w:sz w:val="24"/>
                <w:szCs w:val="24"/>
                <w:lang w:val="en-CA"/>
              </w:rPr>
              <w:t>Accounted for by Town</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Not controlled</w:t>
            </w:r>
          </w:p>
        </w:tc>
        <w:tc>
          <w:tcPr>
            <w:tcW w:w="4006" w:type="dxa"/>
            <w:shd w:val="clear" w:color="auto" w:fill="D9D9D9" w:themeFill="background1" w:themeFillShade="D9"/>
          </w:tcPr>
          <w:p w:rsidR="007D511A" w:rsidRPr="007D511A" w:rsidRDefault="007D511A" w:rsidP="00D635B9">
            <w:pPr>
              <w:ind w:left="116"/>
              <w:rPr>
                <w:rFonts w:ascii="Arial" w:hAnsi="Arial" w:cs="Arial"/>
                <w:sz w:val="24"/>
                <w:szCs w:val="24"/>
                <w:lang w:val="en-CA"/>
              </w:rPr>
            </w:pP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Jointly 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As a government business partnership, the Town would use the modified equity method to account for its 25% interest</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Not controlled</w:t>
            </w:r>
          </w:p>
        </w:tc>
        <w:tc>
          <w:tcPr>
            <w:tcW w:w="4006" w:type="dxa"/>
            <w:shd w:val="clear" w:color="auto" w:fill="D9D9D9" w:themeFill="background1" w:themeFillShade="D9"/>
          </w:tcPr>
          <w:p w:rsidR="007D511A" w:rsidRPr="007D511A" w:rsidRDefault="007D511A" w:rsidP="00D635B9">
            <w:pPr>
              <w:ind w:left="116"/>
              <w:rPr>
                <w:rFonts w:ascii="Arial" w:hAnsi="Arial" w:cs="Arial"/>
                <w:sz w:val="24"/>
                <w:szCs w:val="24"/>
                <w:lang w:val="en-CA"/>
              </w:rPr>
            </w:pP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Jointly 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As a government partnership, the Town would use the proportionate consolidation method to account for its interest</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As a government business enterprise, the utility would be accounted for by the modified equity method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 xml:space="preserve">Consolidated.  As there is no indication the transit commission </w:t>
            </w:r>
            <w:r w:rsidRPr="007D511A">
              <w:rPr>
                <w:rFonts w:ascii="Arial" w:hAnsi="Arial" w:cs="Arial"/>
                <w:sz w:val="24"/>
                <w:szCs w:val="24"/>
                <w:lang w:val="en-CA"/>
              </w:rPr>
              <w:lastRenderedPageBreak/>
              <w:t>is self-sustaining it would be 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Not controlled</w:t>
            </w:r>
          </w:p>
        </w:tc>
        <w:tc>
          <w:tcPr>
            <w:tcW w:w="4006" w:type="dxa"/>
            <w:shd w:val="clear" w:color="auto" w:fill="D9D9D9" w:themeFill="background1" w:themeFillShade="D9"/>
          </w:tcPr>
          <w:p w:rsidR="007D511A" w:rsidRPr="007D511A" w:rsidRDefault="007D511A" w:rsidP="00D635B9">
            <w:pPr>
              <w:ind w:left="116"/>
              <w:rPr>
                <w:rFonts w:ascii="Arial" w:hAnsi="Arial" w:cs="Arial"/>
                <w:sz w:val="24"/>
                <w:szCs w:val="24"/>
                <w:lang w:val="en-CA"/>
              </w:rPr>
            </w:pPr>
          </w:p>
        </w:tc>
      </w:tr>
    </w:tbl>
    <w:p w:rsidR="007D511A" w:rsidRDefault="007D511A" w:rsidP="007D511A">
      <w:pPr>
        <w:ind w:left="720"/>
        <w:rPr>
          <w:rFonts w:ascii="Arial" w:hAnsi="Arial" w:cs="Arial"/>
          <w:sz w:val="24"/>
          <w:szCs w:val="24"/>
          <w:lang w:val="en-CA"/>
        </w:rPr>
      </w:pPr>
    </w:p>
    <w:p w:rsidR="00284AF7" w:rsidRDefault="00284AF7" w:rsidP="007D511A">
      <w:pPr>
        <w:ind w:left="720"/>
        <w:rPr>
          <w:rFonts w:ascii="Arial" w:hAnsi="Arial" w:cs="Arial"/>
          <w:sz w:val="24"/>
          <w:szCs w:val="24"/>
          <w:lang w:val="en-CA"/>
        </w:rPr>
      </w:pPr>
    </w:p>
    <w:p w:rsidR="00284AF7" w:rsidRPr="007D511A" w:rsidRDefault="00284AF7" w:rsidP="007D511A">
      <w:pPr>
        <w:spacing w:before="240" w:after="0" w:line="240" w:lineRule="auto"/>
        <w:ind w:left="720"/>
        <w:rPr>
          <w:rFonts w:ascii="Arial" w:hAnsi="Arial" w:cs="Arial"/>
          <w:sz w:val="24"/>
          <w:szCs w:val="24"/>
          <w:lang w:val="en-CA"/>
        </w:rPr>
      </w:pPr>
    </w:p>
    <w:p w:rsidR="007D511A" w:rsidRPr="007D511A" w:rsidRDefault="002812FB" w:rsidP="007D511A">
      <w:pPr>
        <w:rPr>
          <w:rFonts w:ascii="Arial" w:hAnsi="Arial" w:cs="Arial"/>
          <w:b/>
          <w:sz w:val="24"/>
          <w:szCs w:val="24"/>
          <w:u w:val="single"/>
          <w:lang w:val="en-CA"/>
        </w:rPr>
      </w:pPr>
      <w:r>
        <w:rPr>
          <w:rFonts w:ascii="Arial" w:hAnsi="Arial" w:cs="Arial"/>
          <w:sz w:val="28"/>
          <w:szCs w:val="28"/>
          <w:lang w:val="en-CA"/>
        </w:rPr>
        <w:t>EXERCISE 10-4</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The interest rate of 2% being charged by the government is concessionary in relation to the market rate of 6.5%. The 4.5% discount on the principal of $10 million (being $450,000 per year) over a five year term is $2,250,000 should be expensed as a grant when the loan is recorded.</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Until a loss on the loan guarantee is likely, no liability would be recorded by the government agency.  However, the government agency would evaluate its loan guarantees as contingent obligations and make disclosures where material.</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 xml:space="preserve">Historical treasures are not recognized as assets under the </w:t>
      </w:r>
      <w:r w:rsidRPr="007D511A">
        <w:rPr>
          <w:rFonts w:ascii="Arial" w:hAnsi="Arial" w:cs="Arial"/>
          <w:i/>
          <w:sz w:val="24"/>
          <w:szCs w:val="24"/>
          <w:lang w:val="en-CA"/>
        </w:rPr>
        <w:t>CICA PSA Handbook</w:t>
      </w:r>
      <w:r w:rsidRPr="007D511A">
        <w:rPr>
          <w:rFonts w:ascii="Arial" w:hAnsi="Arial" w:cs="Arial"/>
          <w:sz w:val="24"/>
          <w:szCs w:val="24"/>
          <w:lang w:val="en-CA"/>
        </w:rPr>
        <w:t>.</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 xml:space="preserve">Although described as an investment, no interest or dividend is indicated.   As one would expect the theatre company to undertake the production, a $10,000 grant expense is recorded. The investment will not be returned at all if this condition is met.  </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As it is known that the contamination exists and exceeds environmental standards, the matter requires investigation.  As the property owner, the City will need to consult with specialists to determine what remediation is required and the cost of that remediation.  The City records a liability, discounted by the time value of money if activities are expected to occur over a long period.</w:t>
      </w:r>
    </w:p>
    <w:p w:rsidR="007D511A" w:rsidRPr="007D511A" w:rsidRDefault="007D511A" w:rsidP="007D511A">
      <w:pPr>
        <w:tabs>
          <w:tab w:val="left" w:pos="720"/>
        </w:tabs>
        <w:ind w:left="720"/>
        <w:rPr>
          <w:rFonts w:ascii="Arial" w:hAnsi="Arial" w:cs="Arial"/>
          <w:b/>
          <w:sz w:val="24"/>
          <w:szCs w:val="24"/>
          <w:u w:val="single"/>
          <w:lang w:val="en-CA"/>
        </w:rPr>
      </w:pPr>
    </w:p>
    <w:p w:rsidR="00FD37EA" w:rsidRDefault="00FD37EA" w:rsidP="00493D85">
      <w:pPr>
        <w:jc w:val="center"/>
        <w:rPr>
          <w:rFonts w:ascii="Arial" w:hAnsi="Arial" w:cs="Arial"/>
          <w:b/>
          <w:color w:val="00B050"/>
          <w:sz w:val="36"/>
          <w:szCs w:val="36"/>
          <w:u w:val="single"/>
          <w:lang w:val="en-CA"/>
        </w:rPr>
      </w:pPr>
    </w:p>
    <w:p w:rsidR="00FD37EA" w:rsidRDefault="00FD37EA" w:rsidP="00493D85">
      <w:pPr>
        <w:jc w:val="center"/>
        <w:rPr>
          <w:rFonts w:ascii="Arial" w:hAnsi="Arial" w:cs="Arial"/>
          <w:b/>
          <w:color w:val="00B050"/>
          <w:sz w:val="36"/>
          <w:szCs w:val="36"/>
          <w:u w:val="single"/>
          <w:lang w:val="en-CA"/>
        </w:rPr>
      </w:pPr>
    </w:p>
    <w:p w:rsidR="00FD37EA" w:rsidRDefault="00FD37EA" w:rsidP="00493D85">
      <w:pPr>
        <w:jc w:val="center"/>
        <w:rPr>
          <w:rFonts w:ascii="Arial" w:hAnsi="Arial" w:cs="Arial"/>
          <w:b/>
          <w:color w:val="00B050"/>
          <w:sz w:val="36"/>
          <w:szCs w:val="36"/>
          <w:u w:val="single"/>
          <w:lang w:val="en-CA"/>
        </w:rPr>
      </w:pPr>
    </w:p>
    <w:p w:rsidR="00FD37EA" w:rsidRDefault="00FD37EA" w:rsidP="00493D85">
      <w:pPr>
        <w:jc w:val="center"/>
        <w:rPr>
          <w:rFonts w:ascii="Arial" w:hAnsi="Arial" w:cs="Arial"/>
          <w:b/>
          <w:color w:val="00B050"/>
          <w:sz w:val="36"/>
          <w:szCs w:val="36"/>
          <w:u w:val="single"/>
          <w:lang w:val="en-CA"/>
        </w:rPr>
      </w:pPr>
    </w:p>
    <w:p w:rsidR="00493D85" w:rsidRDefault="00493D85" w:rsidP="00493D85">
      <w:pPr>
        <w:jc w:val="center"/>
        <w:rPr>
          <w:rFonts w:ascii="Arial" w:hAnsi="Arial" w:cs="Arial"/>
          <w:b/>
          <w:color w:val="00B050"/>
          <w:sz w:val="36"/>
          <w:szCs w:val="36"/>
          <w:u w:val="single"/>
          <w:lang w:val="en-CA"/>
        </w:rPr>
      </w:pPr>
      <w:r>
        <w:rPr>
          <w:rFonts w:ascii="Arial" w:hAnsi="Arial" w:cs="Arial"/>
          <w:b/>
          <w:color w:val="00B050"/>
          <w:sz w:val="36"/>
          <w:szCs w:val="36"/>
          <w:u w:val="single"/>
          <w:lang w:val="en-CA"/>
        </w:rPr>
        <w:lastRenderedPageBreak/>
        <w:t>PROBLEMS</w:t>
      </w:r>
    </w:p>
    <w:p w:rsidR="007D511A" w:rsidRPr="007D511A" w:rsidRDefault="00665F2F" w:rsidP="007D511A">
      <w:pPr>
        <w:tabs>
          <w:tab w:val="left" w:pos="1620"/>
        </w:tabs>
        <w:rPr>
          <w:rFonts w:ascii="Arial" w:hAnsi="Arial" w:cs="Arial"/>
          <w:b/>
          <w:sz w:val="24"/>
          <w:szCs w:val="24"/>
          <w:u w:val="single"/>
          <w:lang w:val="en-CA"/>
        </w:rPr>
      </w:pPr>
      <w:r>
        <w:rPr>
          <w:rFonts w:ascii="Arial" w:hAnsi="Arial" w:cs="Arial"/>
          <w:sz w:val="28"/>
          <w:szCs w:val="28"/>
          <w:lang w:val="en-CA"/>
        </w:rPr>
        <w:t>PROBLEM</w:t>
      </w:r>
      <w:r w:rsidR="00572248">
        <w:rPr>
          <w:rFonts w:ascii="Arial" w:hAnsi="Arial" w:cs="Arial"/>
          <w:sz w:val="28"/>
          <w:szCs w:val="28"/>
          <w:lang w:val="en-CA"/>
        </w:rPr>
        <w:t xml:space="preserve"> 10-2</w:t>
      </w:r>
    </w:p>
    <w:p w:rsidR="007D511A" w:rsidRPr="007D511A" w:rsidRDefault="007D511A" w:rsidP="001C2E2B">
      <w:pPr>
        <w:pStyle w:val="ListParagraph"/>
        <w:numPr>
          <w:ilvl w:val="0"/>
          <w:numId w:val="20"/>
        </w:numPr>
        <w:spacing w:before="240" w:after="0" w:line="240" w:lineRule="auto"/>
        <w:ind w:left="1276" w:hanging="720"/>
        <w:contextualSpacing w:val="0"/>
        <w:rPr>
          <w:rFonts w:ascii="Arial" w:hAnsi="Arial" w:cs="Arial"/>
          <w:sz w:val="24"/>
          <w:szCs w:val="24"/>
          <w:lang w:val="en-CA"/>
        </w:rPr>
      </w:pPr>
      <w:r w:rsidRPr="007D511A">
        <w:rPr>
          <w:rFonts w:ascii="Arial" w:hAnsi="Arial" w:cs="Arial"/>
          <w:sz w:val="24"/>
          <w:szCs w:val="24"/>
          <w:lang w:val="en-CA"/>
        </w:rPr>
        <w:t>Adjusting entries:</w:t>
      </w:r>
    </w:p>
    <w:p w:rsidR="007D511A" w:rsidRPr="007D511A" w:rsidRDefault="007D511A" w:rsidP="007D511A">
      <w:pPr>
        <w:pStyle w:val="ListParagraph"/>
        <w:numPr>
          <w:ilvl w:val="0"/>
          <w:numId w:val="21"/>
        </w:numPr>
        <w:ind w:left="2160" w:hanging="720"/>
        <w:rPr>
          <w:rFonts w:ascii="Arial" w:hAnsi="Arial" w:cs="Arial"/>
          <w:sz w:val="24"/>
          <w:szCs w:val="24"/>
          <w:lang w:val="en-CA"/>
        </w:rPr>
      </w:pPr>
      <w:r w:rsidRPr="007D511A">
        <w:rPr>
          <w:rFonts w:ascii="Arial" w:hAnsi="Arial" w:cs="Arial"/>
          <w:sz w:val="24"/>
          <w:szCs w:val="24"/>
          <w:lang w:val="en-CA"/>
        </w:rPr>
        <w:t>No entry is required, operating expenses exceed $3,000 per month.</w:t>
      </w:r>
    </w:p>
    <w:p w:rsidR="007D511A" w:rsidRPr="007D511A" w:rsidRDefault="007D511A" w:rsidP="007D511A">
      <w:pPr>
        <w:pStyle w:val="ListParagraph"/>
        <w:numPr>
          <w:ilvl w:val="0"/>
          <w:numId w:val="21"/>
        </w:numPr>
        <w:ind w:left="2160" w:hanging="720"/>
        <w:rPr>
          <w:rFonts w:ascii="Arial" w:hAnsi="Arial" w:cs="Arial"/>
          <w:sz w:val="24"/>
          <w:szCs w:val="24"/>
          <w:lang w:val="en-CA"/>
        </w:rPr>
      </w:pPr>
      <w:r w:rsidRPr="007D511A">
        <w:rPr>
          <w:rFonts w:ascii="Arial" w:hAnsi="Arial" w:cs="Arial"/>
          <w:sz w:val="24"/>
          <w:szCs w:val="24"/>
          <w:lang w:val="en-CA"/>
        </w:rPr>
        <w:t>No entry required, as the grant did not have stipulations it is appropriate to include the amount in revenue.</w:t>
      </w:r>
    </w:p>
    <w:p w:rsidR="007D511A" w:rsidRPr="007D511A" w:rsidRDefault="007D511A" w:rsidP="007D511A">
      <w:pPr>
        <w:pStyle w:val="ListParagraph"/>
        <w:numPr>
          <w:ilvl w:val="0"/>
          <w:numId w:val="21"/>
        </w:numPr>
        <w:ind w:left="2160" w:hanging="72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Grants received</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1,160</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Deferred grant</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1,160</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defer grant from Veterans Services for counselling services not yet provided.</w:t>
      </w:r>
    </w:p>
    <w:p w:rsidR="007D511A" w:rsidRPr="007D511A" w:rsidRDefault="007D511A" w:rsidP="007D511A">
      <w:pPr>
        <w:pStyle w:val="ListParagraph"/>
        <w:numPr>
          <w:ilvl w:val="0"/>
          <w:numId w:val="21"/>
        </w:numPr>
        <w:ind w:left="2160" w:hanging="720"/>
        <w:rPr>
          <w:rFonts w:ascii="Arial" w:hAnsi="Arial" w:cs="Arial"/>
          <w:sz w:val="24"/>
          <w:szCs w:val="24"/>
          <w:lang w:val="en-CA"/>
        </w:rPr>
      </w:pPr>
      <w:r w:rsidRPr="007D511A">
        <w:rPr>
          <w:rFonts w:ascii="Arial" w:hAnsi="Arial" w:cs="Arial"/>
          <w:sz w:val="24"/>
          <w:szCs w:val="24"/>
          <w:lang w:val="en-CA"/>
        </w:rPr>
        <w:t>No entry is required, although a request was made for funding to support a specific program, the contributor did not stipulate how they were to be used.  As there is no indication FHC has a liability, the amount is revenue.</w:t>
      </w:r>
    </w:p>
    <w:p w:rsidR="007D511A" w:rsidRPr="007D511A" w:rsidRDefault="007D511A" w:rsidP="007D511A">
      <w:pPr>
        <w:pStyle w:val="ListParagraph"/>
        <w:numPr>
          <w:ilvl w:val="0"/>
          <w:numId w:val="21"/>
        </w:numPr>
        <w:ind w:left="2160" w:hanging="72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Grants received</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500</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Deferred grant</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500</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defer grant for new medical equipment that has not yet been purchased.</w:t>
      </w:r>
    </w:p>
    <w:p w:rsidR="007D511A" w:rsidRPr="007D511A" w:rsidRDefault="007D511A" w:rsidP="007D511A">
      <w:pPr>
        <w:pStyle w:val="ListParagraph"/>
        <w:numPr>
          <w:ilvl w:val="0"/>
          <w:numId w:val="20"/>
        </w:numPr>
        <w:spacing w:before="240" w:after="0" w:line="240" w:lineRule="auto"/>
        <w:ind w:hanging="720"/>
        <w:contextualSpacing w:val="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Grant receivable</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15,000</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Grants revenue</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15,000</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accrue construction grant for work completed as at March 15, 2013.</w:t>
      </w:r>
    </w:p>
    <w:p w:rsidR="007D511A" w:rsidRPr="007D511A" w:rsidRDefault="007D511A" w:rsidP="007D511A">
      <w:pPr>
        <w:pStyle w:val="ListParagraph"/>
        <w:numPr>
          <w:ilvl w:val="0"/>
          <w:numId w:val="20"/>
        </w:numPr>
        <w:spacing w:before="240" w:after="0" w:line="240" w:lineRule="auto"/>
        <w:ind w:hanging="720"/>
        <w:contextualSpacing w:val="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Deferred grant</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5,325</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Grants revenue</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5,325</w:t>
      </w:r>
    </w:p>
    <w:p w:rsid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account for final year of multi-year funding grant for specialized cancer care in current year’s grant revenue.</w:t>
      </w:r>
      <w:r w:rsidR="00FF2030">
        <w:rPr>
          <w:rFonts w:ascii="Arial" w:hAnsi="Arial" w:cs="Arial"/>
          <w:sz w:val="24"/>
          <w:szCs w:val="24"/>
          <w:lang w:val="en-CA"/>
        </w:rPr>
        <w:t xml:space="preserve">  $21,300/ 4 = $5,325</w:t>
      </w: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Pr="00284AF7" w:rsidRDefault="00665F2F" w:rsidP="00D5502E">
      <w:pPr>
        <w:spacing w:before="240"/>
        <w:rPr>
          <w:rFonts w:ascii="Arial" w:hAnsi="Arial" w:cs="Arial"/>
          <w:sz w:val="28"/>
          <w:szCs w:val="28"/>
          <w:lang w:val="en-CA"/>
        </w:rPr>
      </w:pPr>
      <w:r>
        <w:rPr>
          <w:rFonts w:ascii="Arial" w:hAnsi="Arial" w:cs="Arial"/>
          <w:sz w:val="28"/>
          <w:szCs w:val="28"/>
          <w:lang w:val="en-CA"/>
        </w:rPr>
        <w:t>PROBLEM</w:t>
      </w:r>
      <w:r w:rsidR="00D5502E">
        <w:rPr>
          <w:rFonts w:ascii="Arial" w:hAnsi="Arial" w:cs="Arial"/>
          <w:sz w:val="28"/>
          <w:szCs w:val="28"/>
          <w:lang w:val="en-CA"/>
        </w:rPr>
        <w:t xml:space="preserve"> 10-2 (Continued)</w:t>
      </w:r>
    </w:p>
    <w:p w:rsidR="00D5502E" w:rsidRPr="007D511A" w:rsidRDefault="00D5502E" w:rsidP="007D511A">
      <w:pPr>
        <w:spacing w:after="0" w:line="240" w:lineRule="auto"/>
        <w:ind w:left="1440"/>
        <w:rPr>
          <w:rFonts w:ascii="Arial" w:hAnsi="Arial" w:cs="Arial"/>
          <w:sz w:val="24"/>
          <w:szCs w:val="24"/>
          <w:lang w:val="en-CA"/>
        </w:rPr>
      </w:pPr>
    </w:p>
    <w:p w:rsidR="007D511A" w:rsidRPr="007D511A" w:rsidRDefault="007D511A" w:rsidP="007D511A">
      <w:pPr>
        <w:pStyle w:val="ListParagraph"/>
        <w:numPr>
          <w:ilvl w:val="0"/>
          <w:numId w:val="20"/>
        </w:numPr>
        <w:spacing w:before="240" w:after="0" w:line="240" w:lineRule="auto"/>
        <w:ind w:hanging="720"/>
        <w:contextualSpacing w:val="0"/>
        <w:rPr>
          <w:rFonts w:ascii="Arial" w:hAnsi="Arial" w:cs="Arial"/>
          <w:sz w:val="24"/>
          <w:szCs w:val="24"/>
          <w:lang w:val="en-CA"/>
        </w:rPr>
      </w:pP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No entry is made as a grant cannot be recorded as revenue by a recipient until it has been authorized.  Grant recipients do not accrue grants authorized in a stub period.</w:t>
      </w:r>
    </w:p>
    <w:p w:rsidR="007D511A" w:rsidRPr="007D511A" w:rsidRDefault="007D511A" w:rsidP="007D511A">
      <w:pPr>
        <w:tabs>
          <w:tab w:val="left" w:pos="720"/>
        </w:tabs>
        <w:spacing w:before="200" w:after="0"/>
        <w:ind w:left="720"/>
        <w:rPr>
          <w:rFonts w:ascii="Arial" w:hAnsi="Arial" w:cs="Arial"/>
          <w:sz w:val="24"/>
          <w:szCs w:val="24"/>
          <w:lang w:val="en-CA"/>
        </w:rPr>
      </w:pPr>
      <w:r w:rsidRPr="007D511A">
        <w:rPr>
          <w:rFonts w:ascii="Arial" w:hAnsi="Arial" w:cs="Arial"/>
          <w:sz w:val="24"/>
          <w:szCs w:val="24"/>
          <w:lang w:val="en-CA"/>
        </w:rPr>
        <w:t>Financial statements</w:t>
      </w:r>
    </w:p>
    <w:tbl>
      <w:tblPr>
        <w:tblStyle w:val="TableGrid"/>
        <w:tblW w:w="0" w:type="auto"/>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25"/>
        <w:gridCol w:w="477"/>
        <w:gridCol w:w="2223"/>
      </w:tblGrid>
      <w:tr w:rsidR="007D511A" w:rsidRPr="007D511A" w:rsidTr="00D635B9">
        <w:tc>
          <w:tcPr>
            <w:tcW w:w="5825"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Financial Assets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rPr>
                <w:rFonts w:ascii="Arial" w:hAnsi="Arial" w:cs="Arial"/>
                <w:sz w:val="24"/>
                <w:szCs w:val="24"/>
                <w:lang w:val="en-CA"/>
              </w:rPr>
            </w:pP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Cash and cash equivalents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$3,634</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Fees receivable</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1,158</w:t>
            </w:r>
          </w:p>
        </w:tc>
      </w:tr>
      <w:tr w:rsidR="007D511A" w:rsidRPr="007D511A" w:rsidTr="00D635B9">
        <w:tc>
          <w:tcPr>
            <w:tcW w:w="5825"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 xml:space="preserve">   Grant receivable</w:t>
            </w:r>
          </w:p>
        </w:tc>
        <w:tc>
          <w:tcPr>
            <w:tcW w:w="477" w:type="dxa"/>
          </w:tcPr>
          <w:p w:rsidR="007D511A" w:rsidRPr="007D511A" w:rsidRDefault="007D511A" w:rsidP="00D635B9">
            <w:pPr>
              <w:rPr>
                <w:rFonts w:ascii="Arial" w:hAnsi="Arial" w:cs="Arial"/>
                <w:sz w:val="24"/>
                <w:szCs w:val="24"/>
                <w:u w:val="single"/>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21,692</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1C2E2B" w:rsidRDefault="007D511A" w:rsidP="00D635B9">
            <w:pPr>
              <w:spacing w:after="200" w:line="276" w:lineRule="auto"/>
              <w:ind w:left="720"/>
              <w:jc w:val="right"/>
              <w:rPr>
                <w:rFonts w:ascii="Arial" w:hAnsi="Arial" w:cs="Arial"/>
                <w:sz w:val="24"/>
                <w:szCs w:val="24"/>
                <w:u w:val="double"/>
                <w:lang w:val="en-CA"/>
              </w:rPr>
            </w:pPr>
            <w:r w:rsidRPr="001C2E2B">
              <w:rPr>
                <w:rFonts w:ascii="Arial" w:hAnsi="Arial" w:cs="Arial"/>
                <w:sz w:val="24"/>
                <w:szCs w:val="24"/>
                <w:u w:val="double"/>
                <w:lang w:val="en-CA"/>
              </w:rPr>
              <w:t xml:space="preserve">   </w:t>
            </w:r>
            <w:r w:rsidR="00FF2030" w:rsidRPr="001C2E2B">
              <w:rPr>
                <w:rFonts w:ascii="Arial" w:hAnsi="Arial" w:cs="Arial"/>
                <w:sz w:val="24"/>
                <w:szCs w:val="24"/>
                <w:u w:val="double"/>
                <w:lang w:val="en-CA"/>
              </w:rPr>
              <w:t>$</w:t>
            </w:r>
            <w:r w:rsidRPr="001C2E2B">
              <w:rPr>
                <w:rFonts w:ascii="Arial" w:hAnsi="Arial" w:cs="Arial"/>
                <w:sz w:val="24"/>
                <w:szCs w:val="24"/>
                <w:u w:val="double"/>
                <w:lang w:val="en-CA"/>
              </w:rPr>
              <w:t>26,484</w:t>
            </w:r>
          </w:p>
        </w:tc>
      </w:tr>
      <w:tr w:rsidR="007D511A" w:rsidRPr="007D511A" w:rsidTr="00D635B9">
        <w:tc>
          <w:tcPr>
            <w:tcW w:w="5825"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Liabilities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rPr>
                <w:rFonts w:ascii="Arial" w:hAnsi="Arial" w:cs="Arial"/>
                <w:sz w:val="24"/>
                <w:szCs w:val="24"/>
                <w:lang w:val="en-CA"/>
              </w:rPr>
            </w:pP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Bank indebtedness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FF2030" w:rsidP="00D635B9">
            <w:pPr>
              <w:ind w:left="720"/>
              <w:jc w:val="right"/>
              <w:rPr>
                <w:rFonts w:ascii="Arial" w:hAnsi="Arial" w:cs="Arial"/>
                <w:sz w:val="24"/>
                <w:szCs w:val="24"/>
                <w:lang w:val="en-CA"/>
              </w:rPr>
            </w:pPr>
            <w:r>
              <w:rPr>
                <w:rFonts w:ascii="Arial" w:hAnsi="Arial" w:cs="Arial"/>
                <w:sz w:val="24"/>
                <w:szCs w:val="24"/>
                <w:lang w:val="en-CA"/>
              </w:rPr>
              <w:t>$</w:t>
            </w:r>
            <w:r w:rsidR="007D511A" w:rsidRPr="007D511A">
              <w:rPr>
                <w:rFonts w:ascii="Arial" w:hAnsi="Arial" w:cs="Arial"/>
                <w:sz w:val="24"/>
                <w:szCs w:val="24"/>
                <w:lang w:val="en-CA"/>
              </w:rPr>
              <w:t>18,477</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Accounts payable</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7,294</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Employee future benefit obligations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2,179</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Deferred revenue</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435</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Deferred grants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1,660</w:t>
            </w:r>
          </w:p>
        </w:tc>
      </w:tr>
      <w:tr w:rsidR="007D511A" w:rsidRPr="007D511A" w:rsidTr="00D635B9">
        <w:tc>
          <w:tcPr>
            <w:tcW w:w="5825" w:type="dxa"/>
          </w:tcPr>
          <w:p w:rsidR="007D511A" w:rsidRPr="007D511A" w:rsidRDefault="007D511A" w:rsidP="00D635B9">
            <w:pPr>
              <w:ind w:left="720"/>
              <w:rPr>
                <w:rFonts w:ascii="Arial" w:hAnsi="Arial" w:cs="Arial"/>
                <w:sz w:val="24"/>
                <w:szCs w:val="24"/>
                <w:u w:val="single"/>
                <w:lang w:val="en-CA"/>
              </w:rPr>
            </w:pP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1C2E2B" w:rsidRDefault="007D511A" w:rsidP="00D635B9">
            <w:pPr>
              <w:spacing w:before="120" w:after="200" w:line="276" w:lineRule="auto"/>
              <w:ind w:left="720"/>
              <w:jc w:val="right"/>
              <w:rPr>
                <w:rFonts w:ascii="Arial" w:hAnsi="Arial" w:cs="Arial"/>
                <w:sz w:val="24"/>
                <w:szCs w:val="24"/>
                <w:u w:val="double"/>
                <w:lang w:val="en-CA"/>
              </w:rPr>
            </w:pPr>
            <w:r w:rsidRPr="001C2E2B">
              <w:rPr>
                <w:rFonts w:ascii="Arial" w:hAnsi="Arial" w:cs="Arial"/>
                <w:sz w:val="24"/>
                <w:szCs w:val="24"/>
                <w:u w:val="double"/>
                <w:lang w:val="en-CA"/>
              </w:rPr>
              <w:t xml:space="preserve">   </w:t>
            </w:r>
            <w:r w:rsidR="00FF2030" w:rsidRPr="001C2E2B">
              <w:rPr>
                <w:rFonts w:ascii="Arial" w:hAnsi="Arial" w:cs="Arial"/>
                <w:sz w:val="24"/>
                <w:szCs w:val="24"/>
                <w:u w:val="double"/>
                <w:lang w:val="en-CA"/>
              </w:rPr>
              <w:t>$</w:t>
            </w:r>
            <w:r w:rsidRPr="001C2E2B">
              <w:rPr>
                <w:rFonts w:ascii="Arial" w:hAnsi="Arial" w:cs="Arial"/>
                <w:sz w:val="24"/>
                <w:szCs w:val="24"/>
                <w:u w:val="double"/>
                <w:lang w:val="en-CA"/>
              </w:rPr>
              <w:t>30,045</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w:t>
            </w:r>
            <w:r w:rsidRPr="007D511A">
              <w:rPr>
                <w:rFonts w:ascii="Arial" w:hAnsi="Arial" w:cs="Arial"/>
                <w:sz w:val="24"/>
                <w:szCs w:val="24"/>
                <w:lang w:val="en-CA"/>
              </w:rPr>
              <w:tab/>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spacing w:before="120"/>
              <w:ind w:left="720"/>
              <w:jc w:val="right"/>
              <w:rPr>
                <w:rFonts w:ascii="Arial" w:hAnsi="Arial" w:cs="Arial"/>
                <w:sz w:val="24"/>
                <w:szCs w:val="24"/>
                <w:lang w:val="en-CA"/>
              </w:rPr>
            </w:pPr>
            <w:r w:rsidRPr="007D511A">
              <w:rPr>
                <w:rFonts w:ascii="Arial" w:hAnsi="Arial" w:cs="Arial"/>
                <w:sz w:val="24"/>
                <w:szCs w:val="24"/>
                <w:u w:val="single"/>
                <w:lang w:val="en-CA"/>
              </w:rPr>
              <w:t xml:space="preserve">   </w:t>
            </w:r>
            <w:r w:rsidR="00FF2030">
              <w:rPr>
                <w:rFonts w:ascii="Arial" w:hAnsi="Arial" w:cs="Arial"/>
                <w:sz w:val="24"/>
                <w:szCs w:val="24"/>
                <w:u w:val="single"/>
                <w:lang w:val="en-CA"/>
              </w:rPr>
              <w:t>$</w:t>
            </w:r>
            <w:r w:rsidRPr="007D511A">
              <w:rPr>
                <w:rFonts w:ascii="Arial" w:hAnsi="Arial" w:cs="Arial"/>
                <w:sz w:val="24"/>
                <w:szCs w:val="24"/>
                <w:u w:val="single"/>
                <w:lang w:val="en-CA"/>
              </w:rPr>
              <w:t>(3,561)</w:t>
            </w:r>
          </w:p>
        </w:tc>
      </w:tr>
      <w:tr w:rsidR="007D511A" w:rsidRPr="007D511A" w:rsidTr="00D635B9">
        <w:tc>
          <w:tcPr>
            <w:tcW w:w="5825"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Non-financial assets</w:t>
            </w:r>
          </w:p>
        </w:tc>
        <w:tc>
          <w:tcPr>
            <w:tcW w:w="477" w:type="dxa"/>
          </w:tcPr>
          <w:p w:rsidR="007D511A" w:rsidRPr="007D511A" w:rsidRDefault="007D511A" w:rsidP="00D635B9">
            <w:pPr>
              <w:rPr>
                <w:rFonts w:ascii="Arial" w:hAnsi="Arial" w:cs="Arial"/>
                <w:sz w:val="24"/>
                <w:szCs w:val="24"/>
                <w:u w:val="single"/>
                <w:lang w:val="en-CA"/>
              </w:rPr>
            </w:pPr>
          </w:p>
        </w:tc>
        <w:tc>
          <w:tcPr>
            <w:tcW w:w="2223" w:type="dxa"/>
          </w:tcPr>
          <w:p w:rsidR="007D511A" w:rsidRPr="007D511A" w:rsidRDefault="007D511A" w:rsidP="00D635B9">
            <w:pPr>
              <w:ind w:left="720"/>
              <w:rPr>
                <w:rFonts w:ascii="Arial" w:hAnsi="Arial" w:cs="Arial"/>
                <w:sz w:val="24"/>
                <w:szCs w:val="24"/>
                <w:lang w:val="en-CA"/>
              </w:rPr>
            </w:pP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Inventory of supplies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C444BF" w:rsidP="00D635B9">
            <w:pPr>
              <w:ind w:left="720"/>
              <w:jc w:val="right"/>
              <w:rPr>
                <w:rFonts w:ascii="Arial" w:hAnsi="Arial" w:cs="Arial"/>
                <w:sz w:val="24"/>
                <w:szCs w:val="24"/>
                <w:lang w:val="en-CA"/>
              </w:rPr>
            </w:pPr>
            <w:r>
              <w:rPr>
                <w:rFonts w:ascii="Arial" w:hAnsi="Arial" w:cs="Arial"/>
                <w:sz w:val="24"/>
                <w:szCs w:val="24"/>
                <w:lang w:val="en-CA"/>
              </w:rPr>
              <w:t xml:space="preserve">$ </w:t>
            </w:r>
            <w:r w:rsidR="007D511A" w:rsidRPr="007D511A">
              <w:rPr>
                <w:rFonts w:ascii="Arial" w:hAnsi="Arial" w:cs="Arial"/>
                <w:sz w:val="24"/>
                <w:szCs w:val="24"/>
                <w:lang w:val="en-CA"/>
              </w:rPr>
              <w:t>2,315</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Tangible capital assets, net</w:t>
            </w:r>
          </w:p>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of accumulated amortization</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67,263</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69,578</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net assets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double"/>
                <w:lang w:val="en-CA"/>
              </w:rPr>
              <w:t>$ 66,017</w:t>
            </w:r>
          </w:p>
        </w:tc>
      </w:tr>
    </w:tbl>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r w:rsidRPr="007D511A">
        <w:rPr>
          <w:rFonts w:ascii="Arial" w:hAnsi="Arial" w:cs="Arial"/>
          <w:sz w:val="24"/>
          <w:szCs w:val="24"/>
          <w:lang w:val="en-CA"/>
        </w:rPr>
        <w:t xml:space="preserve">[Note: the </w:t>
      </w:r>
      <w:r w:rsidRPr="007D511A">
        <w:rPr>
          <w:rFonts w:ascii="Arial" w:hAnsi="Arial" w:cs="Arial"/>
          <w:i/>
          <w:sz w:val="24"/>
          <w:szCs w:val="24"/>
          <w:lang w:val="en-CA"/>
        </w:rPr>
        <w:t>CICA PSA Handbook</w:t>
      </w:r>
      <w:r w:rsidRPr="007D511A">
        <w:rPr>
          <w:rFonts w:ascii="Arial" w:hAnsi="Arial" w:cs="Arial"/>
          <w:sz w:val="24"/>
          <w:szCs w:val="24"/>
          <w:lang w:val="en-CA"/>
        </w:rPr>
        <w:t xml:space="preserve"> does not require any specific ordering of items on the Statement of Financial Position so long as both the measures of net debt and accumulated surplus/deficit are evident.  The approach shown is in common use and consistent with the illustrative financial statements in the chapter.]</w:t>
      </w:r>
    </w:p>
    <w:p w:rsidR="007D511A" w:rsidRPr="007D511A" w:rsidRDefault="007D511A" w:rsidP="00D5502E">
      <w:pPr>
        <w:rPr>
          <w:rFonts w:ascii="Arial" w:hAnsi="Arial" w:cs="Arial"/>
          <w:sz w:val="24"/>
          <w:szCs w:val="24"/>
          <w:lang w:val="en-CA"/>
        </w:rPr>
      </w:pPr>
      <w:r w:rsidRPr="007D511A">
        <w:rPr>
          <w:rFonts w:ascii="Arial" w:hAnsi="Arial" w:cs="Arial"/>
          <w:sz w:val="24"/>
          <w:szCs w:val="24"/>
          <w:lang w:val="en-CA"/>
        </w:rPr>
        <w:br w:type="page"/>
      </w:r>
    </w:p>
    <w:tbl>
      <w:tblPr>
        <w:tblStyle w:val="TableGrid"/>
        <w:tblW w:w="8705" w:type="dxa"/>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1"/>
        <w:gridCol w:w="708"/>
        <w:gridCol w:w="1836"/>
      </w:tblGrid>
      <w:tr w:rsidR="007D511A" w:rsidRPr="007D511A" w:rsidTr="00D635B9">
        <w:tc>
          <w:tcPr>
            <w:tcW w:w="8705" w:type="dxa"/>
            <w:gridSpan w:val="3"/>
          </w:tcPr>
          <w:p w:rsidR="00D5502E" w:rsidRPr="00284AF7" w:rsidRDefault="00665F2F" w:rsidP="00D5502E">
            <w:pPr>
              <w:spacing w:before="240"/>
              <w:rPr>
                <w:rFonts w:ascii="Arial" w:hAnsi="Arial" w:cs="Arial"/>
                <w:sz w:val="28"/>
                <w:szCs w:val="28"/>
                <w:lang w:val="en-CA"/>
              </w:rPr>
            </w:pPr>
            <w:r>
              <w:rPr>
                <w:rFonts w:ascii="Arial" w:hAnsi="Arial" w:cs="Arial"/>
                <w:sz w:val="28"/>
                <w:szCs w:val="28"/>
                <w:lang w:val="en-CA"/>
              </w:rPr>
              <w:lastRenderedPageBreak/>
              <w:t>PROBLEM</w:t>
            </w:r>
            <w:r w:rsidR="00D5502E">
              <w:rPr>
                <w:rFonts w:ascii="Arial" w:hAnsi="Arial" w:cs="Arial"/>
                <w:sz w:val="28"/>
                <w:szCs w:val="28"/>
                <w:lang w:val="en-CA"/>
              </w:rPr>
              <w:t xml:space="preserve"> 10-2 (Continued)</w:t>
            </w:r>
          </w:p>
          <w:p w:rsidR="00D5502E" w:rsidRDefault="00D5502E" w:rsidP="00D635B9">
            <w:pPr>
              <w:ind w:left="720"/>
              <w:jc w:val="center"/>
              <w:rPr>
                <w:rFonts w:ascii="Arial" w:hAnsi="Arial" w:cs="Arial"/>
                <w:sz w:val="24"/>
                <w:szCs w:val="24"/>
                <w:lang w:val="en-CA"/>
              </w:rPr>
            </w:pP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FRONTIER HEALTH CENTRE</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Operations</w:t>
            </w:r>
          </w:p>
        </w:tc>
      </w:tr>
      <w:tr w:rsidR="007D511A" w:rsidRPr="007D511A" w:rsidTr="00D635B9">
        <w:tc>
          <w:tcPr>
            <w:tcW w:w="8705" w:type="dxa"/>
            <w:gridSpan w:val="3"/>
          </w:tcPr>
          <w:p w:rsidR="007D511A" w:rsidRPr="007D511A" w:rsidRDefault="007D511A" w:rsidP="00D635B9">
            <w:pPr>
              <w:spacing w:before="240"/>
              <w:ind w:left="720"/>
              <w:jc w:val="center"/>
              <w:rPr>
                <w:rFonts w:ascii="Arial" w:hAnsi="Arial" w:cs="Arial"/>
                <w:sz w:val="24"/>
                <w:szCs w:val="24"/>
                <w:lang w:val="en-CA"/>
              </w:rPr>
            </w:pPr>
            <w:r w:rsidRPr="007D511A">
              <w:rPr>
                <w:rFonts w:ascii="Arial" w:hAnsi="Arial" w:cs="Arial"/>
                <w:sz w:val="24"/>
                <w:szCs w:val="24"/>
                <w:lang w:val="en-CA"/>
              </w:rPr>
              <w:t>For the year ended March 31, 2013</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Grant revenue</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$62,825</w:t>
            </w:r>
            <w:r w:rsidR="00C444BF">
              <w:rPr>
                <w:rFonts w:ascii="Arial" w:hAnsi="Arial" w:cs="Arial"/>
                <w:sz w:val="24"/>
                <w:szCs w:val="24"/>
                <w:lang w:val="en-CA"/>
              </w:rPr>
              <w:t xml:space="preserve"> </w:t>
            </w:r>
            <w:r w:rsidR="00C444BF" w:rsidRPr="001C2E2B">
              <w:rPr>
                <w:rFonts w:ascii="Arial" w:hAnsi="Arial" w:cs="Arial"/>
                <w:sz w:val="24"/>
                <w:szCs w:val="24"/>
                <w:vertAlign w:val="superscript"/>
                <w:lang w:val="en-CA"/>
              </w:rPr>
              <w:t>1</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Patient fees</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3,694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Donations</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828</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revenues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67,347</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Compensation and benefits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lang w:val="en-CA"/>
              </w:rPr>
              <w:t>29,249</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Supplies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6,962</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Contracted Services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3,267</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3,486</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Fundraising</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161</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Other</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1,989</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expenses</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45,114</w:t>
            </w:r>
          </w:p>
        </w:tc>
      </w:tr>
      <w:tr w:rsidR="007D511A" w:rsidRPr="007D511A" w:rsidTr="00D635B9">
        <w:tc>
          <w:tcPr>
            <w:tcW w:w="6161"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Surplus for the year</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C444BF" w:rsidP="00D635B9">
            <w:pPr>
              <w:ind w:left="33"/>
              <w:jc w:val="right"/>
              <w:rPr>
                <w:rFonts w:ascii="Arial" w:hAnsi="Arial" w:cs="Arial"/>
                <w:sz w:val="24"/>
                <w:szCs w:val="24"/>
                <w:u w:val="single"/>
                <w:lang w:val="en-CA"/>
              </w:rPr>
            </w:pPr>
            <w:r>
              <w:rPr>
                <w:rFonts w:ascii="Arial" w:hAnsi="Arial" w:cs="Arial"/>
                <w:sz w:val="24"/>
                <w:szCs w:val="24"/>
                <w:lang w:val="en-CA"/>
              </w:rPr>
              <w:t>$</w:t>
            </w:r>
            <w:r w:rsidR="007D511A" w:rsidRPr="007D511A">
              <w:rPr>
                <w:rFonts w:ascii="Arial" w:hAnsi="Arial" w:cs="Arial"/>
                <w:sz w:val="24"/>
                <w:szCs w:val="24"/>
                <w:lang w:val="en-CA"/>
              </w:rPr>
              <w:t>22,233</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surplus, beginning of year</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43,784</w:t>
            </w:r>
          </w:p>
        </w:tc>
      </w:tr>
      <w:tr w:rsidR="007D511A" w:rsidRPr="007D511A" w:rsidTr="00D635B9">
        <w:tc>
          <w:tcPr>
            <w:tcW w:w="6161" w:type="dxa"/>
          </w:tcPr>
          <w:p w:rsidR="007D511A" w:rsidRPr="007D511A" w:rsidRDefault="007D511A" w:rsidP="00D635B9">
            <w:pPr>
              <w:ind w:left="720"/>
              <w:rPr>
                <w:rFonts w:ascii="Arial" w:hAnsi="Arial" w:cs="Arial"/>
                <w:sz w:val="24"/>
                <w:szCs w:val="24"/>
                <w:u w:val="double"/>
                <w:lang w:val="en-CA"/>
              </w:rPr>
            </w:pPr>
            <w:r w:rsidRPr="007D511A">
              <w:rPr>
                <w:rFonts w:ascii="Arial" w:hAnsi="Arial" w:cs="Arial"/>
                <w:sz w:val="24"/>
                <w:szCs w:val="24"/>
                <w:lang w:val="en-CA"/>
              </w:rPr>
              <w:t>Accumulated surplus, end of year</w:t>
            </w:r>
          </w:p>
        </w:tc>
        <w:tc>
          <w:tcPr>
            <w:tcW w:w="708" w:type="dxa"/>
          </w:tcPr>
          <w:p w:rsidR="007D511A" w:rsidRPr="007D511A" w:rsidRDefault="007D511A" w:rsidP="00D635B9">
            <w:pPr>
              <w:ind w:left="34"/>
              <w:rPr>
                <w:rFonts w:ascii="Arial" w:hAnsi="Arial" w:cs="Arial"/>
                <w:sz w:val="24"/>
                <w:szCs w:val="24"/>
                <w:u w:val="double"/>
                <w:lang w:val="en-CA"/>
              </w:rPr>
            </w:pPr>
          </w:p>
        </w:tc>
        <w:tc>
          <w:tcPr>
            <w:tcW w:w="1836" w:type="dxa"/>
          </w:tcPr>
          <w:p w:rsidR="007D511A" w:rsidRPr="007D511A" w:rsidRDefault="007D511A" w:rsidP="00D635B9">
            <w:pPr>
              <w:ind w:left="33"/>
              <w:jc w:val="right"/>
              <w:rPr>
                <w:rFonts w:ascii="Arial" w:hAnsi="Arial" w:cs="Arial"/>
                <w:sz w:val="24"/>
                <w:szCs w:val="24"/>
                <w:u w:val="double"/>
                <w:lang w:val="en-CA"/>
              </w:rPr>
            </w:pPr>
            <w:r w:rsidRPr="007D511A">
              <w:rPr>
                <w:rFonts w:ascii="Arial" w:hAnsi="Arial" w:cs="Arial"/>
                <w:sz w:val="24"/>
                <w:szCs w:val="24"/>
                <w:u w:val="double"/>
                <w:lang w:val="en-CA"/>
              </w:rPr>
              <w:t>$ 66,017</w:t>
            </w:r>
          </w:p>
        </w:tc>
      </w:tr>
    </w:tbl>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8"/>
        <w:gridCol w:w="450"/>
        <w:gridCol w:w="2430"/>
      </w:tblGrid>
      <w:tr w:rsidR="007D511A" w:rsidRPr="007D511A" w:rsidTr="00D635B9">
        <w:tc>
          <w:tcPr>
            <w:tcW w:w="874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FRONTIER HEALTH CENTRE</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Changes in Net Debt</w:t>
            </w:r>
          </w:p>
        </w:tc>
      </w:tr>
      <w:tr w:rsidR="007D511A" w:rsidRPr="007D511A" w:rsidTr="00D635B9">
        <w:tc>
          <w:tcPr>
            <w:tcW w:w="874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For the year ended March 31, 2013</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Surplus for the year</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$22,233</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 of capital assets</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u w:val="single"/>
                <w:lang w:val="en-CA"/>
              </w:rPr>
            </w:pPr>
            <w:r w:rsidRPr="007D511A">
              <w:rPr>
                <w:rFonts w:ascii="Arial" w:hAnsi="Arial" w:cs="Arial"/>
                <w:sz w:val="24"/>
                <w:szCs w:val="24"/>
                <w:lang w:val="en-CA"/>
              </w:rPr>
              <w:t>3,486</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Additions to capital assets</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(21,350)</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Increase in inventory of supplies</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(309)</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u w:val="single"/>
                <w:lang w:val="en-CA"/>
              </w:rPr>
            </w:pPr>
            <w:r w:rsidRPr="007D511A">
              <w:rPr>
                <w:rFonts w:ascii="Arial" w:hAnsi="Arial" w:cs="Arial"/>
                <w:sz w:val="24"/>
                <w:szCs w:val="24"/>
                <w:u w:val="single"/>
                <w:lang w:val="en-CA"/>
              </w:rPr>
              <w:t>(18,173)</w:t>
            </w:r>
          </w:p>
        </w:tc>
      </w:tr>
      <w:tr w:rsidR="007D511A" w:rsidRPr="007D511A" w:rsidTr="00D635B9">
        <w:tc>
          <w:tcPr>
            <w:tcW w:w="5868"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Decrease in net debt</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4,060</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beginning of year</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(7,621)</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end of year</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double"/>
                <w:lang w:val="en-CA"/>
              </w:rPr>
              <w:t>$  (3,561)</w:t>
            </w:r>
          </w:p>
        </w:tc>
      </w:tr>
    </w:tbl>
    <w:p w:rsidR="007D511A" w:rsidRDefault="007D511A" w:rsidP="007D511A">
      <w:pPr>
        <w:ind w:left="720"/>
        <w:rPr>
          <w:rFonts w:ascii="Arial" w:hAnsi="Arial" w:cs="Arial"/>
          <w:sz w:val="24"/>
          <w:szCs w:val="24"/>
          <w:lang w:val="en-CA"/>
        </w:rPr>
      </w:pPr>
    </w:p>
    <w:p w:rsidR="00C444BF" w:rsidRDefault="00C444BF" w:rsidP="007D511A">
      <w:pPr>
        <w:ind w:left="720"/>
        <w:rPr>
          <w:rFonts w:ascii="Arial" w:hAnsi="Arial" w:cs="Arial"/>
          <w:sz w:val="24"/>
          <w:szCs w:val="24"/>
          <w:lang w:val="en-CA"/>
        </w:rPr>
      </w:pPr>
    </w:p>
    <w:p w:rsidR="00C444BF" w:rsidRPr="00C444BF" w:rsidRDefault="00C444BF" w:rsidP="007D511A">
      <w:pPr>
        <w:ind w:left="720"/>
        <w:rPr>
          <w:rFonts w:ascii="Arial" w:hAnsi="Arial" w:cs="Arial"/>
          <w:sz w:val="24"/>
          <w:szCs w:val="24"/>
          <w:lang w:val="en-CA"/>
        </w:rPr>
      </w:pPr>
      <w:r w:rsidRPr="001C2E2B">
        <w:rPr>
          <w:rFonts w:ascii="Arial" w:hAnsi="Arial" w:cs="Arial"/>
          <w:sz w:val="24"/>
          <w:szCs w:val="24"/>
          <w:vertAlign w:val="superscript"/>
          <w:lang w:val="en-CA"/>
        </w:rPr>
        <w:t>1</w:t>
      </w:r>
      <w:r>
        <w:rPr>
          <w:rFonts w:ascii="Arial" w:hAnsi="Arial" w:cs="Arial"/>
          <w:sz w:val="24"/>
          <w:szCs w:val="24"/>
          <w:vertAlign w:val="superscript"/>
          <w:lang w:val="en-CA"/>
        </w:rPr>
        <w:t xml:space="preserve"> </w:t>
      </w:r>
      <w:r>
        <w:rPr>
          <w:rFonts w:ascii="Arial" w:hAnsi="Arial" w:cs="Arial"/>
          <w:sz w:val="24"/>
          <w:szCs w:val="24"/>
          <w:lang w:val="en-CA"/>
        </w:rPr>
        <w:t xml:space="preserve">Revenue is calculated as follows:  44,160+15,000+5,325-1,160-500 </w:t>
      </w:r>
    </w:p>
    <w:p w:rsidR="007D511A" w:rsidRPr="007D511A" w:rsidRDefault="007D511A" w:rsidP="007D511A">
      <w:pPr>
        <w:rPr>
          <w:rFonts w:ascii="Arial" w:hAnsi="Arial" w:cs="Arial"/>
          <w:b/>
          <w:sz w:val="24"/>
          <w:szCs w:val="24"/>
          <w:u w:val="single"/>
          <w:lang w:val="en-CA"/>
        </w:rPr>
      </w:pPr>
      <w:r w:rsidRPr="007D511A">
        <w:rPr>
          <w:rFonts w:ascii="Arial" w:hAnsi="Arial" w:cs="Arial"/>
          <w:b/>
          <w:sz w:val="24"/>
          <w:szCs w:val="24"/>
          <w:u w:val="single"/>
          <w:lang w:val="en-CA"/>
        </w:rPr>
        <w:br w:type="page"/>
      </w:r>
    </w:p>
    <w:p w:rsidR="007D511A" w:rsidRPr="007D511A" w:rsidRDefault="007D511A" w:rsidP="007D511A">
      <w:pPr>
        <w:rPr>
          <w:rFonts w:ascii="Arial" w:hAnsi="Arial" w:cs="Arial"/>
          <w:b/>
          <w:sz w:val="24"/>
          <w:szCs w:val="24"/>
          <w:lang w:val="en-CA"/>
        </w:rPr>
      </w:pPr>
    </w:p>
    <w:p w:rsidR="009F680F" w:rsidRDefault="00665F2F" w:rsidP="00525CBB">
      <w:pPr>
        <w:spacing w:after="0"/>
        <w:rPr>
          <w:rFonts w:ascii="Arial" w:hAnsi="Arial" w:cs="Arial"/>
          <w:sz w:val="28"/>
          <w:szCs w:val="28"/>
          <w:lang w:val="en-CA"/>
        </w:rPr>
      </w:pPr>
      <w:r>
        <w:rPr>
          <w:rFonts w:ascii="Arial" w:hAnsi="Arial" w:cs="Arial"/>
          <w:sz w:val="28"/>
          <w:szCs w:val="28"/>
          <w:lang w:val="en-CA"/>
        </w:rPr>
        <w:t>PROBLEM</w:t>
      </w:r>
      <w:r w:rsidR="009F680F">
        <w:rPr>
          <w:rFonts w:ascii="Arial" w:hAnsi="Arial" w:cs="Arial"/>
          <w:sz w:val="28"/>
          <w:szCs w:val="28"/>
          <w:lang w:val="en-CA"/>
        </w:rPr>
        <w:t xml:space="preserve"> 10-4</w:t>
      </w:r>
    </w:p>
    <w:p w:rsidR="009F680F" w:rsidRDefault="009F680F" w:rsidP="009F680F">
      <w:pPr>
        <w:spacing w:after="0"/>
        <w:ind w:left="720"/>
        <w:rPr>
          <w:rFonts w:ascii="Arial" w:hAnsi="Arial" w:cs="Arial"/>
          <w:sz w:val="28"/>
          <w:szCs w:val="28"/>
          <w:lang w:val="en-CA"/>
        </w:rPr>
      </w:pPr>
    </w:p>
    <w:p w:rsidR="007D511A" w:rsidRPr="007D511A" w:rsidRDefault="007D511A" w:rsidP="007D511A">
      <w:pPr>
        <w:spacing w:after="0"/>
        <w:ind w:left="720"/>
        <w:jc w:val="center"/>
        <w:rPr>
          <w:rFonts w:ascii="Arial" w:hAnsi="Arial" w:cs="Arial"/>
          <w:sz w:val="24"/>
          <w:szCs w:val="24"/>
          <w:lang w:val="en-CA"/>
        </w:rPr>
      </w:pPr>
      <w:r w:rsidRPr="007D511A">
        <w:rPr>
          <w:rFonts w:ascii="Arial" w:hAnsi="Arial" w:cs="Arial"/>
          <w:sz w:val="24"/>
          <w:szCs w:val="24"/>
          <w:lang w:val="en-CA"/>
        </w:rPr>
        <w:t>CAPITAL REGION</w:t>
      </w:r>
    </w:p>
    <w:tbl>
      <w:tblPr>
        <w:tblStyle w:val="TableGrid"/>
        <w:tblW w:w="0" w:type="auto"/>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44"/>
        <w:gridCol w:w="709"/>
        <w:gridCol w:w="1843"/>
      </w:tblGrid>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Financial Position</w:t>
            </w:r>
          </w:p>
        </w:tc>
      </w:tr>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as at December 31, 2013</w:t>
            </w:r>
          </w:p>
        </w:tc>
      </w:tr>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(in 000’s)</w:t>
            </w:r>
          </w:p>
        </w:tc>
      </w:tr>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p>
        </w:tc>
      </w:tr>
      <w:tr w:rsidR="007D511A" w:rsidRPr="007D511A" w:rsidTr="00D635B9">
        <w:tc>
          <w:tcPr>
            <w:tcW w:w="6444"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Financial Assets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Cash and cash equivalents</w:t>
            </w:r>
            <w:r w:rsidRPr="007D511A">
              <w:rPr>
                <w:rFonts w:ascii="Arial" w:hAnsi="Arial" w:cs="Arial"/>
                <w:sz w:val="24"/>
                <w:szCs w:val="24"/>
                <w:lang w:val="en-CA"/>
              </w:rPr>
              <w:tab/>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$865</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Portfolio investments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4,600</w:t>
            </w:r>
          </w:p>
        </w:tc>
      </w:tr>
      <w:tr w:rsidR="007D511A" w:rsidRPr="007D511A" w:rsidTr="00D635B9">
        <w:tc>
          <w:tcPr>
            <w:tcW w:w="6444"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 xml:space="preserve">     Taxes receivable</w:t>
            </w:r>
          </w:p>
        </w:tc>
        <w:tc>
          <w:tcPr>
            <w:tcW w:w="709" w:type="dxa"/>
          </w:tcPr>
          <w:p w:rsidR="007D511A" w:rsidRPr="007D511A" w:rsidRDefault="007D511A" w:rsidP="00D635B9">
            <w:pPr>
              <w:rPr>
                <w:rFonts w:ascii="Arial" w:hAnsi="Arial" w:cs="Arial"/>
                <w:sz w:val="24"/>
                <w:szCs w:val="24"/>
                <w:u w:val="single"/>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12,796</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Investment in government business</w:t>
            </w:r>
          </w:p>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w:t>
            </w:r>
            <w:r w:rsidR="00C444BF" w:rsidRPr="007D511A">
              <w:rPr>
                <w:rFonts w:ascii="Arial" w:hAnsi="Arial" w:cs="Arial"/>
                <w:sz w:val="24"/>
                <w:szCs w:val="24"/>
                <w:lang w:val="en-CA"/>
              </w:rPr>
              <w:t>E</w:t>
            </w:r>
            <w:r w:rsidRPr="007D511A">
              <w:rPr>
                <w:rFonts w:ascii="Arial" w:hAnsi="Arial" w:cs="Arial"/>
                <w:sz w:val="24"/>
                <w:szCs w:val="24"/>
                <w:lang w:val="en-CA"/>
              </w:rPr>
              <w:t>nterprise</w:t>
            </w:r>
            <w:r w:rsidR="00C444BF">
              <w:rPr>
                <w:rFonts w:ascii="Arial" w:hAnsi="Arial" w:cs="Arial"/>
                <w:sz w:val="24"/>
                <w:szCs w:val="24"/>
                <w:lang w:val="en-CA"/>
              </w:rPr>
              <w:t xml:space="preserve"> </w:t>
            </w:r>
            <w:r w:rsidR="00C444BF" w:rsidRPr="001C2E2B">
              <w:rPr>
                <w:rFonts w:ascii="Arial" w:hAnsi="Arial" w:cs="Arial"/>
                <w:sz w:val="24"/>
                <w:szCs w:val="24"/>
                <w:vertAlign w:val="superscript"/>
                <w:lang w:val="en-CA"/>
              </w:rPr>
              <w:t>1</w:t>
            </w:r>
            <w:r w:rsidR="00C444BF">
              <w:rPr>
                <w:rFonts w:ascii="Arial" w:hAnsi="Arial" w:cs="Arial"/>
                <w:sz w:val="24"/>
                <w:szCs w:val="24"/>
                <w:lang w:val="en-CA"/>
              </w:rPr>
              <w:t xml:space="preserve"> </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single"/>
                <w:lang w:val="en-CA"/>
              </w:rPr>
              <w:t xml:space="preserve">      1,363</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w:t>
            </w:r>
            <w:r w:rsidR="00C444BF">
              <w:rPr>
                <w:rFonts w:ascii="Arial" w:hAnsi="Arial" w:cs="Arial"/>
                <w:sz w:val="24"/>
                <w:szCs w:val="24"/>
                <w:u w:val="single"/>
                <w:lang w:val="en-CA"/>
              </w:rPr>
              <w:t>$</w:t>
            </w:r>
            <w:r w:rsidRPr="007D511A">
              <w:rPr>
                <w:rFonts w:ascii="Arial" w:hAnsi="Arial" w:cs="Arial"/>
                <w:sz w:val="24"/>
                <w:szCs w:val="24"/>
                <w:u w:val="single"/>
                <w:lang w:val="en-CA"/>
              </w:rPr>
              <w:t>19,624</w:t>
            </w:r>
          </w:p>
        </w:tc>
      </w:tr>
      <w:tr w:rsidR="007D511A" w:rsidRPr="007D511A" w:rsidTr="00D635B9">
        <w:tc>
          <w:tcPr>
            <w:tcW w:w="6444"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u w:val="single"/>
                <w:lang w:val="en-CA"/>
              </w:rPr>
              <w:t>Liabilities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Accounts payable</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C444BF" w:rsidP="00D635B9">
            <w:pPr>
              <w:ind w:left="19"/>
              <w:jc w:val="right"/>
              <w:rPr>
                <w:rFonts w:ascii="Arial" w:hAnsi="Arial" w:cs="Arial"/>
                <w:sz w:val="24"/>
                <w:szCs w:val="24"/>
                <w:lang w:val="en-CA"/>
              </w:rPr>
            </w:pPr>
            <w:r>
              <w:rPr>
                <w:rFonts w:ascii="Arial" w:hAnsi="Arial" w:cs="Arial"/>
                <w:sz w:val="24"/>
                <w:szCs w:val="24"/>
                <w:lang w:val="en-CA"/>
              </w:rPr>
              <w:t>$</w:t>
            </w:r>
            <w:r w:rsidR="007D511A" w:rsidRPr="007D511A">
              <w:rPr>
                <w:rFonts w:ascii="Arial" w:hAnsi="Arial" w:cs="Arial"/>
                <w:sz w:val="24"/>
                <w:szCs w:val="24"/>
                <w:lang w:val="en-CA"/>
              </w:rPr>
              <w:t>6,216</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Deferred revenue</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8,235</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Employee future benefit obligations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16,308</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Debenture payable</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62,500</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93,259</w:t>
            </w:r>
          </w:p>
        </w:tc>
      </w:tr>
      <w:tr w:rsidR="007D511A" w:rsidRPr="007D511A" w:rsidTr="00D635B9">
        <w:tc>
          <w:tcPr>
            <w:tcW w:w="6444"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Net debt</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single"/>
                <w:lang w:val="en-CA"/>
              </w:rPr>
              <w:t xml:space="preserve">  </w:t>
            </w:r>
            <w:r w:rsidR="00C444BF">
              <w:rPr>
                <w:rFonts w:ascii="Arial" w:hAnsi="Arial" w:cs="Arial"/>
                <w:sz w:val="24"/>
                <w:szCs w:val="24"/>
                <w:u w:val="single"/>
                <w:lang w:val="en-CA"/>
              </w:rPr>
              <w:t>$</w:t>
            </w:r>
            <w:r w:rsidRPr="007D511A">
              <w:rPr>
                <w:rFonts w:ascii="Arial" w:hAnsi="Arial" w:cs="Arial"/>
                <w:sz w:val="24"/>
                <w:szCs w:val="24"/>
                <w:u w:val="single"/>
                <w:lang w:val="en-CA"/>
              </w:rPr>
              <w:t>(73,635)</w:t>
            </w:r>
          </w:p>
        </w:tc>
      </w:tr>
      <w:tr w:rsidR="007D511A" w:rsidRPr="007D511A" w:rsidTr="00D635B9">
        <w:tc>
          <w:tcPr>
            <w:tcW w:w="6444"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Non-financial assets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Inventory of supplies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C444BF" w:rsidP="00D635B9">
            <w:pPr>
              <w:ind w:left="19"/>
              <w:jc w:val="right"/>
              <w:rPr>
                <w:rFonts w:ascii="Arial" w:hAnsi="Arial" w:cs="Arial"/>
                <w:sz w:val="24"/>
                <w:szCs w:val="24"/>
                <w:lang w:val="en-CA"/>
              </w:rPr>
            </w:pPr>
            <w:r>
              <w:rPr>
                <w:rFonts w:ascii="Arial" w:hAnsi="Arial" w:cs="Arial"/>
                <w:sz w:val="24"/>
                <w:szCs w:val="24"/>
                <w:lang w:val="en-CA"/>
              </w:rPr>
              <w:t>$</w:t>
            </w:r>
            <w:r w:rsidR="007D511A" w:rsidRPr="007D511A">
              <w:rPr>
                <w:rFonts w:ascii="Arial" w:hAnsi="Arial" w:cs="Arial"/>
                <w:sz w:val="24"/>
                <w:szCs w:val="24"/>
                <w:lang w:val="en-CA"/>
              </w:rPr>
              <w:t>893</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Tangible capital assets, net</w:t>
            </w:r>
          </w:p>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of accumulated amortization</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single"/>
                <w:lang w:val="en-CA"/>
              </w:rPr>
              <w:t xml:space="preserve">  180,935</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181,828</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surplus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double"/>
                <w:lang w:val="en-CA"/>
              </w:rPr>
              <w:t>$108,193</w:t>
            </w:r>
          </w:p>
        </w:tc>
      </w:tr>
    </w:tbl>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r w:rsidRPr="007D511A">
        <w:rPr>
          <w:rFonts w:ascii="Arial" w:hAnsi="Arial" w:cs="Arial"/>
          <w:sz w:val="24"/>
          <w:szCs w:val="24"/>
          <w:lang w:val="en-CA"/>
        </w:rPr>
        <w:t xml:space="preserve">[Note: the </w:t>
      </w:r>
      <w:r w:rsidRPr="007D511A">
        <w:rPr>
          <w:rFonts w:ascii="Arial" w:hAnsi="Arial" w:cs="Arial"/>
          <w:i/>
          <w:sz w:val="24"/>
          <w:szCs w:val="24"/>
          <w:lang w:val="en-CA"/>
        </w:rPr>
        <w:t>CICA PSA Handbook</w:t>
      </w:r>
      <w:r w:rsidRPr="007D511A">
        <w:rPr>
          <w:rFonts w:ascii="Arial" w:hAnsi="Arial" w:cs="Arial"/>
          <w:sz w:val="24"/>
          <w:szCs w:val="24"/>
          <w:lang w:val="en-CA"/>
        </w:rPr>
        <w:t xml:space="preserve"> does not require any specific ordering of items on the Statement of Financial Position so long as both the measures of net debt and accumulated surplus/deficit are evident.  The approach shown is in common use and consistent with the illustrative financial statements in the chapter.]</w:t>
      </w:r>
    </w:p>
    <w:p w:rsidR="00C444BF" w:rsidRDefault="00C444BF" w:rsidP="00F34FE0">
      <w:pPr>
        <w:rPr>
          <w:rFonts w:ascii="Arial" w:hAnsi="Arial" w:cs="Arial"/>
          <w:sz w:val="24"/>
          <w:szCs w:val="24"/>
          <w:lang w:val="en-CA"/>
        </w:rPr>
      </w:pPr>
    </w:p>
    <w:p w:rsidR="007D511A" w:rsidRPr="007D511A" w:rsidRDefault="00C444BF" w:rsidP="00F34FE0">
      <w:pPr>
        <w:rPr>
          <w:rFonts w:ascii="Arial" w:hAnsi="Arial" w:cs="Arial"/>
          <w:sz w:val="24"/>
          <w:szCs w:val="24"/>
          <w:lang w:val="en-CA"/>
        </w:rPr>
      </w:pPr>
      <w:r>
        <w:rPr>
          <w:rFonts w:ascii="Arial" w:hAnsi="Arial" w:cs="Arial"/>
          <w:sz w:val="24"/>
          <w:szCs w:val="24"/>
          <w:lang w:val="en-CA"/>
        </w:rPr>
        <w:tab/>
      </w:r>
      <w:r w:rsidRPr="001C2E2B">
        <w:rPr>
          <w:rFonts w:ascii="Arial" w:hAnsi="Arial" w:cs="Arial"/>
          <w:sz w:val="24"/>
          <w:szCs w:val="24"/>
          <w:vertAlign w:val="superscript"/>
          <w:lang w:val="en-CA"/>
        </w:rPr>
        <w:t>1</w:t>
      </w:r>
      <w:r>
        <w:rPr>
          <w:rFonts w:ascii="Arial" w:hAnsi="Arial" w:cs="Arial"/>
          <w:sz w:val="24"/>
          <w:szCs w:val="24"/>
          <w:lang w:val="en-CA"/>
        </w:rPr>
        <w:t xml:space="preserve"> Calculated using the profit from Crisp - closing investment balance per financial statements $63 + 1,300 = $1,363</w:t>
      </w:r>
      <w:r w:rsidR="007D511A" w:rsidRPr="007D511A">
        <w:rPr>
          <w:rFonts w:ascii="Arial" w:hAnsi="Arial" w:cs="Arial"/>
          <w:sz w:val="24"/>
          <w:szCs w:val="24"/>
          <w:lang w:val="en-CA"/>
        </w:rPr>
        <w:br w:type="page"/>
      </w:r>
    </w:p>
    <w:tbl>
      <w:tblPr>
        <w:tblStyle w:val="TableGrid"/>
        <w:tblW w:w="8435" w:type="dxa"/>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1"/>
        <w:gridCol w:w="425"/>
        <w:gridCol w:w="1849"/>
      </w:tblGrid>
      <w:tr w:rsidR="007D511A" w:rsidRPr="007D511A" w:rsidTr="00D635B9">
        <w:tc>
          <w:tcPr>
            <w:tcW w:w="8435" w:type="dxa"/>
            <w:gridSpan w:val="3"/>
          </w:tcPr>
          <w:p w:rsidR="00F34FE0" w:rsidRPr="00284AF7" w:rsidRDefault="00665F2F" w:rsidP="00F34FE0">
            <w:pPr>
              <w:spacing w:before="240"/>
              <w:rPr>
                <w:rFonts w:ascii="Arial" w:hAnsi="Arial" w:cs="Arial"/>
                <w:sz w:val="28"/>
                <w:szCs w:val="28"/>
                <w:lang w:val="en-CA"/>
              </w:rPr>
            </w:pPr>
            <w:r>
              <w:rPr>
                <w:rFonts w:ascii="Arial" w:hAnsi="Arial" w:cs="Arial"/>
                <w:sz w:val="28"/>
                <w:szCs w:val="28"/>
                <w:lang w:val="en-CA"/>
              </w:rPr>
              <w:lastRenderedPageBreak/>
              <w:t>PROBLEM</w:t>
            </w:r>
            <w:r w:rsidR="00F34FE0">
              <w:rPr>
                <w:rFonts w:ascii="Arial" w:hAnsi="Arial" w:cs="Arial"/>
                <w:sz w:val="28"/>
                <w:szCs w:val="28"/>
                <w:lang w:val="en-CA"/>
              </w:rPr>
              <w:t xml:space="preserve"> 10-4 (Continued)</w:t>
            </w:r>
          </w:p>
          <w:p w:rsidR="00F34FE0" w:rsidRDefault="00F34FE0" w:rsidP="00D635B9">
            <w:pPr>
              <w:ind w:left="720"/>
              <w:jc w:val="center"/>
              <w:rPr>
                <w:rFonts w:ascii="Arial" w:hAnsi="Arial" w:cs="Arial"/>
                <w:sz w:val="24"/>
                <w:szCs w:val="24"/>
                <w:lang w:val="en-CA"/>
              </w:rPr>
            </w:pP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CAPITAL REGION</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Operations</w:t>
            </w:r>
          </w:p>
        </w:tc>
      </w:tr>
      <w:tr w:rsidR="007D511A" w:rsidRPr="007D511A" w:rsidTr="00D635B9">
        <w:tc>
          <w:tcPr>
            <w:tcW w:w="8435"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For the year ended December 31, 2013</w:t>
            </w:r>
          </w:p>
        </w:tc>
      </w:tr>
      <w:tr w:rsidR="007D511A" w:rsidRPr="007D511A" w:rsidTr="00D635B9">
        <w:tc>
          <w:tcPr>
            <w:tcW w:w="8435"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(in ‘000s)</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Tax revenue</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u w:val="single"/>
                <w:lang w:val="en-CA"/>
              </w:rPr>
            </w:pPr>
            <w:r w:rsidRPr="007D511A">
              <w:rPr>
                <w:rFonts w:ascii="Arial" w:hAnsi="Arial" w:cs="Arial"/>
                <w:sz w:val="24"/>
                <w:szCs w:val="24"/>
                <w:lang w:val="en-CA"/>
              </w:rPr>
              <w:t>$52,800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Service and fees levied</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37,986</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Grants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14,544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Income from government business enterprise</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1,300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revenues</w:t>
            </w:r>
          </w:p>
        </w:tc>
        <w:tc>
          <w:tcPr>
            <w:tcW w:w="425" w:type="dxa"/>
          </w:tcPr>
          <w:p w:rsidR="007D511A" w:rsidRPr="007D511A" w:rsidRDefault="007D511A" w:rsidP="00D635B9">
            <w:pPr>
              <w:ind w:left="34"/>
              <w:rPr>
                <w:rFonts w:ascii="Arial" w:hAnsi="Arial" w:cs="Arial"/>
                <w:sz w:val="24"/>
                <w:szCs w:val="24"/>
                <w:u w:val="single"/>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w:t>
            </w:r>
            <w:r w:rsidR="000A2713">
              <w:rPr>
                <w:rFonts w:ascii="Arial" w:hAnsi="Arial" w:cs="Arial"/>
                <w:sz w:val="24"/>
                <w:szCs w:val="24"/>
                <w:u w:val="single"/>
                <w:lang w:val="en-CA"/>
              </w:rPr>
              <w:t>$</w:t>
            </w:r>
            <w:r w:rsidRPr="007D511A">
              <w:rPr>
                <w:rFonts w:ascii="Arial" w:hAnsi="Arial" w:cs="Arial"/>
                <w:sz w:val="24"/>
                <w:szCs w:val="24"/>
                <w:u w:val="single"/>
                <w:lang w:val="en-CA"/>
              </w:rPr>
              <w:t>106,630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Protection and community services</w:t>
            </w:r>
          </w:p>
        </w:tc>
        <w:tc>
          <w:tcPr>
            <w:tcW w:w="425" w:type="dxa"/>
          </w:tcPr>
          <w:p w:rsidR="007D511A" w:rsidRPr="007D511A" w:rsidRDefault="007D511A" w:rsidP="00D635B9">
            <w:pPr>
              <w:ind w:left="34"/>
              <w:rPr>
                <w:rFonts w:ascii="Arial" w:hAnsi="Arial" w:cs="Arial"/>
                <w:sz w:val="24"/>
                <w:szCs w:val="24"/>
                <w:u w:val="single"/>
                <w:lang w:val="en-CA"/>
              </w:rPr>
            </w:pPr>
          </w:p>
        </w:tc>
        <w:tc>
          <w:tcPr>
            <w:tcW w:w="1849" w:type="dxa"/>
          </w:tcPr>
          <w:p w:rsidR="007D511A" w:rsidRPr="007D511A" w:rsidRDefault="007D511A" w:rsidP="00D635B9">
            <w:pPr>
              <w:jc w:val="right"/>
              <w:rPr>
                <w:rFonts w:ascii="Arial" w:hAnsi="Arial" w:cs="Arial"/>
                <w:sz w:val="24"/>
                <w:szCs w:val="24"/>
                <w:u w:val="single"/>
                <w:lang w:val="en-CA"/>
              </w:rPr>
            </w:pPr>
            <w:r w:rsidRPr="007D511A">
              <w:rPr>
                <w:rFonts w:ascii="Arial" w:hAnsi="Arial" w:cs="Arial"/>
                <w:sz w:val="24"/>
                <w:szCs w:val="24"/>
                <w:lang w:val="en-CA"/>
              </w:rPr>
              <w:t>46,680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Public works</w:t>
            </w:r>
          </w:p>
        </w:tc>
        <w:tc>
          <w:tcPr>
            <w:tcW w:w="425" w:type="dxa"/>
          </w:tcPr>
          <w:p w:rsidR="007D511A" w:rsidRPr="007D511A" w:rsidRDefault="007D511A" w:rsidP="00D635B9">
            <w:pPr>
              <w:ind w:left="34"/>
              <w:rPr>
                <w:rFonts w:ascii="Arial" w:hAnsi="Arial" w:cs="Arial"/>
                <w:sz w:val="24"/>
                <w:szCs w:val="24"/>
                <w:u w:val="single"/>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31,928</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Property and development services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8,654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Finance and administrative services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6,336</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General government</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4,211</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12,000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Interest</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2,785</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expenses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u w:val="single"/>
                <w:lang w:val="en-CA"/>
              </w:rPr>
            </w:pPr>
            <w:r w:rsidRPr="007D511A">
              <w:rPr>
                <w:rFonts w:ascii="Arial" w:hAnsi="Arial" w:cs="Arial"/>
                <w:sz w:val="24"/>
                <w:szCs w:val="24"/>
                <w:u w:val="single"/>
                <w:lang w:val="en-CA"/>
              </w:rPr>
              <w:t xml:space="preserve">   112,594</w:t>
            </w:r>
          </w:p>
        </w:tc>
      </w:tr>
      <w:tr w:rsidR="007D511A" w:rsidRPr="007D511A" w:rsidTr="00D635B9">
        <w:tc>
          <w:tcPr>
            <w:tcW w:w="6161"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Deficit for the year</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0A2713" w:rsidP="00D635B9">
            <w:pPr>
              <w:jc w:val="right"/>
              <w:rPr>
                <w:rFonts w:ascii="Arial" w:hAnsi="Arial" w:cs="Arial"/>
                <w:sz w:val="24"/>
                <w:szCs w:val="24"/>
                <w:u w:val="single"/>
                <w:lang w:val="en-CA"/>
              </w:rPr>
            </w:pPr>
            <w:r>
              <w:rPr>
                <w:rFonts w:ascii="Arial" w:hAnsi="Arial" w:cs="Arial"/>
                <w:sz w:val="24"/>
                <w:szCs w:val="24"/>
                <w:lang w:val="en-CA"/>
              </w:rPr>
              <w:t>$</w:t>
            </w:r>
            <w:r w:rsidR="007D511A" w:rsidRPr="007D511A">
              <w:rPr>
                <w:rFonts w:ascii="Arial" w:hAnsi="Arial" w:cs="Arial"/>
                <w:sz w:val="24"/>
                <w:szCs w:val="24"/>
                <w:lang w:val="en-CA"/>
              </w:rPr>
              <w:t>(5,964)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surplus, beginning of year</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114,157</w:t>
            </w:r>
          </w:p>
        </w:tc>
      </w:tr>
      <w:tr w:rsidR="007D511A" w:rsidRPr="007D511A" w:rsidTr="00D635B9">
        <w:tc>
          <w:tcPr>
            <w:tcW w:w="6161" w:type="dxa"/>
          </w:tcPr>
          <w:p w:rsidR="007D511A" w:rsidRPr="007D511A" w:rsidRDefault="007D511A" w:rsidP="00D635B9">
            <w:pPr>
              <w:ind w:left="720"/>
              <w:rPr>
                <w:rFonts w:ascii="Arial" w:hAnsi="Arial" w:cs="Arial"/>
                <w:sz w:val="24"/>
                <w:szCs w:val="24"/>
                <w:u w:val="double"/>
                <w:lang w:val="en-CA"/>
              </w:rPr>
            </w:pPr>
            <w:r w:rsidRPr="007D511A">
              <w:rPr>
                <w:rFonts w:ascii="Arial" w:hAnsi="Arial" w:cs="Arial"/>
                <w:sz w:val="24"/>
                <w:szCs w:val="24"/>
                <w:lang w:val="en-CA"/>
              </w:rPr>
              <w:t>Accumulated surplus, end of year</w:t>
            </w:r>
          </w:p>
        </w:tc>
        <w:tc>
          <w:tcPr>
            <w:tcW w:w="425" w:type="dxa"/>
          </w:tcPr>
          <w:p w:rsidR="007D511A" w:rsidRPr="007D511A" w:rsidRDefault="007D511A" w:rsidP="00D635B9">
            <w:pPr>
              <w:ind w:left="34"/>
              <w:rPr>
                <w:rFonts w:ascii="Arial" w:hAnsi="Arial" w:cs="Arial"/>
                <w:sz w:val="24"/>
                <w:szCs w:val="24"/>
                <w:u w:val="double"/>
                <w:lang w:val="en-CA"/>
              </w:rPr>
            </w:pPr>
          </w:p>
        </w:tc>
        <w:tc>
          <w:tcPr>
            <w:tcW w:w="1849" w:type="dxa"/>
          </w:tcPr>
          <w:p w:rsidR="007D511A" w:rsidRPr="007D511A" w:rsidRDefault="007D511A" w:rsidP="00D635B9">
            <w:pPr>
              <w:jc w:val="right"/>
              <w:rPr>
                <w:rFonts w:ascii="Arial" w:hAnsi="Arial" w:cs="Arial"/>
                <w:sz w:val="24"/>
                <w:szCs w:val="24"/>
                <w:u w:val="double"/>
                <w:lang w:val="en-CA"/>
              </w:rPr>
            </w:pPr>
            <w:r w:rsidRPr="007D511A">
              <w:rPr>
                <w:rFonts w:ascii="Arial" w:hAnsi="Arial" w:cs="Arial"/>
                <w:sz w:val="24"/>
                <w:szCs w:val="24"/>
                <w:u w:val="double"/>
                <w:lang w:val="en-CA"/>
              </w:rPr>
              <w:t>$ 108,193</w:t>
            </w:r>
          </w:p>
        </w:tc>
      </w:tr>
    </w:tbl>
    <w:p w:rsidR="007D511A" w:rsidRPr="007D511A" w:rsidRDefault="007D511A" w:rsidP="007D511A">
      <w:pPr>
        <w:spacing w:after="0"/>
        <w:ind w:left="720"/>
        <w:rPr>
          <w:rFonts w:ascii="Arial" w:hAnsi="Arial" w:cs="Arial"/>
          <w:sz w:val="24"/>
          <w:szCs w:val="24"/>
          <w:u w:val="double"/>
          <w:lang w:val="en-CA"/>
        </w:rPr>
      </w:pPr>
    </w:p>
    <w:p w:rsidR="007D511A" w:rsidRPr="007D511A" w:rsidRDefault="007D511A" w:rsidP="007D511A">
      <w:pPr>
        <w:spacing w:after="0"/>
        <w:ind w:left="720"/>
        <w:rPr>
          <w:rFonts w:ascii="Arial" w:hAnsi="Arial" w:cs="Arial"/>
          <w:sz w:val="24"/>
          <w:szCs w:val="24"/>
          <w:u w:val="double"/>
          <w:lang w:val="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62"/>
        <w:gridCol w:w="567"/>
        <w:gridCol w:w="1849"/>
      </w:tblGrid>
      <w:tr w:rsidR="007D511A" w:rsidRPr="007D511A" w:rsidTr="00D635B9">
        <w:tc>
          <w:tcPr>
            <w:tcW w:w="847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CAPITAL REGION</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Changes in Net Debt</w:t>
            </w:r>
          </w:p>
        </w:tc>
      </w:tr>
      <w:tr w:rsidR="007D511A" w:rsidRPr="007D511A" w:rsidTr="00D635B9">
        <w:tc>
          <w:tcPr>
            <w:tcW w:w="847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For the year ended December 31, 2013</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Deficit for the year</w:t>
            </w:r>
          </w:p>
        </w:tc>
        <w:tc>
          <w:tcPr>
            <w:tcW w:w="567" w:type="dxa"/>
          </w:tcPr>
          <w:p w:rsidR="007D511A" w:rsidRPr="007D511A" w:rsidRDefault="007D511A" w:rsidP="00D635B9">
            <w:pPr>
              <w:ind w:left="34"/>
              <w:jc w:val="center"/>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(5,964)</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 of capital assets</w:t>
            </w:r>
          </w:p>
        </w:tc>
        <w:tc>
          <w:tcPr>
            <w:tcW w:w="567" w:type="dxa"/>
          </w:tcPr>
          <w:p w:rsidR="007D511A" w:rsidRPr="007D511A" w:rsidRDefault="007D511A" w:rsidP="00D635B9">
            <w:pPr>
              <w:ind w:left="34"/>
              <w:jc w:val="center"/>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12,000</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Additions to capital assets</w:t>
            </w:r>
          </w:p>
        </w:tc>
        <w:tc>
          <w:tcPr>
            <w:tcW w:w="567" w:type="dxa"/>
          </w:tcPr>
          <w:p w:rsidR="007D511A" w:rsidRPr="007D511A" w:rsidRDefault="007D511A" w:rsidP="00D635B9">
            <w:pPr>
              <w:ind w:left="34"/>
              <w:jc w:val="center"/>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(22,250)</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Increase in inventory of supplies</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(50)</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(10,300)</w:t>
            </w:r>
          </w:p>
        </w:tc>
      </w:tr>
      <w:tr w:rsidR="007D511A" w:rsidRPr="007D511A" w:rsidTr="00D635B9">
        <w:tc>
          <w:tcPr>
            <w:tcW w:w="6062"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Increase in net debt</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(16,264)</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beginning of year</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w:t>
            </w:r>
            <w:r w:rsidR="000A2713">
              <w:rPr>
                <w:rFonts w:ascii="Arial" w:hAnsi="Arial" w:cs="Arial"/>
                <w:sz w:val="24"/>
                <w:szCs w:val="24"/>
                <w:u w:val="single"/>
                <w:lang w:val="en-CA"/>
              </w:rPr>
              <w:t>$</w:t>
            </w:r>
            <w:r w:rsidRPr="007D511A">
              <w:rPr>
                <w:rFonts w:ascii="Arial" w:hAnsi="Arial" w:cs="Arial"/>
                <w:sz w:val="24"/>
                <w:szCs w:val="24"/>
                <w:u w:val="single"/>
                <w:lang w:val="en-CA"/>
              </w:rPr>
              <w:t xml:space="preserve"> (57,371)</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end of year</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double"/>
                <w:lang w:val="en-CA"/>
              </w:rPr>
              <w:t>$ (73,635)</w:t>
            </w:r>
          </w:p>
        </w:tc>
      </w:tr>
    </w:tbl>
    <w:p w:rsidR="007D511A" w:rsidRPr="007D511A" w:rsidRDefault="007D511A" w:rsidP="007D511A">
      <w:pPr>
        <w:spacing w:after="0"/>
        <w:rPr>
          <w:rFonts w:ascii="Arial" w:hAnsi="Arial" w:cs="Arial"/>
          <w:sz w:val="24"/>
          <w:szCs w:val="24"/>
          <w:lang w:val="en-CA"/>
        </w:rPr>
      </w:pPr>
    </w:p>
    <w:p w:rsidR="007D511A" w:rsidRPr="007D511A" w:rsidRDefault="007D511A" w:rsidP="007D511A">
      <w:pPr>
        <w:spacing w:after="0"/>
        <w:rPr>
          <w:rFonts w:ascii="Arial" w:hAnsi="Arial" w:cs="Arial"/>
          <w:sz w:val="24"/>
          <w:szCs w:val="24"/>
          <w:lang w:val="en-CA"/>
        </w:rPr>
      </w:pPr>
      <w:r w:rsidRPr="007D511A">
        <w:rPr>
          <w:rFonts w:ascii="Arial" w:hAnsi="Arial" w:cs="Arial"/>
          <w:sz w:val="24"/>
          <w:szCs w:val="24"/>
          <w:lang w:val="en-CA"/>
        </w:rPr>
        <w:br w:type="page"/>
      </w:r>
    </w:p>
    <w:p w:rsidR="007D511A" w:rsidRPr="007D511A" w:rsidRDefault="007D511A" w:rsidP="007D511A">
      <w:pPr>
        <w:spacing w:after="0"/>
        <w:rPr>
          <w:rFonts w:ascii="Arial" w:hAnsi="Arial" w:cs="Arial"/>
          <w:sz w:val="24"/>
          <w:szCs w:val="24"/>
          <w:lang w:val="en-CA"/>
        </w:rPr>
      </w:pPr>
    </w:p>
    <w:p w:rsidR="00996986" w:rsidRDefault="00665F2F" w:rsidP="00996986">
      <w:pPr>
        <w:pStyle w:val="ListParagraph"/>
        <w:ind w:left="0"/>
        <w:jc w:val="center"/>
        <w:rPr>
          <w:rFonts w:ascii="Arial" w:hAnsi="Arial" w:cs="Arial"/>
          <w:b/>
          <w:color w:val="00B050"/>
          <w:sz w:val="36"/>
          <w:szCs w:val="36"/>
          <w:u w:val="single"/>
          <w:lang w:val="en-CA"/>
        </w:rPr>
      </w:pPr>
      <w:r>
        <w:rPr>
          <w:rFonts w:ascii="Arial" w:hAnsi="Arial" w:cs="Arial"/>
          <w:b/>
          <w:color w:val="00B050"/>
          <w:sz w:val="36"/>
          <w:szCs w:val="36"/>
          <w:u w:val="single"/>
          <w:lang w:val="en-CA"/>
        </w:rPr>
        <w:t>WRITING ASSIGN</w:t>
      </w:r>
      <w:r w:rsidR="00996986">
        <w:rPr>
          <w:rFonts w:ascii="Arial" w:hAnsi="Arial" w:cs="Arial"/>
          <w:b/>
          <w:color w:val="00B050"/>
          <w:sz w:val="36"/>
          <w:szCs w:val="36"/>
          <w:u w:val="single"/>
          <w:lang w:val="en-CA"/>
        </w:rPr>
        <w:t>MENTS</w:t>
      </w:r>
    </w:p>
    <w:p w:rsidR="00996986" w:rsidRDefault="00996986" w:rsidP="00996986">
      <w:pPr>
        <w:pStyle w:val="ListParagraph"/>
        <w:ind w:left="360" w:hanging="360"/>
        <w:rPr>
          <w:rFonts w:ascii="Arial" w:hAnsi="Arial" w:cs="Arial"/>
          <w:sz w:val="28"/>
          <w:szCs w:val="28"/>
          <w:lang w:val="en-CA"/>
        </w:rPr>
      </w:pPr>
    </w:p>
    <w:p w:rsidR="00996986" w:rsidRDefault="00996986" w:rsidP="00996986">
      <w:pPr>
        <w:pStyle w:val="ListParagraph"/>
        <w:ind w:left="360" w:hanging="360"/>
        <w:rPr>
          <w:rFonts w:ascii="Arial" w:hAnsi="Arial" w:cs="Arial"/>
          <w:sz w:val="28"/>
          <w:szCs w:val="28"/>
          <w:lang w:val="en-CA"/>
        </w:rPr>
      </w:pPr>
    </w:p>
    <w:p w:rsidR="007D511A" w:rsidRPr="007D511A" w:rsidRDefault="00996986" w:rsidP="007D511A">
      <w:pPr>
        <w:ind w:left="720" w:hanging="720"/>
        <w:rPr>
          <w:rFonts w:ascii="Arial" w:hAnsi="Arial" w:cs="Arial"/>
          <w:b/>
          <w:sz w:val="24"/>
          <w:szCs w:val="24"/>
          <w:u w:val="single"/>
          <w:lang w:val="en-CA"/>
        </w:rPr>
      </w:pPr>
      <w:r>
        <w:rPr>
          <w:rFonts w:ascii="Arial" w:hAnsi="Arial" w:cs="Arial"/>
          <w:sz w:val="28"/>
          <w:szCs w:val="28"/>
          <w:lang w:val="en-CA"/>
        </w:rPr>
        <w:t>WRITING ASSIGNMENT 10-4</w:t>
      </w:r>
    </w:p>
    <w:p w:rsidR="007D511A" w:rsidRPr="007D511A" w:rsidRDefault="007D511A" w:rsidP="007D511A">
      <w:pPr>
        <w:ind w:left="720"/>
        <w:rPr>
          <w:rFonts w:ascii="Arial" w:hAnsi="Arial" w:cs="Arial"/>
          <w:sz w:val="24"/>
          <w:szCs w:val="24"/>
          <w:lang w:val="en-CA"/>
        </w:rPr>
      </w:pPr>
      <w:r w:rsidRPr="007D511A">
        <w:rPr>
          <w:rFonts w:ascii="Arial" w:hAnsi="Arial" w:cs="Arial"/>
          <w:sz w:val="24"/>
          <w:szCs w:val="24"/>
          <w:lang w:val="en-CA"/>
        </w:rPr>
        <w:t>The following table indicates the two key measures and measure of operating surplus or deficit as reported in the illustrated financial statements:</w:t>
      </w:r>
    </w:p>
    <w:tbl>
      <w:tblPr>
        <w:tblStyle w:val="TableGrid"/>
        <w:tblW w:w="0" w:type="auto"/>
        <w:tblInd w:w="1242" w:type="dxa"/>
        <w:tblLook w:val="04A0" w:firstRow="1" w:lastRow="0" w:firstColumn="1" w:lastColumn="0" w:noHBand="0" w:noVBand="1"/>
      </w:tblPr>
      <w:tblGrid>
        <w:gridCol w:w="3366"/>
        <w:gridCol w:w="2163"/>
        <w:gridCol w:w="2409"/>
      </w:tblGrid>
      <w:tr w:rsidR="007D511A" w:rsidRPr="007D511A" w:rsidTr="00D635B9">
        <w:tc>
          <w:tcPr>
            <w:tcW w:w="3366" w:type="dxa"/>
            <w:shd w:val="clear" w:color="auto" w:fill="D9D9D9" w:themeFill="background1" w:themeFillShade="D9"/>
          </w:tcPr>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Key measure</w:t>
            </w:r>
          </w:p>
        </w:tc>
        <w:tc>
          <w:tcPr>
            <w:tcW w:w="2163" w:type="dxa"/>
            <w:shd w:val="clear" w:color="auto" w:fill="D9D9D9" w:themeFill="background1" w:themeFillShade="D9"/>
          </w:tcPr>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City of Winnipeg</w:t>
            </w:r>
          </w:p>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(thousands)</w:t>
            </w:r>
          </w:p>
        </w:tc>
        <w:tc>
          <w:tcPr>
            <w:tcW w:w="2409" w:type="dxa"/>
            <w:shd w:val="clear" w:color="auto" w:fill="D9D9D9" w:themeFill="background1" w:themeFillShade="D9"/>
          </w:tcPr>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Yukon Housing</w:t>
            </w:r>
          </w:p>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(thousands)</w:t>
            </w:r>
          </w:p>
        </w:tc>
      </w:tr>
      <w:tr w:rsidR="007D511A" w:rsidRPr="007D511A" w:rsidTr="00D635B9">
        <w:tc>
          <w:tcPr>
            <w:tcW w:w="3366" w:type="dxa"/>
          </w:tcPr>
          <w:p w:rsidR="007D511A" w:rsidRPr="007D511A" w:rsidRDefault="007D511A" w:rsidP="002E37E4">
            <w:pPr>
              <w:spacing w:before="240"/>
              <w:rPr>
                <w:rFonts w:ascii="Arial" w:hAnsi="Arial" w:cs="Arial"/>
                <w:sz w:val="24"/>
                <w:szCs w:val="24"/>
                <w:lang w:val="en-CA"/>
              </w:rPr>
            </w:pPr>
            <w:r w:rsidRPr="007D511A">
              <w:rPr>
                <w:rFonts w:ascii="Arial" w:hAnsi="Arial" w:cs="Arial"/>
                <w:sz w:val="24"/>
                <w:szCs w:val="24"/>
                <w:lang w:val="en-CA"/>
              </w:rPr>
              <w:t>Net financial assets (net debt)</w:t>
            </w:r>
          </w:p>
        </w:tc>
        <w:tc>
          <w:tcPr>
            <w:tcW w:w="2163"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48,603</w:t>
            </w:r>
          </w:p>
        </w:tc>
        <w:tc>
          <w:tcPr>
            <w:tcW w:w="2409"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(12,093)</w:t>
            </w:r>
          </w:p>
        </w:tc>
      </w:tr>
      <w:tr w:rsidR="007D511A" w:rsidRPr="007D511A" w:rsidTr="00D635B9">
        <w:tc>
          <w:tcPr>
            <w:tcW w:w="3366" w:type="dxa"/>
          </w:tcPr>
          <w:p w:rsidR="007D511A" w:rsidRPr="007D511A" w:rsidRDefault="007D511A" w:rsidP="002E37E4">
            <w:pPr>
              <w:spacing w:before="240"/>
              <w:rPr>
                <w:rFonts w:ascii="Arial" w:hAnsi="Arial" w:cs="Arial"/>
                <w:sz w:val="24"/>
                <w:szCs w:val="24"/>
                <w:lang w:val="en-CA"/>
              </w:rPr>
            </w:pPr>
            <w:r w:rsidRPr="007D511A">
              <w:rPr>
                <w:rFonts w:ascii="Arial" w:hAnsi="Arial" w:cs="Arial"/>
                <w:sz w:val="24"/>
                <w:szCs w:val="24"/>
                <w:lang w:val="en-CA"/>
              </w:rPr>
              <w:t>Accumulated surplus (deficit)</w:t>
            </w:r>
          </w:p>
        </w:tc>
        <w:tc>
          <w:tcPr>
            <w:tcW w:w="2163"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4,518,714</w:t>
            </w:r>
          </w:p>
        </w:tc>
        <w:tc>
          <w:tcPr>
            <w:tcW w:w="2409"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w:t>
            </w:r>
          </w:p>
        </w:tc>
      </w:tr>
      <w:tr w:rsidR="007D511A" w:rsidRPr="007D511A" w:rsidTr="00D635B9">
        <w:tc>
          <w:tcPr>
            <w:tcW w:w="3366" w:type="dxa"/>
          </w:tcPr>
          <w:p w:rsidR="007D511A" w:rsidRPr="007D511A" w:rsidRDefault="007D511A" w:rsidP="002E37E4">
            <w:pPr>
              <w:spacing w:before="240"/>
              <w:rPr>
                <w:rFonts w:ascii="Arial" w:hAnsi="Arial" w:cs="Arial"/>
                <w:sz w:val="24"/>
                <w:szCs w:val="24"/>
                <w:lang w:val="en-CA"/>
              </w:rPr>
            </w:pPr>
            <w:r w:rsidRPr="007D511A">
              <w:rPr>
                <w:rFonts w:ascii="Arial" w:hAnsi="Arial" w:cs="Arial"/>
                <w:sz w:val="24"/>
                <w:szCs w:val="24"/>
                <w:lang w:val="en-CA"/>
              </w:rPr>
              <w:t>Operating surplus/deficit</w:t>
            </w:r>
          </w:p>
        </w:tc>
        <w:tc>
          <w:tcPr>
            <w:tcW w:w="2163"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169,218</w:t>
            </w:r>
          </w:p>
        </w:tc>
        <w:tc>
          <w:tcPr>
            <w:tcW w:w="2409"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w:t>
            </w:r>
          </w:p>
        </w:tc>
      </w:tr>
    </w:tbl>
    <w:p w:rsidR="007D511A" w:rsidRPr="007D511A" w:rsidRDefault="007D511A" w:rsidP="007D511A">
      <w:pPr>
        <w:spacing w:before="120"/>
        <w:ind w:left="720"/>
        <w:rPr>
          <w:rFonts w:ascii="Arial" w:hAnsi="Arial" w:cs="Arial"/>
          <w:sz w:val="24"/>
          <w:szCs w:val="24"/>
          <w:lang w:val="en-CA"/>
        </w:rPr>
      </w:pPr>
      <w:r w:rsidRPr="007D511A">
        <w:rPr>
          <w:rFonts w:ascii="Arial" w:hAnsi="Arial" w:cs="Arial"/>
          <w:sz w:val="24"/>
          <w:szCs w:val="24"/>
          <w:lang w:val="en-CA"/>
        </w:rPr>
        <w:t>A useful answer should comment on the need to understand the variance between the change in net financial assets (net debt) and operating surplus or deficit.  For example, Yukon Housing’s net debt increased but notwithstanding it had a nil deficit.  Similarly, Winnipeg’s operating surplus was much greater than the increase in its net financial assets.  Both changes can be explained by reviewing amounts reported in the statement of changes in net financial assets (net debt).  The response should also comment on changes in the cash and cash equivalents being reported, making reference to the four activity classes reported on in the statement of cash flows.  Beyond this a response may also identify trends in relation to the comparative figures and variances in relation to budget.</w:t>
      </w:r>
    </w:p>
    <w:p w:rsidR="007D511A" w:rsidRDefault="007D511A"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Pr="007D511A" w:rsidRDefault="00F34FE0" w:rsidP="007D511A">
      <w:pPr>
        <w:spacing w:before="200" w:after="120"/>
        <w:ind w:left="720"/>
        <w:rPr>
          <w:rFonts w:ascii="Arial" w:hAnsi="Arial" w:cs="Arial"/>
          <w:b/>
          <w:sz w:val="24"/>
          <w:szCs w:val="24"/>
          <w:u w:val="single"/>
          <w:lang w:val="en-CA"/>
        </w:rPr>
      </w:pPr>
    </w:p>
    <w:p w:rsidR="00873785" w:rsidRDefault="00873785" w:rsidP="00873785">
      <w:pPr>
        <w:jc w:val="center"/>
        <w:rPr>
          <w:rFonts w:ascii="Arial" w:hAnsi="Arial" w:cs="Arial"/>
          <w:b/>
          <w:color w:val="00B050"/>
          <w:sz w:val="36"/>
          <w:szCs w:val="36"/>
          <w:u w:val="single"/>
          <w:lang w:val="en-CA"/>
        </w:rPr>
      </w:pPr>
      <w:r>
        <w:rPr>
          <w:rFonts w:ascii="Arial" w:hAnsi="Arial" w:cs="Arial"/>
          <w:b/>
          <w:color w:val="00B050"/>
          <w:sz w:val="36"/>
          <w:szCs w:val="36"/>
          <w:u w:val="single"/>
          <w:lang w:val="en-CA"/>
        </w:rPr>
        <w:t>CASES</w:t>
      </w:r>
    </w:p>
    <w:p w:rsidR="00873785" w:rsidRPr="003F0C82" w:rsidRDefault="00665F2F" w:rsidP="00873785">
      <w:pPr>
        <w:rPr>
          <w:rFonts w:ascii="Arial" w:hAnsi="Arial" w:cs="Arial"/>
          <w:sz w:val="28"/>
          <w:szCs w:val="28"/>
          <w:lang w:val="en-CA"/>
        </w:rPr>
      </w:pPr>
      <w:r>
        <w:rPr>
          <w:rFonts w:ascii="Arial" w:hAnsi="Arial" w:cs="Arial"/>
          <w:sz w:val="28"/>
          <w:szCs w:val="28"/>
          <w:lang w:val="en-CA"/>
        </w:rPr>
        <w:t>CASE</w:t>
      </w:r>
      <w:r w:rsidR="00873785">
        <w:rPr>
          <w:rFonts w:ascii="Arial" w:hAnsi="Arial" w:cs="Arial"/>
          <w:sz w:val="28"/>
          <w:szCs w:val="28"/>
          <w:lang w:val="en-CA"/>
        </w:rPr>
        <w:t xml:space="preserve"> 10-1</w:t>
      </w:r>
    </w:p>
    <w:p w:rsidR="007D511A" w:rsidRPr="00D635B9" w:rsidRDefault="00873785" w:rsidP="00873785">
      <w:pPr>
        <w:spacing w:after="0" w:line="240" w:lineRule="auto"/>
        <w:ind w:left="720"/>
        <w:rPr>
          <w:rFonts w:ascii="Arial" w:hAnsi="Arial" w:cs="Arial"/>
          <w:sz w:val="24"/>
          <w:szCs w:val="24"/>
          <w:lang w:val="en-CA"/>
        </w:rPr>
      </w:pPr>
      <w:r w:rsidRPr="00D635B9">
        <w:rPr>
          <w:rFonts w:ascii="Arial" w:hAnsi="Arial" w:cs="Arial"/>
          <w:sz w:val="24"/>
          <w:szCs w:val="24"/>
          <w:lang w:val="en-CA"/>
        </w:rPr>
        <w:t xml:space="preserve"> </w:t>
      </w:r>
      <w:r w:rsidR="007D511A" w:rsidRPr="00D635B9">
        <w:rPr>
          <w:rFonts w:ascii="Arial" w:hAnsi="Arial" w:cs="Arial"/>
          <w:sz w:val="24"/>
          <w:szCs w:val="24"/>
          <w:lang w:val="en-CA"/>
        </w:rPr>
        <w:t>(a)</w:t>
      </w:r>
    </w:p>
    <w:p w:rsidR="007D511A" w:rsidRPr="00D635B9" w:rsidRDefault="007D511A" w:rsidP="007D511A">
      <w:pPr>
        <w:spacing w:after="0" w:line="240" w:lineRule="auto"/>
        <w:ind w:left="1418"/>
        <w:rPr>
          <w:rFonts w:ascii="Arial" w:hAnsi="Arial" w:cs="Arial"/>
          <w:sz w:val="24"/>
          <w:szCs w:val="24"/>
          <w:lang w:val="en-CA"/>
        </w:rPr>
      </w:pPr>
      <w:r w:rsidRPr="00D635B9">
        <w:rPr>
          <w:rFonts w:ascii="Arial" w:hAnsi="Arial" w:cs="Arial"/>
          <w:sz w:val="24"/>
          <w:szCs w:val="24"/>
          <w:lang w:val="en-CA"/>
        </w:rPr>
        <w:t>The most appropriation classification for Marine Atlantic Inc. (MA) is other government organization.  It is not a government business enterprise as the significant annual parliamentary appropriation made to it indicates that it is unable to maintain its operations and meet its liabilities from revenues received from sources outside of the government reporting entity.  In a few words, it is not financially self-sustaining. It would be a stretch to describe MA as a not-for-profit organization, and the not-for-profit standards were not designed for use by organizations such as MA with quasi-commercial operations.</w:t>
      </w:r>
    </w:p>
    <w:p w:rsidR="007D511A" w:rsidRPr="00D635B9" w:rsidRDefault="007D511A" w:rsidP="007D511A">
      <w:pPr>
        <w:spacing w:after="0" w:line="240" w:lineRule="auto"/>
        <w:ind w:left="720"/>
        <w:rPr>
          <w:rFonts w:ascii="Arial" w:hAnsi="Arial" w:cs="Arial"/>
          <w:sz w:val="24"/>
          <w:szCs w:val="24"/>
          <w:lang w:val="en-CA"/>
        </w:rPr>
      </w:pPr>
    </w:p>
    <w:p w:rsidR="007D511A" w:rsidRPr="00D635B9" w:rsidRDefault="007D511A" w:rsidP="007D511A">
      <w:pPr>
        <w:spacing w:after="0" w:line="240" w:lineRule="auto"/>
        <w:ind w:left="720"/>
        <w:rPr>
          <w:rFonts w:ascii="Arial" w:hAnsi="Arial" w:cs="Arial"/>
          <w:sz w:val="24"/>
          <w:szCs w:val="24"/>
          <w:lang w:val="en-CA"/>
        </w:rPr>
      </w:pPr>
      <w:r w:rsidRPr="00D635B9">
        <w:rPr>
          <w:rFonts w:ascii="Arial" w:hAnsi="Arial" w:cs="Arial"/>
          <w:sz w:val="24"/>
          <w:szCs w:val="24"/>
          <w:lang w:val="en-CA"/>
        </w:rPr>
        <w:t>(b)</w:t>
      </w:r>
    </w:p>
    <w:p w:rsidR="007D511A" w:rsidRPr="00D635B9" w:rsidRDefault="007D511A" w:rsidP="007D511A">
      <w:pPr>
        <w:spacing w:after="0" w:line="240" w:lineRule="auto"/>
        <w:ind w:left="1418"/>
        <w:rPr>
          <w:rFonts w:ascii="Arial" w:hAnsi="Arial" w:cs="Arial"/>
          <w:sz w:val="24"/>
          <w:szCs w:val="24"/>
          <w:lang w:val="en-CA"/>
        </w:rPr>
      </w:pPr>
      <w:r w:rsidRPr="00D635B9">
        <w:rPr>
          <w:rFonts w:ascii="Arial" w:hAnsi="Arial" w:cs="Arial"/>
          <w:sz w:val="24"/>
          <w:szCs w:val="24"/>
          <w:lang w:val="en-CA"/>
        </w:rPr>
        <w:t>MA should be consolidated on a line-by-line basis in the financial statements of the Government of Canada (Canada).  It is controlled by Canada as it reports to Parliament through the Minister of Transport.</w:t>
      </w:r>
    </w:p>
    <w:p w:rsidR="007D511A" w:rsidRPr="00D635B9" w:rsidRDefault="007D511A" w:rsidP="007D511A">
      <w:pPr>
        <w:spacing w:after="0" w:line="240" w:lineRule="auto"/>
        <w:ind w:left="1440"/>
        <w:rPr>
          <w:rFonts w:ascii="Arial" w:hAnsi="Arial" w:cs="Arial"/>
          <w:sz w:val="24"/>
          <w:szCs w:val="24"/>
          <w:lang w:val="en-CA"/>
        </w:rPr>
      </w:pPr>
    </w:p>
    <w:p w:rsidR="007D511A" w:rsidRPr="00D635B9" w:rsidRDefault="007D511A" w:rsidP="007D511A">
      <w:pPr>
        <w:spacing w:after="0" w:line="240" w:lineRule="auto"/>
        <w:ind w:left="720"/>
        <w:rPr>
          <w:rFonts w:ascii="Arial" w:hAnsi="Arial" w:cs="Arial"/>
          <w:sz w:val="24"/>
          <w:szCs w:val="24"/>
          <w:lang w:val="en-CA"/>
        </w:rPr>
      </w:pPr>
      <w:r w:rsidRPr="00D635B9">
        <w:rPr>
          <w:rFonts w:ascii="Arial" w:hAnsi="Arial" w:cs="Arial"/>
          <w:sz w:val="24"/>
          <w:szCs w:val="24"/>
          <w:lang w:val="en-CA"/>
        </w:rPr>
        <w:t xml:space="preserve">(c) </w:t>
      </w:r>
    </w:p>
    <w:p w:rsidR="007D511A" w:rsidRPr="007D511A" w:rsidRDefault="007D511A" w:rsidP="007D511A">
      <w:pPr>
        <w:spacing w:after="0" w:line="240" w:lineRule="auto"/>
        <w:ind w:left="1418"/>
        <w:rPr>
          <w:rFonts w:ascii="Arial" w:hAnsi="Arial" w:cs="Arial"/>
          <w:sz w:val="24"/>
          <w:szCs w:val="24"/>
          <w:lang w:val="en-CA"/>
        </w:rPr>
      </w:pPr>
      <w:r w:rsidRPr="00D635B9">
        <w:rPr>
          <w:rFonts w:ascii="Arial" w:hAnsi="Arial" w:cs="Arial"/>
          <w:sz w:val="24"/>
          <w:szCs w:val="24"/>
          <w:lang w:val="en-CA"/>
        </w:rPr>
        <w:t>To</w:t>
      </w:r>
      <w:r w:rsidRPr="007D511A">
        <w:rPr>
          <w:rFonts w:ascii="Arial" w:hAnsi="Arial" w:cs="Arial"/>
          <w:sz w:val="24"/>
          <w:szCs w:val="24"/>
          <w:lang w:val="en-CA"/>
        </w:rPr>
        <w:t xml:space="preserve"> prepare its own financial statements, the Introduction to Public Sector Accounting Standards provides management the option of applying either: the </w:t>
      </w:r>
      <w:r w:rsidRPr="007D511A">
        <w:rPr>
          <w:rFonts w:ascii="Arial" w:hAnsi="Arial" w:cs="Arial"/>
          <w:i/>
          <w:sz w:val="24"/>
          <w:szCs w:val="24"/>
          <w:lang w:val="en-CA"/>
        </w:rPr>
        <w:t>CICA PSA Handbook</w:t>
      </w:r>
      <w:r w:rsidRPr="007D511A">
        <w:rPr>
          <w:rFonts w:ascii="Arial" w:hAnsi="Arial" w:cs="Arial"/>
          <w:sz w:val="24"/>
          <w:szCs w:val="24"/>
          <w:lang w:val="en-CA"/>
        </w:rPr>
        <w:t xml:space="preserve"> or </w:t>
      </w:r>
      <w:r w:rsidRPr="007D511A">
        <w:rPr>
          <w:rFonts w:ascii="Arial" w:hAnsi="Arial" w:cs="Arial"/>
          <w:i/>
          <w:sz w:val="24"/>
          <w:szCs w:val="24"/>
          <w:lang w:val="en-CA"/>
        </w:rPr>
        <w:t>CICA Handbook</w:t>
      </w:r>
      <w:r w:rsidRPr="007D511A">
        <w:rPr>
          <w:rFonts w:ascii="Arial" w:hAnsi="Arial" w:cs="Arial"/>
          <w:sz w:val="24"/>
          <w:szCs w:val="24"/>
          <w:lang w:val="en-CA"/>
        </w:rPr>
        <w:t xml:space="preserve">, Part I (IFRS).  </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 xml:space="preserve">Actually both frameworks are a reasonable and defendable choice for MA, accordingly in grading answers, the emphasis should be on the reasons given. </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 xml:space="preserve">Reasons to favour use of the </w:t>
      </w:r>
      <w:r w:rsidRPr="007D511A">
        <w:rPr>
          <w:rFonts w:ascii="Arial" w:hAnsi="Arial" w:cs="Arial"/>
          <w:i/>
          <w:sz w:val="24"/>
          <w:szCs w:val="24"/>
          <w:lang w:val="en-CA"/>
        </w:rPr>
        <w:t>CICA PSA Handbook</w:t>
      </w:r>
      <w:r w:rsidRPr="007D511A">
        <w:rPr>
          <w:rFonts w:ascii="Arial" w:hAnsi="Arial" w:cs="Arial"/>
          <w:sz w:val="24"/>
          <w:szCs w:val="24"/>
          <w:lang w:val="en-CA"/>
        </w:rPr>
        <w:t>:</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The set of standards designed for use by government and public sector entities.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Presentation framework includes the net debt measure, useful in highlighting the financial capacity and sustainability of the entity.</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Supports comparability with other public sector entities in Canada.</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The standards are in widespread use in the public sector, as such knowledgeable users will be familiar with their application by government organizations, and financial professionals within government have experience in applying the standards.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lastRenderedPageBreak/>
        <w:t>Although MA’s operations are quasi-commercial, it is not expected that  reporting on its revenue and expenses involve complex issues.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Accounting policies would not have to be conformed (as they would if IFRS were adopted) when results are consolidated into the accounts of the Government of Canada.</w:t>
      </w:r>
    </w:p>
    <w:p w:rsidR="006A3ABD" w:rsidRDefault="006A3ABD" w:rsidP="007D511A">
      <w:pPr>
        <w:spacing w:after="0" w:line="240" w:lineRule="auto"/>
        <w:ind w:left="1440"/>
        <w:rPr>
          <w:rFonts w:ascii="Arial" w:hAnsi="Arial" w:cs="Arial"/>
          <w:sz w:val="24"/>
          <w:szCs w:val="24"/>
          <w:lang w:val="en-CA"/>
        </w:rPr>
      </w:pP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 xml:space="preserve">Reasons to favour use of </w:t>
      </w:r>
      <w:r w:rsidRPr="007D511A">
        <w:rPr>
          <w:rFonts w:ascii="Arial" w:hAnsi="Arial" w:cs="Arial"/>
          <w:i/>
          <w:sz w:val="24"/>
          <w:szCs w:val="24"/>
          <w:lang w:val="en-CA"/>
        </w:rPr>
        <w:t>CICA Handbook</w:t>
      </w:r>
      <w:r w:rsidRPr="007D511A">
        <w:rPr>
          <w:rFonts w:ascii="Arial" w:hAnsi="Arial" w:cs="Arial"/>
          <w:sz w:val="24"/>
          <w:szCs w:val="24"/>
          <w:lang w:val="en-CA"/>
        </w:rPr>
        <w:t>, Part I (IFRS):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Although dependent on parliament for a significant subsidy, MA operates a marine transportation system.  Users of its financial statements may seek to compare results (and assess performance) against international operators of marine transportation systems.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MA’s operations are primarily commercial in their nature.  IFRS contains more extensive detailed standards addressing the reporting of revenues and expenses associated with commercial activities.</w:t>
      </w:r>
    </w:p>
    <w:p w:rsidR="007D511A" w:rsidRPr="007D511A" w:rsidRDefault="007D511A" w:rsidP="007D511A">
      <w:pPr>
        <w:pStyle w:val="ListParagraph"/>
        <w:numPr>
          <w:ilvl w:val="0"/>
          <w:numId w:val="8"/>
        </w:numPr>
        <w:spacing w:after="0" w:line="240" w:lineRule="auto"/>
        <w:ind w:left="2160" w:hanging="720"/>
        <w:contextualSpacing w:val="0"/>
        <w:rPr>
          <w:rFonts w:ascii="Arial" w:hAnsi="Arial" w:cs="Arial"/>
          <w:sz w:val="24"/>
          <w:szCs w:val="24"/>
          <w:lang w:val="en-CA"/>
        </w:rPr>
      </w:pPr>
      <w:r w:rsidRPr="007D511A">
        <w:rPr>
          <w:rFonts w:ascii="Arial" w:hAnsi="Arial" w:cs="Arial"/>
          <w:sz w:val="24"/>
          <w:szCs w:val="24"/>
          <w:lang w:val="en-CA"/>
        </w:rPr>
        <w:t>IFRS has broad application by publicly accountable entities accessing the capital markets.  This may be of benefit if MA seeks financing or enter into an agreement with a private sector operator.</w:t>
      </w:r>
    </w:p>
    <w:p w:rsidR="007D511A" w:rsidRPr="007D511A" w:rsidRDefault="007D511A" w:rsidP="007D511A">
      <w:pPr>
        <w:spacing w:after="0"/>
        <w:ind w:left="720"/>
        <w:rPr>
          <w:rFonts w:ascii="Arial" w:hAnsi="Arial" w:cs="Arial"/>
          <w:b/>
          <w:sz w:val="24"/>
          <w:szCs w:val="24"/>
          <w:lang w:val="en-CA"/>
        </w:rPr>
      </w:pPr>
    </w:p>
    <w:p w:rsidR="00D635B9" w:rsidRDefault="00D635B9" w:rsidP="0032636C">
      <w:pPr>
        <w:spacing w:after="0" w:line="240" w:lineRule="auto"/>
        <w:rPr>
          <w:rFonts w:ascii="Arial" w:hAnsi="Arial" w:cs="Arial"/>
          <w:sz w:val="28"/>
          <w:szCs w:val="28"/>
          <w:lang w:val="en-CA"/>
        </w:rPr>
      </w:pPr>
    </w:p>
    <w:sectPr w:rsidR="00D635B9" w:rsidSect="00BC4CAB">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62F" w:rsidRDefault="00DF662F" w:rsidP="00AF24E8">
      <w:pPr>
        <w:spacing w:after="0" w:line="240" w:lineRule="auto"/>
      </w:pPr>
      <w:r>
        <w:separator/>
      </w:r>
    </w:p>
  </w:endnote>
  <w:endnote w:type="continuationSeparator" w:id="0">
    <w:p w:rsidR="00DF662F" w:rsidRDefault="00DF662F" w:rsidP="00AF2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030" w:rsidRPr="0079022F" w:rsidRDefault="00FF2030">
    <w:pPr>
      <w:pStyle w:val="Footer"/>
      <w:rPr>
        <w:rFonts w:ascii="Arial" w:hAnsi="Arial" w:cs="Arial"/>
        <w:sz w:val="16"/>
        <w:szCs w:val="16"/>
      </w:rPr>
    </w:pPr>
    <w:r>
      <w:rPr>
        <w:rFonts w:ascii="Arial" w:hAnsi="Arial" w:cs="Arial"/>
        <w:sz w:val="16"/>
        <w:szCs w:val="16"/>
      </w:rPr>
      <w:t>Solutions Manual</w:t>
    </w:r>
    <w:r>
      <w:rPr>
        <w:rFonts w:ascii="Arial" w:hAnsi="Arial" w:cs="Arial"/>
        <w:sz w:val="16"/>
        <w:szCs w:val="16"/>
      </w:rPr>
      <w:ptab w:relativeTo="margin" w:alignment="center" w:leader="none"/>
    </w:r>
    <w:r>
      <w:rPr>
        <w:rFonts w:ascii="Arial" w:hAnsi="Arial" w:cs="Arial"/>
        <w:sz w:val="16"/>
        <w:szCs w:val="16"/>
      </w:rPr>
      <w:t xml:space="preserve"> Copyright © 2013 John Wiley &amp; Sons Canada, Ltd.</w:t>
    </w:r>
    <w:r>
      <w:rPr>
        <w:rFonts w:ascii="Arial" w:hAnsi="Arial" w:cs="Arial"/>
        <w:sz w:val="16"/>
        <w:szCs w:val="16"/>
      </w:rPr>
      <w:ptab w:relativeTo="margin" w:alignment="right" w:leader="none"/>
    </w:r>
    <w:r>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PAGE   \* MERGEFORMAT </w:instrText>
    </w:r>
    <w:r>
      <w:rPr>
        <w:rFonts w:ascii="Arial" w:hAnsi="Arial" w:cs="Arial"/>
        <w:sz w:val="16"/>
        <w:szCs w:val="16"/>
      </w:rPr>
      <w:fldChar w:fldCharType="separate"/>
    </w:r>
    <w:r w:rsidR="0017507B">
      <w:rPr>
        <w:rFonts w:ascii="Arial" w:hAnsi="Arial" w:cs="Arial"/>
        <w:noProof/>
        <w:sz w:val="16"/>
        <w:szCs w:val="16"/>
      </w:rPr>
      <w:t>1</w:t>
    </w:r>
    <w:r>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62F" w:rsidRDefault="00DF662F" w:rsidP="00AF24E8">
      <w:pPr>
        <w:spacing w:after="0" w:line="240" w:lineRule="auto"/>
      </w:pPr>
      <w:r>
        <w:separator/>
      </w:r>
    </w:p>
  </w:footnote>
  <w:footnote w:type="continuationSeparator" w:id="0">
    <w:p w:rsidR="00DF662F" w:rsidRDefault="00DF662F" w:rsidP="00AF24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030" w:rsidRPr="004B4715" w:rsidRDefault="00FF2030" w:rsidP="0079022F">
    <w:pPr>
      <w:pStyle w:val="Header"/>
      <w:rPr>
        <w:rFonts w:ascii="Arial" w:hAnsi="Arial" w:cs="Arial"/>
        <w:sz w:val="16"/>
        <w:szCs w:val="16"/>
        <w:lang w:val="en-CA"/>
      </w:rPr>
    </w:pPr>
    <w:r>
      <w:rPr>
        <w:rFonts w:ascii="Arial" w:hAnsi="Arial" w:cs="Arial"/>
        <w:sz w:val="16"/>
        <w:szCs w:val="16"/>
        <w:lang w:val="en-CA"/>
      </w:rPr>
      <w:t xml:space="preserve">Solutions Manual to accompany </w:t>
    </w:r>
    <w:r>
      <w:rPr>
        <w:rFonts w:ascii="Arial" w:hAnsi="Arial" w:cs="Arial"/>
        <w:i/>
        <w:sz w:val="16"/>
        <w:szCs w:val="16"/>
        <w:lang w:val="en-CA"/>
      </w:rPr>
      <w:t xml:space="preserve">Advanced Accounting </w:t>
    </w:r>
    <w:r>
      <w:rPr>
        <w:rFonts w:ascii="Arial" w:hAnsi="Arial" w:cs="Arial"/>
        <w:sz w:val="16"/>
        <w:szCs w:val="16"/>
        <w:lang w:val="en-CA"/>
      </w:rPr>
      <w:t>by Fayerman</w:t>
    </w:r>
    <w:r>
      <w:rPr>
        <w:rFonts w:ascii="Arial" w:hAnsi="Arial" w:cs="Arial"/>
        <w:sz w:val="16"/>
        <w:szCs w:val="16"/>
        <w:lang w:val="en-CA"/>
      </w:rPr>
      <w:ptab w:relativeTo="margin" w:alignment="right" w:leader="none"/>
    </w:r>
    <w:r>
      <w:rPr>
        <w:rFonts w:ascii="Arial" w:hAnsi="Arial" w:cs="Arial"/>
        <w:sz w:val="16"/>
        <w:szCs w:val="16"/>
        <w:lang w:val="en-CA"/>
      </w:rPr>
      <w:t xml:space="preserve"> Chapter 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77179"/>
    <w:multiLevelType w:val="hybridMultilevel"/>
    <w:tmpl w:val="1CD69568"/>
    <w:lvl w:ilvl="0" w:tplc="E95608FC">
      <w:start w:val="1"/>
      <w:numFmt w:val="decimal"/>
      <w:lvlText w:val="%1."/>
      <w:lvlJc w:val="left"/>
      <w:pPr>
        <w:ind w:left="405" w:hanging="360"/>
      </w:pPr>
      <w:rPr>
        <w:rFonts w:hint="default"/>
      </w:rPr>
    </w:lvl>
    <w:lvl w:ilvl="1" w:tplc="E578D5C6">
      <w:start w:val="1"/>
      <w:numFmt w:val="lowerLetter"/>
      <w:lvlText w:val="(%2)"/>
      <w:lvlJc w:val="left"/>
      <w:pPr>
        <w:ind w:left="1440" w:hanging="360"/>
      </w:pPr>
      <w:rPr>
        <w:rFonts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D2ED8"/>
    <w:multiLevelType w:val="hybridMultilevel"/>
    <w:tmpl w:val="A1F0E7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EC712B"/>
    <w:multiLevelType w:val="hybridMultilevel"/>
    <w:tmpl w:val="A89021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5AC5047"/>
    <w:multiLevelType w:val="hybridMultilevel"/>
    <w:tmpl w:val="EDD24CD0"/>
    <w:lvl w:ilvl="0" w:tplc="49D4D4A2">
      <w:start w:val="1"/>
      <w:numFmt w:val="decimal"/>
      <w:lvlText w:val="%1."/>
      <w:lvlJc w:val="left"/>
      <w:pPr>
        <w:ind w:left="405" w:hanging="360"/>
      </w:pPr>
      <w:rPr>
        <w:rFonts w:ascii="Arial" w:hAnsi="Arial" w:cs="Arial" w:hint="default"/>
        <w:sz w:val="28"/>
        <w:szCs w:val="28"/>
      </w:rPr>
    </w:lvl>
    <w:lvl w:ilvl="1" w:tplc="04090019">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0896164D"/>
    <w:multiLevelType w:val="hybridMultilevel"/>
    <w:tmpl w:val="7BD65A26"/>
    <w:lvl w:ilvl="0" w:tplc="A04C11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3C49C5"/>
    <w:multiLevelType w:val="hybridMultilevel"/>
    <w:tmpl w:val="951AB04A"/>
    <w:lvl w:ilvl="0" w:tplc="AFCA4FE8">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2A85FD0"/>
    <w:multiLevelType w:val="hybridMultilevel"/>
    <w:tmpl w:val="DD0A81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7">
    <w:nsid w:val="136961BF"/>
    <w:multiLevelType w:val="hybridMultilevel"/>
    <w:tmpl w:val="4C443AB2"/>
    <w:lvl w:ilvl="0" w:tplc="E95608FC">
      <w:start w:val="1"/>
      <w:numFmt w:val="decimal"/>
      <w:lvlText w:val="%1."/>
      <w:lvlJc w:val="left"/>
      <w:pPr>
        <w:ind w:left="405"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9576E2"/>
    <w:multiLevelType w:val="hybridMultilevel"/>
    <w:tmpl w:val="F6F83FAC"/>
    <w:lvl w:ilvl="0" w:tplc="193217B8">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EAB3CE7"/>
    <w:multiLevelType w:val="hybridMultilevel"/>
    <w:tmpl w:val="49BADAE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8A57C19"/>
    <w:multiLevelType w:val="hybridMultilevel"/>
    <w:tmpl w:val="4C16621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1">
    <w:nsid w:val="2E38496C"/>
    <w:multiLevelType w:val="hybridMultilevel"/>
    <w:tmpl w:val="B2E441A4"/>
    <w:lvl w:ilvl="0" w:tplc="5CF6B3A6">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351A95"/>
    <w:multiLevelType w:val="hybridMultilevel"/>
    <w:tmpl w:val="FBE28F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A760992"/>
    <w:multiLevelType w:val="hybridMultilevel"/>
    <w:tmpl w:val="8CC8511C"/>
    <w:lvl w:ilvl="0" w:tplc="04090001">
      <w:start w:val="1"/>
      <w:numFmt w:val="bullet"/>
      <w:lvlText w:val=""/>
      <w:lvlJc w:val="left"/>
      <w:pPr>
        <w:ind w:left="1987" w:hanging="360"/>
      </w:pPr>
      <w:rPr>
        <w:rFonts w:ascii="Symbol" w:hAnsi="Symbol" w:hint="default"/>
      </w:rPr>
    </w:lvl>
    <w:lvl w:ilvl="1" w:tplc="04090003">
      <w:start w:val="1"/>
      <w:numFmt w:val="bullet"/>
      <w:lvlText w:val="o"/>
      <w:lvlJc w:val="left"/>
      <w:pPr>
        <w:ind w:left="2707" w:hanging="360"/>
      </w:pPr>
      <w:rPr>
        <w:rFonts w:ascii="Courier New" w:hAnsi="Courier New" w:cs="Courier New" w:hint="default"/>
      </w:rPr>
    </w:lvl>
    <w:lvl w:ilvl="2" w:tplc="04090005">
      <w:start w:val="1"/>
      <w:numFmt w:val="bullet"/>
      <w:lvlText w:val=""/>
      <w:lvlJc w:val="left"/>
      <w:pPr>
        <w:ind w:left="3427" w:hanging="360"/>
      </w:pPr>
      <w:rPr>
        <w:rFonts w:ascii="Wingdings" w:hAnsi="Wingdings" w:hint="default"/>
      </w:rPr>
    </w:lvl>
    <w:lvl w:ilvl="3" w:tplc="04090001">
      <w:start w:val="1"/>
      <w:numFmt w:val="bullet"/>
      <w:lvlText w:val=""/>
      <w:lvlJc w:val="left"/>
      <w:pPr>
        <w:ind w:left="4147" w:hanging="360"/>
      </w:pPr>
      <w:rPr>
        <w:rFonts w:ascii="Symbol" w:hAnsi="Symbol" w:hint="default"/>
      </w:rPr>
    </w:lvl>
    <w:lvl w:ilvl="4" w:tplc="04090003">
      <w:start w:val="1"/>
      <w:numFmt w:val="bullet"/>
      <w:lvlText w:val="o"/>
      <w:lvlJc w:val="left"/>
      <w:pPr>
        <w:ind w:left="4867" w:hanging="360"/>
      </w:pPr>
      <w:rPr>
        <w:rFonts w:ascii="Courier New" w:hAnsi="Courier New" w:cs="Courier New" w:hint="default"/>
      </w:rPr>
    </w:lvl>
    <w:lvl w:ilvl="5" w:tplc="04090005">
      <w:start w:val="1"/>
      <w:numFmt w:val="bullet"/>
      <w:lvlText w:val=""/>
      <w:lvlJc w:val="left"/>
      <w:pPr>
        <w:ind w:left="5587" w:hanging="360"/>
      </w:pPr>
      <w:rPr>
        <w:rFonts w:ascii="Wingdings" w:hAnsi="Wingdings" w:hint="default"/>
      </w:rPr>
    </w:lvl>
    <w:lvl w:ilvl="6" w:tplc="04090001">
      <w:start w:val="1"/>
      <w:numFmt w:val="bullet"/>
      <w:lvlText w:val=""/>
      <w:lvlJc w:val="left"/>
      <w:pPr>
        <w:ind w:left="6307" w:hanging="360"/>
      </w:pPr>
      <w:rPr>
        <w:rFonts w:ascii="Symbol" w:hAnsi="Symbol" w:hint="default"/>
      </w:rPr>
    </w:lvl>
    <w:lvl w:ilvl="7" w:tplc="04090003">
      <w:start w:val="1"/>
      <w:numFmt w:val="bullet"/>
      <w:lvlText w:val="o"/>
      <w:lvlJc w:val="left"/>
      <w:pPr>
        <w:ind w:left="7027" w:hanging="360"/>
      </w:pPr>
      <w:rPr>
        <w:rFonts w:ascii="Courier New" w:hAnsi="Courier New" w:cs="Courier New" w:hint="default"/>
      </w:rPr>
    </w:lvl>
    <w:lvl w:ilvl="8" w:tplc="04090005">
      <w:start w:val="1"/>
      <w:numFmt w:val="bullet"/>
      <w:lvlText w:val=""/>
      <w:lvlJc w:val="left"/>
      <w:pPr>
        <w:ind w:left="7747" w:hanging="360"/>
      </w:pPr>
      <w:rPr>
        <w:rFonts w:ascii="Wingdings" w:hAnsi="Wingdings" w:hint="default"/>
      </w:rPr>
    </w:lvl>
  </w:abstractNum>
  <w:abstractNum w:abstractNumId="14">
    <w:nsid w:val="3DBE50C5"/>
    <w:multiLevelType w:val="hybridMultilevel"/>
    <w:tmpl w:val="CE68E9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5092299C"/>
    <w:multiLevelType w:val="hybridMultilevel"/>
    <w:tmpl w:val="018EE9F4"/>
    <w:lvl w:ilvl="0" w:tplc="04090017">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6">
    <w:nsid w:val="5B692025"/>
    <w:multiLevelType w:val="hybridMultilevel"/>
    <w:tmpl w:val="EB884A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5233627"/>
    <w:multiLevelType w:val="hybridMultilevel"/>
    <w:tmpl w:val="8774001A"/>
    <w:lvl w:ilvl="0" w:tplc="04090001">
      <w:start w:val="1"/>
      <w:numFmt w:val="bullet"/>
      <w:lvlText w:val=""/>
      <w:lvlJc w:val="left"/>
      <w:pPr>
        <w:ind w:left="1710" w:hanging="360"/>
      </w:pPr>
      <w:rPr>
        <w:rFonts w:ascii="Symbol" w:hAnsi="Symbol" w:hint="default"/>
      </w:rPr>
    </w:lvl>
    <w:lvl w:ilvl="1" w:tplc="04090003">
      <w:start w:val="1"/>
      <w:numFmt w:val="bullet"/>
      <w:lvlText w:val="o"/>
      <w:lvlJc w:val="left"/>
      <w:pPr>
        <w:ind w:left="2430" w:hanging="360"/>
      </w:pPr>
      <w:rPr>
        <w:rFonts w:ascii="Courier New" w:hAnsi="Courier New" w:cs="Courier New" w:hint="default"/>
      </w:rPr>
    </w:lvl>
    <w:lvl w:ilvl="2" w:tplc="04090005">
      <w:start w:val="1"/>
      <w:numFmt w:val="bullet"/>
      <w:lvlText w:val=""/>
      <w:lvlJc w:val="left"/>
      <w:pPr>
        <w:ind w:left="3150" w:hanging="360"/>
      </w:pPr>
      <w:rPr>
        <w:rFonts w:ascii="Wingdings" w:hAnsi="Wingdings" w:hint="default"/>
      </w:rPr>
    </w:lvl>
    <w:lvl w:ilvl="3" w:tplc="04090001">
      <w:start w:val="1"/>
      <w:numFmt w:val="bullet"/>
      <w:lvlText w:val=""/>
      <w:lvlJc w:val="left"/>
      <w:pPr>
        <w:ind w:left="3870" w:hanging="360"/>
      </w:pPr>
      <w:rPr>
        <w:rFonts w:ascii="Symbol" w:hAnsi="Symbol" w:hint="default"/>
      </w:rPr>
    </w:lvl>
    <w:lvl w:ilvl="4" w:tplc="04090003">
      <w:start w:val="1"/>
      <w:numFmt w:val="bullet"/>
      <w:lvlText w:val="o"/>
      <w:lvlJc w:val="left"/>
      <w:pPr>
        <w:ind w:left="4590" w:hanging="360"/>
      </w:pPr>
      <w:rPr>
        <w:rFonts w:ascii="Courier New" w:hAnsi="Courier New" w:cs="Courier New" w:hint="default"/>
      </w:rPr>
    </w:lvl>
    <w:lvl w:ilvl="5" w:tplc="04090005">
      <w:start w:val="1"/>
      <w:numFmt w:val="bullet"/>
      <w:lvlText w:val=""/>
      <w:lvlJc w:val="left"/>
      <w:pPr>
        <w:ind w:left="5310" w:hanging="360"/>
      </w:pPr>
      <w:rPr>
        <w:rFonts w:ascii="Wingdings" w:hAnsi="Wingdings" w:hint="default"/>
      </w:rPr>
    </w:lvl>
    <w:lvl w:ilvl="6" w:tplc="04090001">
      <w:start w:val="1"/>
      <w:numFmt w:val="bullet"/>
      <w:lvlText w:val=""/>
      <w:lvlJc w:val="left"/>
      <w:pPr>
        <w:ind w:left="6030" w:hanging="360"/>
      </w:pPr>
      <w:rPr>
        <w:rFonts w:ascii="Symbol" w:hAnsi="Symbol" w:hint="default"/>
      </w:rPr>
    </w:lvl>
    <w:lvl w:ilvl="7" w:tplc="04090003">
      <w:start w:val="1"/>
      <w:numFmt w:val="bullet"/>
      <w:lvlText w:val="o"/>
      <w:lvlJc w:val="left"/>
      <w:pPr>
        <w:ind w:left="6750" w:hanging="360"/>
      </w:pPr>
      <w:rPr>
        <w:rFonts w:ascii="Courier New" w:hAnsi="Courier New" w:cs="Courier New" w:hint="default"/>
      </w:rPr>
    </w:lvl>
    <w:lvl w:ilvl="8" w:tplc="04090005">
      <w:start w:val="1"/>
      <w:numFmt w:val="bullet"/>
      <w:lvlText w:val=""/>
      <w:lvlJc w:val="left"/>
      <w:pPr>
        <w:ind w:left="7470" w:hanging="360"/>
      </w:pPr>
      <w:rPr>
        <w:rFonts w:ascii="Wingdings" w:hAnsi="Wingdings" w:hint="default"/>
      </w:rPr>
    </w:lvl>
  </w:abstractNum>
  <w:abstractNum w:abstractNumId="18">
    <w:nsid w:val="695E7D94"/>
    <w:multiLevelType w:val="hybridMultilevel"/>
    <w:tmpl w:val="E7184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68E76D6"/>
    <w:multiLevelType w:val="hybridMultilevel"/>
    <w:tmpl w:val="7CE031D2"/>
    <w:lvl w:ilvl="0" w:tplc="10141F7C">
      <w:start w:val="1"/>
      <w:numFmt w:val="low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BD27C0E"/>
    <w:multiLevelType w:val="hybridMultilevel"/>
    <w:tmpl w:val="D8D882B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C4B11DF"/>
    <w:multiLevelType w:val="hybridMultilevel"/>
    <w:tmpl w:val="58FC3392"/>
    <w:lvl w:ilvl="0" w:tplc="E3EC8EC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1"/>
  </w:num>
  <w:num w:numId="3">
    <w:abstractNumId w:val="3"/>
  </w:num>
  <w:num w:numId="4">
    <w:abstractNumId w:val="0"/>
  </w:num>
  <w:num w:numId="5">
    <w:abstractNumId w:val="13"/>
  </w:num>
  <w:num w:numId="6">
    <w:abstractNumId w:val="6"/>
  </w:num>
  <w:num w:numId="7">
    <w:abstractNumId w:val="10"/>
  </w:num>
  <w:num w:numId="8">
    <w:abstractNumId w:val="17"/>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num>
  <w:num w:numId="12">
    <w:abstractNumId w:val="20"/>
  </w:num>
  <w:num w:numId="13">
    <w:abstractNumId w:val="15"/>
  </w:num>
  <w:num w:numId="14">
    <w:abstractNumId w:val="18"/>
  </w:num>
  <w:num w:numId="15">
    <w:abstractNumId w:val="1"/>
  </w:num>
  <w:num w:numId="16">
    <w:abstractNumId w:val="4"/>
  </w:num>
  <w:num w:numId="17">
    <w:abstractNumId w:val="8"/>
  </w:num>
  <w:num w:numId="18">
    <w:abstractNumId w:val="21"/>
  </w:num>
  <w:num w:numId="19">
    <w:abstractNumId w:val="7"/>
  </w:num>
  <w:num w:numId="20">
    <w:abstractNumId w:val="9"/>
  </w:num>
  <w:num w:numId="21">
    <w:abstractNumId w:val="5"/>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6E4"/>
    <w:rsid w:val="000024D7"/>
    <w:rsid w:val="00007923"/>
    <w:rsid w:val="00015D4A"/>
    <w:rsid w:val="00023DD5"/>
    <w:rsid w:val="00041A80"/>
    <w:rsid w:val="00042260"/>
    <w:rsid w:val="00042CEB"/>
    <w:rsid w:val="00042E68"/>
    <w:rsid w:val="0004433B"/>
    <w:rsid w:val="00053926"/>
    <w:rsid w:val="00061363"/>
    <w:rsid w:val="000646C7"/>
    <w:rsid w:val="0006530B"/>
    <w:rsid w:val="00065521"/>
    <w:rsid w:val="00067557"/>
    <w:rsid w:val="00087B6B"/>
    <w:rsid w:val="000A087B"/>
    <w:rsid w:val="000A2713"/>
    <w:rsid w:val="000B65C2"/>
    <w:rsid w:val="000C135C"/>
    <w:rsid w:val="000C4545"/>
    <w:rsid w:val="000C573D"/>
    <w:rsid w:val="000D5511"/>
    <w:rsid w:val="000D5FA0"/>
    <w:rsid w:val="000D609E"/>
    <w:rsid w:val="000D7062"/>
    <w:rsid w:val="000F73B7"/>
    <w:rsid w:val="00100B64"/>
    <w:rsid w:val="00106033"/>
    <w:rsid w:val="0011330E"/>
    <w:rsid w:val="0012686A"/>
    <w:rsid w:val="0013300A"/>
    <w:rsid w:val="00136DF9"/>
    <w:rsid w:val="0015042B"/>
    <w:rsid w:val="001558A0"/>
    <w:rsid w:val="00173B13"/>
    <w:rsid w:val="0017507B"/>
    <w:rsid w:val="0019379F"/>
    <w:rsid w:val="001A00C1"/>
    <w:rsid w:val="001C2E2B"/>
    <w:rsid w:val="001C366D"/>
    <w:rsid w:val="001D03D8"/>
    <w:rsid w:val="001D4A39"/>
    <w:rsid w:val="001D5DE8"/>
    <w:rsid w:val="001E30AE"/>
    <w:rsid w:val="001E4367"/>
    <w:rsid w:val="00203E0F"/>
    <w:rsid w:val="00205F50"/>
    <w:rsid w:val="00215C8D"/>
    <w:rsid w:val="002238AE"/>
    <w:rsid w:val="00236693"/>
    <w:rsid w:val="00241555"/>
    <w:rsid w:val="00244F49"/>
    <w:rsid w:val="00262933"/>
    <w:rsid w:val="002662FF"/>
    <w:rsid w:val="00273787"/>
    <w:rsid w:val="0028100C"/>
    <w:rsid w:val="002812FB"/>
    <w:rsid w:val="00283BC9"/>
    <w:rsid w:val="00284AF7"/>
    <w:rsid w:val="002879CB"/>
    <w:rsid w:val="00294F58"/>
    <w:rsid w:val="00295D80"/>
    <w:rsid w:val="002977E4"/>
    <w:rsid w:val="002A4BAD"/>
    <w:rsid w:val="002D308E"/>
    <w:rsid w:val="002E37E4"/>
    <w:rsid w:val="00306A45"/>
    <w:rsid w:val="00313D89"/>
    <w:rsid w:val="00324A2A"/>
    <w:rsid w:val="0032636C"/>
    <w:rsid w:val="003300CA"/>
    <w:rsid w:val="00335278"/>
    <w:rsid w:val="00335EED"/>
    <w:rsid w:val="003528FA"/>
    <w:rsid w:val="00391E05"/>
    <w:rsid w:val="0039220C"/>
    <w:rsid w:val="003B09E6"/>
    <w:rsid w:val="003C2D1C"/>
    <w:rsid w:val="003C4A57"/>
    <w:rsid w:val="003C5816"/>
    <w:rsid w:val="003D25B6"/>
    <w:rsid w:val="003D56BE"/>
    <w:rsid w:val="003E326B"/>
    <w:rsid w:val="003F48A5"/>
    <w:rsid w:val="004058F4"/>
    <w:rsid w:val="00406F15"/>
    <w:rsid w:val="00412FBD"/>
    <w:rsid w:val="004171AD"/>
    <w:rsid w:val="0042005F"/>
    <w:rsid w:val="00447BD5"/>
    <w:rsid w:val="004508BA"/>
    <w:rsid w:val="0045477C"/>
    <w:rsid w:val="0045492B"/>
    <w:rsid w:val="00464AD6"/>
    <w:rsid w:val="00472E4A"/>
    <w:rsid w:val="00483C58"/>
    <w:rsid w:val="00492800"/>
    <w:rsid w:val="00493D85"/>
    <w:rsid w:val="004B4715"/>
    <w:rsid w:val="004B7AB8"/>
    <w:rsid w:val="004C3804"/>
    <w:rsid w:val="004C6CE1"/>
    <w:rsid w:val="004C7EE2"/>
    <w:rsid w:val="004F23B5"/>
    <w:rsid w:val="00513741"/>
    <w:rsid w:val="00515945"/>
    <w:rsid w:val="00521767"/>
    <w:rsid w:val="00525CBB"/>
    <w:rsid w:val="0056352D"/>
    <w:rsid w:val="0056649C"/>
    <w:rsid w:val="00572248"/>
    <w:rsid w:val="00574B31"/>
    <w:rsid w:val="0058653B"/>
    <w:rsid w:val="00587A1C"/>
    <w:rsid w:val="005A51CF"/>
    <w:rsid w:val="005A5D20"/>
    <w:rsid w:val="005B131D"/>
    <w:rsid w:val="005B6443"/>
    <w:rsid w:val="005C5437"/>
    <w:rsid w:val="005D06BA"/>
    <w:rsid w:val="005E0C1B"/>
    <w:rsid w:val="005E37E1"/>
    <w:rsid w:val="005F2A09"/>
    <w:rsid w:val="00601705"/>
    <w:rsid w:val="00605FDE"/>
    <w:rsid w:val="00627A81"/>
    <w:rsid w:val="00627F11"/>
    <w:rsid w:val="00634D1A"/>
    <w:rsid w:val="0064386C"/>
    <w:rsid w:val="00643E3C"/>
    <w:rsid w:val="006450CC"/>
    <w:rsid w:val="00665F2F"/>
    <w:rsid w:val="00672589"/>
    <w:rsid w:val="00681B87"/>
    <w:rsid w:val="00687939"/>
    <w:rsid w:val="006A3658"/>
    <w:rsid w:val="006A3708"/>
    <w:rsid w:val="006A3ABD"/>
    <w:rsid w:val="006A71B4"/>
    <w:rsid w:val="006B1BC2"/>
    <w:rsid w:val="006D66CD"/>
    <w:rsid w:val="006F3A36"/>
    <w:rsid w:val="006F3FCF"/>
    <w:rsid w:val="007039E7"/>
    <w:rsid w:val="007170B8"/>
    <w:rsid w:val="007334AD"/>
    <w:rsid w:val="00735487"/>
    <w:rsid w:val="007368EA"/>
    <w:rsid w:val="007541A3"/>
    <w:rsid w:val="00754C16"/>
    <w:rsid w:val="00760A37"/>
    <w:rsid w:val="00775BD4"/>
    <w:rsid w:val="007856E1"/>
    <w:rsid w:val="0079022F"/>
    <w:rsid w:val="00791D2F"/>
    <w:rsid w:val="00795256"/>
    <w:rsid w:val="0079565D"/>
    <w:rsid w:val="007A7D46"/>
    <w:rsid w:val="007B37F9"/>
    <w:rsid w:val="007B5B70"/>
    <w:rsid w:val="007C1D4F"/>
    <w:rsid w:val="007C415A"/>
    <w:rsid w:val="007D0A0A"/>
    <w:rsid w:val="007D1A61"/>
    <w:rsid w:val="007D511A"/>
    <w:rsid w:val="007F3808"/>
    <w:rsid w:val="007F64EA"/>
    <w:rsid w:val="0081618E"/>
    <w:rsid w:val="008204DF"/>
    <w:rsid w:val="00836738"/>
    <w:rsid w:val="00840055"/>
    <w:rsid w:val="00843588"/>
    <w:rsid w:val="00845D3E"/>
    <w:rsid w:val="0084729F"/>
    <w:rsid w:val="00852344"/>
    <w:rsid w:val="0085387E"/>
    <w:rsid w:val="00867BB8"/>
    <w:rsid w:val="00870532"/>
    <w:rsid w:val="00873785"/>
    <w:rsid w:val="00885217"/>
    <w:rsid w:val="0088751E"/>
    <w:rsid w:val="0089074F"/>
    <w:rsid w:val="00891B8C"/>
    <w:rsid w:val="008964C2"/>
    <w:rsid w:val="008A188E"/>
    <w:rsid w:val="008A38EA"/>
    <w:rsid w:val="008A5F5F"/>
    <w:rsid w:val="008B3BEC"/>
    <w:rsid w:val="008B68CE"/>
    <w:rsid w:val="008C6678"/>
    <w:rsid w:val="008C6819"/>
    <w:rsid w:val="008D3D14"/>
    <w:rsid w:val="008E1BEB"/>
    <w:rsid w:val="008E3E65"/>
    <w:rsid w:val="008E5CD6"/>
    <w:rsid w:val="008F4D0F"/>
    <w:rsid w:val="00903B68"/>
    <w:rsid w:val="009075E9"/>
    <w:rsid w:val="00916F36"/>
    <w:rsid w:val="009332B3"/>
    <w:rsid w:val="00954F36"/>
    <w:rsid w:val="00982351"/>
    <w:rsid w:val="00984F04"/>
    <w:rsid w:val="00986A83"/>
    <w:rsid w:val="00996986"/>
    <w:rsid w:val="009A3755"/>
    <w:rsid w:val="009B73DC"/>
    <w:rsid w:val="009D1471"/>
    <w:rsid w:val="009F1A92"/>
    <w:rsid w:val="009F680F"/>
    <w:rsid w:val="009F788E"/>
    <w:rsid w:val="009F7C9B"/>
    <w:rsid w:val="00A07353"/>
    <w:rsid w:val="00A1424A"/>
    <w:rsid w:val="00A21244"/>
    <w:rsid w:val="00A46C0B"/>
    <w:rsid w:val="00A51C7A"/>
    <w:rsid w:val="00A5259C"/>
    <w:rsid w:val="00A56F72"/>
    <w:rsid w:val="00A64360"/>
    <w:rsid w:val="00A74E77"/>
    <w:rsid w:val="00A856CE"/>
    <w:rsid w:val="00AA1718"/>
    <w:rsid w:val="00AA663A"/>
    <w:rsid w:val="00AB0258"/>
    <w:rsid w:val="00AB6605"/>
    <w:rsid w:val="00AC6CC7"/>
    <w:rsid w:val="00AD70F6"/>
    <w:rsid w:val="00AE24CE"/>
    <w:rsid w:val="00AF24E8"/>
    <w:rsid w:val="00AF462D"/>
    <w:rsid w:val="00AF6BF2"/>
    <w:rsid w:val="00AF7A78"/>
    <w:rsid w:val="00B00DD9"/>
    <w:rsid w:val="00B11FE7"/>
    <w:rsid w:val="00B175D9"/>
    <w:rsid w:val="00B17EBF"/>
    <w:rsid w:val="00B3095C"/>
    <w:rsid w:val="00B30FBC"/>
    <w:rsid w:val="00B32CC7"/>
    <w:rsid w:val="00B34B0B"/>
    <w:rsid w:val="00B46F0C"/>
    <w:rsid w:val="00B56A90"/>
    <w:rsid w:val="00B57A32"/>
    <w:rsid w:val="00B62888"/>
    <w:rsid w:val="00B711E5"/>
    <w:rsid w:val="00B72767"/>
    <w:rsid w:val="00B7278A"/>
    <w:rsid w:val="00B72C80"/>
    <w:rsid w:val="00B75212"/>
    <w:rsid w:val="00B769D5"/>
    <w:rsid w:val="00B833C1"/>
    <w:rsid w:val="00B91B47"/>
    <w:rsid w:val="00B93FBB"/>
    <w:rsid w:val="00B97DBD"/>
    <w:rsid w:val="00BA09C8"/>
    <w:rsid w:val="00BA3D7C"/>
    <w:rsid w:val="00BA68D6"/>
    <w:rsid w:val="00BC2D8B"/>
    <w:rsid w:val="00BC35AF"/>
    <w:rsid w:val="00BC4CAB"/>
    <w:rsid w:val="00BC553A"/>
    <w:rsid w:val="00BC5C0B"/>
    <w:rsid w:val="00BD1F28"/>
    <w:rsid w:val="00BD5A49"/>
    <w:rsid w:val="00BD7087"/>
    <w:rsid w:val="00BE458C"/>
    <w:rsid w:val="00C03520"/>
    <w:rsid w:val="00C1038B"/>
    <w:rsid w:val="00C16CA5"/>
    <w:rsid w:val="00C258B6"/>
    <w:rsid w:val="00C3783D"/>
    <w:rsid w:val="00C429B0"/>
    <w:rsid w:val="00C444BF"/>
    <w:rsid w:val="00C54097"/>
    <w:rsid w:val="00C55EC5"/>
    <w:rsid w:val="00C57769"/>
    <w:rsid w:val="00C75257"/>
    <w:rsid w:val="00C84704"/>
    <w:rsid w:val="00C90934"/>
    <w:rsid w:val="00C97992"/>
    <w:rsid w:val="00CA6FE3"/>
    <w:rsid w:val="00CB28EA"/>
    <w:rsid w:val="00CC1C58"/>
    <w:rsid w:val="00CC7D1D"/>
    <w:rsid w:val="00CE07DD"/>
    <w:rsid w:val="00CE1520"/>
    <w:rsid w:val="00CE2162"/>
    <w:rsid w:val="00CF279A"/>
    <w:rsid w:val="00CF37A6"/>
    <w:rsid w:val="00CF3807"/>
    <w:rsid w:val="00D10EBC"/>
    <w:rsid w:val="00D10FE2"/>
    <w:rsid w:val="00D27520"/>
    <w:rsid w:val="00D5502E"/>
    <w:rsid w:val="00D635B9"/>
    <w:rsid w:val="00D7771E"/>
    <w:rsid w:val="00D97E46"/>
    <w:rsid w:val="00DA79C8"/>
    <w:rsid w:val="00DB550A"/>
    <w:rsid w:val="00DC41E5"/>
    <w:rsid w:val="00DF1712"/>
    <w:rsid w:val="00DF662F"/>
    <w:rsid w:val="00E07ACF"/>
    <w:rsid w:val="00E46256"/>
    <w:rsid w:val="00E506E4"/>
    <w:rsid w:val="00E5238A"/>
    <w:rsid w:val="00E70935"/>
    <w:rsid w:val="00E94C9D"/>
    <w:rsid w:val="00EA2F3B"/>
    <w:rsid w:val="00EA5F40"/>
    <w:rsid w:val="00EB77A3"/>
    <w:rsid w:val="00EC5805"/>
    <w:rsid w:val="00ED1FCA"/>
    <w:rsid w:val="00ED35B2"/>
    <w:rsid w:val="00EE4502"/>
    <w:rsid w:val="00EF556B"/>
    <w:rsid w:val="00F031F6"/>
    <w:rsid w:val="00F10A26"/>
    <w:rsid w:val="00F11EC8"/>
    <w:rsid w:val="00F25FB7"/>
    <w:rsid w:val="00F34FE0"/>
    <w:rsid w:val="00F37BC8"/>
    <w:rsid w:val="00F50451"/>
    <w:rsid w:val="00F56297"/>
    <w:rsid w:val="00F83BC7"/>
    <w:rsid w:val="00F9562E"/>
    <w:rsid w:val="00FA2BAA"/>
    <w:rsid w:val="00FC4607"/>
    <w:rsid w:val="00FD170F"/>
    <w:rsid w:val="00FD2824"/>
    <w:rsid w:val="00FD32AC"/>
    <w:rsid w:val="00FD37EA"/>
    <w:rsid w:val="00FE25D2"/>
    <w:rsid w:val="00FF2030"/>
    <w:rsid w:val="00FF233A"/>
    <w:rsid w:val="00FF69CD"/>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CCC9B1-4E24-432C-87AF-D74873B6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BA"/>
    <w:pPr>
      <w:ind w:left="720"/>
      <w:contextualSpacing/>
    </w:pPr>
  </w:style>
  <w:style w:type="paragraph" w:customStyle="1" w:styleId="bullet">
    <w:name w:val="bullet"/>
    <w:basedOn w:val="Normal"/>
    <w:rsid w:val="008A5F5F"/>
    <w:pPr>
      <w:spacing w:before="45" w:after="45" w:afterAutospacing="1" w:line="240" w:lineRule="auto"/>
      <w:ind w:left="1290" w:hanging="585"/>
    </w:pPr>
    <w:rPr>
      <w:rFonts w:ascii="Arial" w:eastAsia="Arial" w:hAnsi="Arial" w:cs="Arial"/>
      <w:color w:val="000000"/>
      <w:sz w:val="18"/>
      <w:szCs w:val="24"/>
      <w:lang w:val="en-CA" w:eastAsia="en-CA"/>
    </w:rPr>
  </w:style>
  <w:style w:type="paragraph" w:styleId="Title">
    <w:name w:val="Title"/>
    <w:basedOn w:val="Normal"/>
    <w:next w:val="Normal"/>
    <w:link w:val="TitleChar"/>
    <w:uiPriority w:val="10"/>
    <w:qFormat/>
    <w:rsid w:val="009332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32B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A3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8EA"/>
    <w:rPr>
      <w:rFonts w:ascii="Tahoma" w:hAnsi="Tahoma" w:cs="Tahoma"/>
      <w:sz w:val="16"/>
      <w:szCs w:val="16"/>
    </w:rPr>
  </w:style>
  <w:style w:type="table" w:styleId="TableGrid">
    <w:name w:val="Table Grid"/>
    <w:basedOn w:val="TableNormal"/>
    <w:uiPriority w:val="59"/>
    <w:rsid w:val="00294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C135C"/>
    <w:pPr>
      <w:spacing w:after="0" w:line="240" w:lineRule="auto"/>
    </w:pPr>
  </w:style>
  <w:style w:type="paragraph" w:styleId="Header">
    <w:name w:val="header"/>
    <w:basedOn w:val="Normal"/>
    <w:link w:val="HeaderChar"/>
    <w:uiPriority w:val="99"/>
    <w:unhideWhenUsed/>
    <w:rsid w:val="00AF24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4E8"/>
  </w:style>
  <w:style w:type="paragraph" w:styleId="Footer">
    <w:name w:val="footer"/>
    <w:basedOn w:val="Normal"/>
    <w:link w:val="FooterChar"/>
    <w:uiPriority w:val="99"/>
    <w:unhideWhenUsed/>
    <w:rsid w:val="00AF24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4E8"/>
  </w:style>
  <w:style w:type="character" w:styleId="CommentReference">
    <w:name w:val="annotation reference"/>
    <w:basedOn w:val="DefaultParagraphFont"/>
    <w:uiPriority w:val="99"/>
    <w:semiHidden/>
    <w:unhideWhenUsed/>
    <w:rsid w:val="00C54097"/>
    <w:rPr>
      <w:sz w:val="16"/>
      <w:szCs w:val="16"/>
    </w:rPr>
  </w:style>
  <w:style w:type="paragraph" w:styleId="CommentText">
    <w:name w:val="annotation text"/>
    <w:basedOn w:val="Normal"/>
    <w:link w:val="CommentTextChar"/>
    <w:uiPriority w:val="99"/>
    <w:semiHidden/>
    <w:unhideWhenUsed/>
    <w:rsid w:val="00C54097"/>
    <w:pPr>
      <w:spacing w:line="240" w:lineRule="auto"/>
    </w:pPr>
    <w:rPr>
      <w:sz w:val="20"/>
      <w:szCs w:val="20"/>
    </w:rPr>
  </w:style>
  <w:style w:type="character" w:customStyle="1" w:styleId="CommentTextChar">
    <w:name w:val="Comment Text Char"/>
    <w:basedOn w:val="DefaultParagraphFont"/>
    <w:link w:val="CommentText"/>
    <w:uiPriority w:val="99"/>
    <w:semiHidden/>
    <w:rsid w:val="00C54097"/>
    <w:rPr>
      <w:sz w:val="20"/>
      <w:szCs w:val="20"/>
    </w:rPr>
  </w:style>
  <w:style w:type="paragraph" w:styleId="CommentSubject">
    <w:name w:val="annotation subject"/>
    <w:basedOn w:val="CommentText"/>
    <w:next w:val="CommentText"/>
    <w:link w:val="CommentSubjectChar"/>
    <w:uiPriority w:val="99"/>
    <w:semiHidden/>
    <w:unhideWhenUsed/>
    <w:rsid w:val="00C54097"/>
    <w:rPr>
      <w:b/>
      <w:bCs/>
    </w:rPr>
  </w:style>
  <w:style w:type="character" w:customStyle="1" w:styleId="CommentSubjectChar">
    <w:name w:val="Comment Subject Char"/>
    <w:basedOn w:val="CommentTextChar"/>
    <w:link w:val="CommentSubject"/>
    <w:uiPriority w:val="99"/>
    <w:semiHidden/>
    <w:rsid w:val="00C540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6071">
      <w:bodyDiv w:val="1"/>
      <w:marLeft w:val="0"/>
      <w:marRight w:val="0"/>
      <w:marTop w:val="0"/>
      <w:marBottom w:val="0"/>
      <w:divBdr>
        <w:top w:val="none" w:sz="0" w:space="0" w:color="auto"/>
        <w:left w:val="none" w:sz="0" w:space="0" w:color="auto"/>
        <w:bottom w:val="none" w:sz="0" w:space="0" w:color="auto"/>
        <w:right w:val="none" w:sz="0" w:space="0" w:color="auto"/>
      </w:divBdr>
    </w:div>
    <w:div w:id="70739539">
      <w:bodyDiv w:val="1"/>
      <w:marLeft w:val="0"/>
      <w:marRight w:val="0"/>
      <w:marTop w:val="0"/>
      <w:marBottom w:val="0"/>
      <w:divBdr>
        <w:top w:val="none" w:sz="0" w:space="0" w:color="auto"/>
        <w:left w:val="none" w:sz="0" w:space="0" w:color="auto"/>
        <w:bottom w:val="none" w:sz="0" w:space="0" w:color="auto"/>
        <w:right w:val="none" w:sz="0" w:space="0" w:color="auto"/>
      </w:divBdr>
    </w:div>
    <w:div w:id="77220242">
      <w:bodyDiv w:val="1"/>
      <w:marLeft w:val="0"/>
      <w:marRight w:val="0"/>
      <w:marTop w:val="0"/>
      <w:marBottom w:val="0"/>
      <w:divBdr>
        <w:top w:val="none" w:sz="0" w:space="0" w:color="auto"/>
        <w:left w:val="none" w:sz="0" w:space="0" w:color="auto"/>
        <w:bottom w:val="none" w:sz="0" w:space="0" w:color="auto"/>
        <w:right w:val="none" w:sz="0" w:space="0" w:color="auto"/>
      </w:divBdr>
    </w:div>
    <w:div w:id="151218052">
      <w:bodyDiv w:val="1"/>
      <w:marLeft w:val="0"/>
      <w:marRight w:val="0"/>
      <w:marTop w:val="0"/>
      <w:marBottom w:val="0"/>
      <w:divBdr>
        <w:top w:val="none" w:sz="0" w:space="0" w:color="auto"/>
        <w:left w:val="none" w:sz="0" w:space="0" w:color="auto"/>
        <w:bottom w:val="none" w:sz="0" w:space="0" w:color="auto"/>
        <w:right w:val="none" w:sz="0" w:space="0" w:color="auto"/>
      </w:divBdr>
    </w:div>
    <w:div w:id="189102328">
      <w:bodyDiv w:val="1"/>
      <w:marLeft w:val="0"/>
      <w:marRight w:val="0"/>
      <w:marTop w:val="0"/>
      <w:marBottom w:val="0"/>
      <w:divBdr>
        <w:top w:val="none" w:sz="0" w:space="0" w:color="auto"/>
        <w:left w:val="none" w:sz="0" w:space="0" w:color="auto"/>
        <w:bottom w:val="none" w:sz="0" w:space="0" w:color="auto"/>
        <w:right w:val="none" w:sz="0" w:space="0" w:color="auto"/>
      </w:divBdr>
    </w:div>
    <w:div w:id="195507532">
      <w:bodyDiv w:val="1"/>
      <w:marLeft w:val="0"/>
      <w:marRight w:val="0"/>
      <w:marTop w:val="0"/>
      <w:marBottom w:val="0"/>
      <w:divBdr>
        <w:top w:val="none" w:sz="0" w:space="0" w:color="auto"/>
        <w:left w:val="none" w:sz="0" w:space="0" w:color="auto"/>
        <w:bottom w:val="none" w:sz="0" w:space="0" w:color="auto"/>
        <w:right w:val="none" w:sz="0" w:space="0" w:color="auto"/>
      </w:divBdr>
    </w:div>
    <w:div w:id="208953392">
      <w:bodyDiv w:val="1"/>
      <w:marLeft w:val="0"/>
      <w:marRight w:val="0"/>
      <w:marTop w:val="0"/>
      <w:marBottom w:val="0"/>
      <w:divBdr>
        <w:top w:val="none" w:sz="0" w:space="0" w:color="auto"/>
        <w:left w:val="none" w:sz="0" w:space="0" w:color="auto"/>
        <w:bottom w:val="none" w:sz="0" w:space="0" w:color="auto"/>
        <w:right w:val="none" w:sz="0" w:space="0" w:color="auto"/>
      </w:divBdr>
    </w:div>
    <w:div w:id="209538650">
      <w:bodyDiv w:val="1"/>
      <w:marLeft w:val="0"/>
      <w:marRight w:val="0"/>
      <w:marTop w:val="0"/>
      <w:marBottom w:val="0"/>
      <w:divBdr>
        <w:top w:val="none" w:sz="0" w:space="0" w:color="auto"/>
        <w:left w:val="none" w:sz="0" w:space="0" w:color="auto"/>
        <w:bottom w:val="none" w:sz="0" w:space="0" w:color="auto"/>
        <w:right w:val="none" w:sz="0" w:space="0" w:color="auto"/>
      </w:divBdr>
    </w:div>
    <w:div w:id="224681118">
      <w:bodyDiv w:val="1"/>
      <w:marLeft w:val="0"/>
      <w:marRight w:val="0"/>
      <w:marTop w:val="0"/>
      <w:marBottom w:val="0"/>
      <w:divBdr>
        <w:top w:val="none" w:sz="0" w:space="0" w:color="auto"/>
        <w:left w:val="none" w:sz="0" w:space="0" w:color="auto"/>
        <w:bottom w:val="none" w:sz="0" w:space="0" w:color="auto"/>
        <w:right w:val="none" w:sz="0" w:space="0" w:color="auto"/>
      </w:divBdr>
    </w:div>
    <w:div w:id="302539159">
      <w:bodyDiv w:val="1"/>
      <w:marLeft w:val="0"/>
      <w:marRight w:val="0"/>
      <w:marTop w:val="0"/>
      <w:marBottom w:val="0"/>
      <w:divBdr>
        <w:top w:val="none" w:sz="0" w:space="0" w:color="auto"/>
        <w:left w:val="none" w:sz="0" w:space="0" w:color="auto"/>
        <w:bottom w:val="none" w:sz="0" w:space="0" w:color="auto"/>
        <w:right w:val="none" w:sz="0" w:space="0" w:color="auto"/>
      </w:divBdr>
    </w:div>
    <w:div w:id="331690933">
      <w:bodyDiv w:val="1"/>
      <w:marLeft w:val="0"/>
      <w:marRight w:val="0"/>
      <w:marTop w:val="0"/>
      <w:marBottom w:val="0"/>
      <w:divBdr>
        <w:top w:val="none" w:sz="0" w:space="0" w:color="auto"/>
        <w:left w:val="none" w:sz="0" w:space="0" w:color="auto"/>
        <w:bottom w:val="none" w:sz="0" w:space="0" w:color="auto"/>
        <w:right w:val="none" w:sz="0" w:space="0" w:color="auto"/>
      </w:divBdr>
    </w:div>
    <w:div w:id="334960296">
      <w:bodyDiv w:val="1"/>
      <w:marLeft w:val="0"/>
      <w:marRight w:val="0"/>
      <w:marTop w:val="0"/>
      <w:marBottom w:val="0"/>
      <w:divBdr>
        <w:top w:val="none" w:sz="0" w:space="0" w:color="auto"/>
        <w:left w:val="none" w:sz="0" w:space="0" w:color="auto"/>
        <w:bottom w:val="none" w:sz="0" w:space="0" w:color="auto"/>
        <w:right w:val="none" w:sz="0" w:space="0" w:color="auto"/>
      </w:divBdr>
    </w:div>
    <w:div w:id="344015391">
      <w:bodyDiv w:val="1"/>
      <w:marLeft w:val="0"/>
      <w:marRight w:val="0"/>
      <w:marTop w:val="0"/>
      <w:marBottom w:val="0"/>
      <w:divBdr>
        <w:top w:val="none" w:sz="0" w:space="0" w:color="auto"/>
        <w:left w:val="none" w:sz="0" w:space="0" w:color="auto"/>
        <w:bottom w:val="none" w:sz="0" w:space="0" w:color="auto"/>
        <w:right w:val="none" w:sz="0" w:space="0" w:color="auto"/>
      </w:divBdr>
    </w:div>
    <w:div w:id="362680518">
      <w:bodyDiv w:val="1"/>
      <w:marLeft w:val="0"/>
      <w:marRight w:val="0"/>
      <w:marTop w:val="0"/>
      <w:marBottom w:val="0"/>
      <w:divBdr>
        <w:top w:val="none" w:sz="0" w:space="0" w:color="auto"/>
        <w:left w:val="none" w:sz="0" w:space="0" w:color="auto"/>
        <w:bottom w:val="none" w:sz="0" w:space="0" w:color="auto"/>
        <w:right w:val="none" w:sz="0" w:space="0" w:color="auto"/>
      </w:divBdr>
    </w:div>
    <w:div w:id="399251616">
      <w:bodyDiv w:val="1"/>
      <w:marLeft w:val="0"/>
      <w:marRight w:val="0"/>
      <w:marTop w:val="0"/>
      <w:marBottom w:val="0"/>
      <w:divBdr>
        <w:top w:val="none" w:sz="0" w:space="0" w:color="auto"/>
        <w:left w:val="none" w:sz="0" w:space="0" w:color="auto"/>
        <w:bottom w:val="none" w:sz="0" w:space="0" w:color="auto"/>
        <w:right w:val="none" w:sz="0" w:space="0" w:color="auto"/>
      </w:divBdr>
    </w:div>
    <w:div w:id="411244592">
      <w:bodyDiv w:val="1"/>
      <w:marLeft w:val="0"/>
      <w:marRight w:val="0"/>
      <w:marTop w:val="0"/>
      <w:marBottom w:val="0"/>
      <w:divBdr>
        <w:top w:val="none" w:sz="0" w:space="0" w:color="auto"/>
        <w:left w:val="none" w:sz="0" w:space="0" w:color="auto"/>
        <w:bottom w:val="none" w:sz="0" w:space="0" w:color="auto"/>
        <w:right w:val="none" w:sz="0" w:space="0" w:color="auto"/>
      </w:divBdr>
    </w:div>
    <w:div w:id="562716672">
      <w:bodyDiv w:val="1"/>
      <w:marLeft w:val="0"/>
      <w:marRight w:val="0"/>
      <w:marTop w:val="0"/>
      <w:marBottom w:val="0"/>
      <w:divBdr>
        <w:top w:val="none" w:sz="0" w:space="0" w:color="auto"/>
        <w:left w:val="none" w:sz="0" w:space="0" w:color="auto"/>
        <w:bottom w:val="none" w:sz="0" w:space="0" w:color="auto"/>
        <w:right w:val="none" w:sz="0" w:space="0" w:color="auto"/>
      </w:divBdr>
    </w:div>
    <w:div w:id="622075359">
      <w:bodyDiv w:val="1"/>
      <w:marLeft w:val="0"/>
      <w:marRight w:val="0"/>
      <w:marTop w:val="0"/>
      <w:marBottom w:val="0"/>
      <w:divBdr>
        <w:top w:val="none" w:sz="0" w:space="0" w:color="auto"/>
        <w:left w:val="none" w:sz="0" w:space="0" w:color="auto"/>
        <w:bottom w:val="none" w:sz="0" w:space="0" w:color="auto"/>
        <w:right w:val="none" w:sz="0" w:space="0" w:color="auto"/>
      </w:divBdr>
    </w:div>
    <w:div w:id="633564457">
      <w:bodyDiv w:val="1"/>
      <w:marLeft w:val="0"/>
      <w:marRight w:val="0"/>
      <w:marTop w:val="0"/>
      <w:marBottom w:val="0"/>
      <w:divBdr>
        <w:top w:val="none" w:sz="0" w:space="0" w:color="auto"/>
        <w:left w:val="none" w:sz="0" w:space="0" w:color="auto"/>
        <w:bottom w:val="none" w:sz="0" w:space="0" w:color="auto"/>
        <w:right w:val="none" w:sz="0" w:space="0" w:color="auto"/>
      </w:divBdr>
    </w:div>
    <w:div w:id="663321651">
      <w:bodyDiv w:val="1"/>
      <w:marLeft w:val="0"/>
      <w:marRight w:val="0"/>
      <w:marTop w:val="0"/>
      <w:marBottom w:val="0"/>
      <w:divBdr>
        <w:top w:val="none" w:sz="0" w:space="0" w:color="auto"/>
        <w:left w:val="none" w:sz="0" w:space="0" w:color="auto"/>
        <w:bottom w:val="none" w:sz="0" w:space="0" w:color="auto"/>
        <w:right w:val="none" w:sz="0" w:space="0" w:color="auto"/>
      </w:divBdr>
    </w:div>
    <w:div w:id="669648806">
      <w:bodyDiv w:val="1"/>
      <w:marLeft w:val="0"/>
      <w:marRight w:val="0"/>
      <w:marTop w:val="0"/>
      <w:marBottom w:val="0"/>
      <w:divBdr>
        <w:top w:val="none" w:sz="0" w:space="0" w:color="auto"/>
        <w:left w:val="none" w:sz="0" w:space="0" w:color="auto"/>
        <w:bottom w:val="none" w:sz="0" w:space="0" w:color="auto"/>
        <w:right w:val="none" w:sz="0" w:space="0" w:color="auto"/>
      </w:divBdr>
    </w:div>
    <w:div w:id="730273414">
      <w:bodyDiv w:val="1"/>
      <w:marLeft w:val="0"/>
      <w:marRight w:val="0"/>
      <w:marTop w:val="0"/>
      <w:marBottom w:val="0"/>
      <w:divBdr>
        <w:top w:val="none" w:sz="0" w:space="0" w:color="auto"/>
        <w:left w:val="none" w:sz="0" w:space="0" w:color="auto"/>
        <w:bottom w:val="none" w:sz="0" w:space="0" w:color="auto"/>
        <w:right w:val="none" w:sz="0" w:space="0" w:color="auto"/>
      </w:divBdr>
    </w:div>
    <w:div w:id="791940495">
      <w:bodyDiv w:val="1"/>
      <w:marLeft w:val="0"/>
      <w:marRight w:val="0"/>
      <w:marTop w:val="0"/>
      <w:marBottom w:val="0"/>
      <w:divBdr>
        <w:top w:val="none" w:sz="0" w:space="0" w:color="auto"/>
        <w:left w:val="none" w:sz="0" w:space="0" w:color="auto"/>
        <w:bottom w:val="none" w:sz="0" w:space="0" w:color="auto"/>
        <w:right w:val="none" w:sz="0" w:space="0" w:color="auto"/>
      </w:divBdr>
    </w:div>
    <w:div w:id="849833533">
      <w:bodyDiv w:val="1"/>
      <w:marLeft w:val="0"/>
      <w:marRight w:val="0"/>
      <w:marTop w:val="0"/>
      <w:marBottom w:val="0"/>
      <w:divBdr>
        <w:top w:val="none" w:sz="0" w:space="0" w:color="auto"/>
        <w:left w:val="none" w:sz="0" w:space="0" w:color="auto"/>
        <w:bottom w:val="none" w:sz="0" w:space="0" w:color="auto"/>
        <w:right w:val="none" w:sz="0" w:space="0" w:color="auto"/>
      </w:divBdr>
    </w:div>
    <w:div w:id="864560146">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939684244">
      <w:bodyDiv w:val="1"/>
      <w:marLeft w:val="0"/>
      <w:marRight w:val="0"/>
      <w:marTop w:val="0"/>
      <w:marBottom w:val="0"/>
      <w:divBdr>
        <w:top w:val="none" w:sz="0" w:space="0" w:color="auto"/>
        <w:left w:val="none" w:sz="0" w:space="0" w:color="auto"/>
        <w:bottom w:val="none" w:sz="0" w:space="0" w:color="auto"/>
        <w:right w:val="none" w:sz="0" w:space="0" w:color="auto"/>
      </w:divBdr>
    </w:div>
    <w:div w:id="1029717487">
      <w:bodyDiv w:val="1"/>
      <w:marLeft w:val="0"/>
      <w:marRight w:val="0"/>
      <w:marTop w:val="0"/>
      <w:marBottom w:val="0"/>
      <w:divBdr>
        <w:top w:val="none" w:sz="0" w:space="0" w:color="auto"/>
        <w:left w:val="none" w:sz="0" w:space="0" w:color="auto"/>
        <w:bottom w:val="none" w:sz="0" w:space="0" w:color="auto"/>
        <w:right w:val="none" w:sz="0" w:space="0" w:color="auto"/>
      </w:divBdr>
    </w:div>
    <w:div w:id="1055398305">
      <w:bodyDiv w:val="1"/>
      <w:marLeft w:val="0"/>
      <w:marRight w:val="0"/>
      <w:marTop w:val="0"/>
      <w:marBottom w:val="0"/>
      <w:divBdr>
        <w:top w:val="none" w:sz="0" w:space="0" w:color="auto"/>
        <w:left w:val="none" w:sz="0" w:space="0" w:color="auto"/>
        <w:bottom w:val="none" w:sz="0" w:space="0" w:color="auto"/>
        <w:right w:val="none" w:sz="0" w:space="0" w:color="auto"/>
      </w:divBdr>
    </w:div>
    <w:div w:id="1072509258">
      <w:bodyDiv w:val="1"/>
      <w:marLeft w:val="0"/>
      <w:marRight w:val="0"/>
      <w:marTop w:val="0"/>
      <w:marBottom w:val="0"/>
      <w:divBdr>
        <w:top w:val="none" w:sz="0" w:space="0" w:color="auto"/>
        <w:left w:val="none" w:sz="0" w:space="0" w:color="auto"/>
        <w:bottom w:val="none" w:sz="0" w:space="0" w:color="auto"/>
        <w:right w:val="none" w:sz="0" w:space="0" w:color="auto"/>
      </w:divBdr>
    </w:div>
    <w:div w:id="1082067611">
      <w:bodyDiv w:val="1"/>
      <w:marLeft w:val="0"/>
      <w:marRight w:val="0"/>
      <w:marTop w:val="0"/>
      <w:marBottom w:val="0"/>
      <w:divBdr>
        <w:top w:val="none" w:sz="0" w:space="0" w:color="auto"/>
        <w:left w:val="none" w:sz="0" w:space="0" w:color="auto"/>
        <w:bottom w:val="none" w:sz="0" w:space="0" w:color="auto"/>
        <w:right w:val="none" w:sz="0" w:space="0" w:color="auto"/>
      </w:divBdr>
    </w:div>
    <w:div w:id="1188447619">
      <w:bodyDiv w:val="1"/>
      <w:marLeft w:val="0"/>
      <w:marRight w:val="0"/>
      <w:marTop w:val="0"/>
      <w:marBottom w:val="0"/>
      <w:divBdr>
        <w:top w:val="none" w:sz="0" w:space="0" w:color="auto"/>
        <w:left w:val="none" w:sz="0" w:space="0" w:color="auto"/>
        <w:bottom w:val="none" w:sz="0" w:space="0" w:color="auto"/>
        <w:right w:val="none" w:sz="0" w:space="0" w:color="auto"/>
      </w:divBdr>
    </w:div>
    <w:div w:id="1217549843">
      <w:bodyDiv w:val="1"/>
      <w:marLeft w:val="0"/>
      <w:marRight w:val="0"/>
      <w:marTop w:val="0"/>
      <w:marBottom w:val="0"/>
      <w:divBdr>
        <w:top w:val="none" w:sz="0" w:space="0" w:color="auto"/>
        <w:left w:val="none" w:sz="0" w:space="0" w:color="auto"/>
        <w:bottom w:val="none" w:sz="0" w:space="0" w:color="auto"/>
        <w:right w:val="none" w:sz="0" w:space="0" w:color="auto"/>
      </w:divBdr>
    </w:div>
    <w:div w:id="1250431943">
      <w:bodyDiv w:val="1"/>
      <w:marLeft w:val="0"/>
      <w:marRight w:val="0"/>
      <w:marTop w:val="0"/>
      <w:marBottom w:val="0"/>
      <w:divBdr>
        <w:top w:val="none" w:sz="0" w:space="0" w:color="auto"/>
        <w:left w:val="none" w:sz="0" w:space="0" w:color="auto"/>
        <w:bottom w:val="none" w:sz="0" w:space="0" w:color="auto"/>
        <w:right w:val="none" w:sz="0" w:space="0" w:color="auto"/>
      </w:divBdr>
    </w:div>
    <w:div w:id="1262834243">
      <w:bodyDiv w:val="1"/>
      <w:marLeft w:val="0"/>
      <w:marRight w:val="0"/>
      <w:marTop w:val="0"/>
      <w:marBottom w:val="0"/>
      <w:divBdr>
        <w:top w:val="none" w:sz="0" w:space="0" w:color="auto"/>
        <w:left w:val="none" w:sz="0" w:space="0" w:color="auto"/>
        <w:bottom w:val="none" w:sz="0" w:space="0" w:color="auto"/>
        <w:right w:val="none" w:sz="0" w:space="0" w:color="auto"/>
      </w:divBdr>
    </w:div>
    <w:div w:id="1268154323">
      <w:bodyDiv w:val="1"/>
      <w:marLeft w:val="0"/>
      <w:marRight w:val="0"/>
      <w:marTop w:val="0"/>
      <w:marBottom w:val="0"/>
      <w:divBdr>
        <w:top w:val="none" w:sz="0" w:space="0" w:color="auto"/>
        <w:left w:val="none" w:sz="0" w:space="0" w:color="auto"/>
        <w:bottom w:val="none" w:sz="0" w:space="0" w:color="auto"/>
        <w:right w:val="none" w:sz="0" w:space="0" w:color="auto"/>
      </w:divBdr>
    </w:div>
    <w:div w:id="1275164026">
      <w:bodyDiv w:val="1"/>
      <w:marLeft w:val="0"/>
      <w:marRight w:val="0"/>
      <w:marTop w:val="0"/>
      <w:marBottom w:val="0"/>
      <w:divBdr>
        <w:top w:val="none" w:sz="0" w:space="0" w:color="auto"/>
        <w:left w:val="none" w:sz="0" w:space="0" w:color="auto"/>
        <w:bottom w:val="none" w:sz="0" w:space="0" w:color="auto"/>
        <w:right w:val="none" w:sz="0" w:space="0" w:color="auto"/>
      </w:divBdr>
    </w:div>
    <w:div w:id="1277520038">
      <w:bodyDiv w:val="1"/>
      <w:marLeft w:val="0"/>
      <w:marRight w:val="0"/>
      <w:marTop w:val="0"/>
      <w:marBottom w:val="0"/>
      <w:divBdr>
        <w:top w:val="none" w:sz="0" w:space="0" w:color="auto"/>
        <w:left w:val="none" w:sz="0" w:space="0" w:color="auto"/>
        <w:bottom w:val="none" w:sz="0" w:space="0" w:color="auto"/>
        <w:right w:val="none" w:sz="0" w:space="0" w:color="auto"/>
      </w:divBdr>
    </w:div>
    <w:div w:id="1302347033">
      <w:bodyDiv w:val="1"/>
      <w:marLeft w:val="0"/>
      <w:marRight w:val="0"/>
      <w:marTop w:val="0"/>
      <w:marBottom w:val="0"/>
      <w:divBdr>
        <w:top w:val="none" w:sz="0" w:space="0" w:color="auto"/>
        <w:left w:val="none" w:sz="0" w:space="0" w:color="auto"/>
        <w:bottom w:val="none" w:sz="0" w:space="0" w:color="auto"/>
        <w:right w:val="none" w:sz="0" w:space="0" w:color="auto"/>
      </w:divBdr>
    </w:div>
    <w:div w:id="1453747539">
      <w:bodyDiv w:val="1"/>
      <w:marLeft w:val="0"/>
      <w:marRight w:val="0"/>
      <w:marTop w:val="0"/>
      <w:marBottom w:val="0"/>
      <w:divBdr>
        <w:top w:val="none" w:sz="0" w:space="0" w:color="auto"/>
        <w:left w:val="none" w:sz="0" w:space="0" w:color="auto"/>
        <w:bottom w:val="none" w:sz="0" w:space="0" w:color="auto"/>
        <w:right w:val="none" w:sz="0" w:space="0" w:color="auto"/>
      </w:divBdr>
    </w:div>
    <w:div w:id="1461344697">
      <w:bodyDiv w:val="1"/>
      <w:marLeft w:val="0"/>
      <w:marRight w:val="0"/>
      <w:marTop w:val="0"/>
      <w:marBottom w:val="0"/>
      <w:divBdr>
        <w:top w:val="none" w:sz="0" w:space="0" w:color="auto"/>
        <w:left w:val="none" w:sz="0" w:space="0" w:color="auto"/>
        <w:bottom w:val="none" w:sz="0" w:space="0" w:color="auto"/>
        <w:right w:val="none" w:sz="0" w:space="0" w:color="auto"/>
      </w:divBdr>
    </w:div>
    <w:div w:id="1482233426">
      <w:bodyDiv w:val="1"/>
      <w:marLeft w:val="0"/>
      <w:marRight w:val="0"/>
      <w:marTop w:val="0"/>
      <w:marBottom w:val="0"/>
      <w:divBdr>
        <w:top w:val="none" w:sz="0" w:space="0" w:color="auto"/>
        <w:left w:val="none" w:sz="0" w:space="0" w:color="auto"/>
        <w:bottom w:val="none" w:sz="0" w:space="0" w:color="auto"/>
        <w:right w:val="none" w:sz="0" w:space="0" w:color="auto"/>
      </w:divBdr>
    </w:div>
    <w:div w:id="1485463409">
      <w:bodyDiv w:val="1"/>
      <w:marLeft w:val="0"/>
      <w:marRight w:val="0"/>
      <w:marTop w:val="0"/>
      <w:marBottom w:val="0"/>
      <w:divBdr>
        <w:top w:val="none" w:sz="0" w:space="0" w:color="auto"/>
        <w:left w:val="none" w:sz="0" w:space="0" w:color="auto"/>
        <w:bottom w:val="none" w:sz="0" w:space="0" w:color="auto"/>
        <w:right w:val="none" w:sz="0" w:space="0" w:color="auto"/>
      </w:divBdr>
    </w:div>
    <w:div w:id="1487429063">
      <w:bodyDiv w:val="1"/>
      <w:marLeft w:val="0"/>
      <w:marRight w:val="0"/>
      <w:marTop w:val="0"/>
      <w:marBottom w:val="0"/>
      <w:divBdr>
        <w:top w:val="none" w:sz="0" w:space="0" w:color="auto"/>
        <w:left w:val="none" w:sz="0" w:space="0" w:color="auto"/>
        <w:bottom w:val="none" w:sz="0" w:space="0" w:color="auto"/>
        <w:right w:val="none" w:sz="0" w:space="0" w:color="auto"/>
      </w:divBdr>
    </w:div>
    <w:div w:id="1518153815">
      <w:bodyDiv w:val="1"/>
      <w:marLeft w:val="0"/>
      <w:marRight w:val="0"/>
      <w:marTop w:val="0"/>
      <w:marBottom w:val="0"/>
      <w:divBdr>
        <w:top w:val="none" w:sz="0" w:space="0" w:color="auto"/>
        <w:left w:val="none" w:sz="0" w:space="0" w:color="auto"/>
        <w:bottom w:val="none" w:sz="0" w:space="0" w:color="auto"/>
        <w:right w:val="none" w:sz="0" w:space="0" w:color="auto"/>
      </w:divBdr>
    </w:div>
    <w:div w:id="1524706589">
      <w:bodyDiv w:val="1"/>
      <w:marLeft w:val="0"/>
      <w:marRight w:val="0"/>
      <w:marTop w:val="0"/>
      <w:marBottom w:val="0"/>
      <w:divBdr>
        <w:top w:val="none" w:sz="0" w:space="0" w:color="auto"/>
        <w:left w:val="none" w:sz="0" w:space="0" w:color="auto"/>
        <w:bottom w:val="none" w:sz="0" w:space="0" w:color="auto"/>
        <w:right w:val="none" w:sz="0" w:space="0" w:color="auto"/>
      </w:divBdr>
    </w:div>
    <w:div w:id="1554006767">
      <w:bodyDiv w:val="1"/>
      <w:marLeft w:val="0"/>
      <w:marRight w:val="0"/>
      <w:marTop w:val="0"/>
      <w:marBottom w:val="0"/>
      <w:divBdr>
        <w:top w:val="none" w:sz="0" w:space="0" w:color="auto"/>
        <w:left w:val="none" w:sz="0" w:space="0" w:color="auto"/>
        <w:bottom w:val="none" w:sz="0" w:space="0" w:color="auto"/>
        <w:right w:val="none" w:sz="0" w:space="0" w:color="auto"/>
      </w:divBdr>
    </w:div>
    <w:div w:id="1607155333">
      <w:bodyDiv w:val="1"/>
      <w:marLeft w:val="0"/>
      <w:marRight w:val="0"/>
      <w:marTop w:val="0"/>
      <w:marBottom w:val="0"/>
      <w:divBdr>
        <w:top w:val="none" w:sz="0" w:space="0" w:color="auto"/>
        <w:left w:val="none" w:sz="0" w:space="0" w:color="auto"/>
        <w:bottom w:val="none" w:sz="0" w:space="0" w:color="auto"/>
        <w:right w:val="none" w:sz="0" w:space="0" w:color="auto"/>
      </w:divBdr>
    </w:div>
    <w:div w:id="1631739958">
      <w:bodyDiv w:val="1"/>
      <w:marLeft w:val="0"/>
      <w:marRight w:val="0"/>
      <w:marTop w:val="0"/>
      <w:marBottom w:val="0"/>
      <w:divBdr>
        <w:top w:val="none" w:sz="0" w:space="0" w:color="auto"/>
        <w:left w:val="none" w:sz="0" w:space="0" w:color="auto"/>
        <w:bottom w:val="none" w:sz="0" w:space="0" w:color="auto"/>
        <w:right w:val="none" w:sz="0" w:space="0" w:color="auto"/>
      </w:divBdr>
    </w:div>
    <w:div w:id="1676761221">
      <w:bodyDiv w:val="1"/>
      <w:marLeft w:val="0"/>
      <w:marRight w:val="0"/>
      <w:marTop w:val="0"/>
      <w:marBottom w:val="0"/>
      <w:divBdr>
        <w:top w:val="none" w:sz="0" w:space="0" w:color="auto"/>
        <w:left w:val="none" w:sz="0" w:space="0" w:color="auto"/>
        <w:bottom w:val="none" w:sz="0" w:space="0" w:color="auto"/>
        <w:right w:val="none" w:sz="0" w:space="0" w:color="auto"/>
      </w:divBdr>
    </w:div>
    <w:div w:id="1700625071">
      <w:bodyDiv w:val="1"/>
      <w:marLeft w:val="0"/>
      <w:marRight w:val="0"/>
      <w:marTop w:val="0"/>
      <w:marBottom w:val="0"/>
      <w:divBdr>
        <w:top w:val="none" w:sz="0" w:space="0" w:color="auto"/>
        <w:left w:val="none" w:sz="0" w:space="0" w:color="auto"/>
        <w:bottom w:val="none" w:sz="0" w:space="0" w:color="auto"/>
        <w:right w:val="none" w:sz="0" w:space="0" w:color="auto"/>
      </w:divBdr>
    </w:div>
    <w:div w:id="1706060190">
      <w:bodyDiv w:val="1"/>
      <w:marLeft w:val="0"/>
      <w:marRight w:val="0"/>
      <w:marTop w:val="0"/>
      <w:marBottom w:val="0"/>
      <w:divBdr>
        <w:top w:val="none" w:sz="0" w:space="0" w:color="auto"/>
        <w:left w:val="none" w:sz="0" w:space="0" w:color="auto"/>
        <w:bottom w:val="none" w:sz="0" w:space="0" w:color="auto"/>
        <w:right w:val="none" w:sz="0" w:space="0" w:color="auto"/>
      </w:divBdr>
    </w:div>
    <w:div w:id="1709793328">
      <w:bodyDiv w:val="1"/>
      <w:marLeft w:val="0"/>
      <w:marRight w:val="0"/>
      <w:marTop w:val="0"/>
      <w:marBottom w:val="0"/>
      <w:divBdr>
        <w:top w:val="none" w:sz="0" w:space="0" w:color="auto"/>
        <w:left w:val="none" w:sz="0" w:space="0" w:color="auto"/>
        <w:bottom w:val="none" w:sz="0" w:space="0" w:color="auto"/>
        <w:right w:val="none" w:sz="0" w:space="0" w:color="auto"/>
      </w:divBdr>
    </w:div>
    <w:div w:id="1727803574">
      <w:bodyDiv w:val="1"/>
      <w:marLeft w:val="0"/>
      <w:marRight w:val="0"/>
      <w:marTop w:val="0"/>
      <w:marBottom w:val="0"/>
      <w:divBdr>
        <w:top w:val="none" w:sz="0" w:space="0" w:color="auto"/>
        <w:left w:val="none" w:sz="0" w:space="0" w:color="auto"/>
        <w:bottom w:val="none" w:sz="0" w:space="0" w:color="auto"/>
        <w:right w:val="none" w:sz="0" w:space="0" w:color="auto"/>
      </w:divBdr>
    </w:div>
    <w:div w:id="1785533961">
      <w:bodyDiv w:val="1"/>
      <w:marLeft w:val="0"/>
      <w:marRight w:val="0"/>
      <w:marTop w:val="0"/>
      <w:marBottom w:val="0"/>
      <w:divBdr>
        <w:top w:val="none" w:sz="0" w:space="0" w:color="auto"/>
        <w:left w:val="none" w:sz="0" w:space="0" w:color="auto"/>
        <w:bottom w:val="none" w:sz="0" w:space="0" w:color="auto"/>
        <w:right w:val="none" w:sz="0" w:space="0" w:color="auto"/>
      </w:divBdr>
    </w:div>
    <w:div w:id="1805658967">
      <w:bodyDiv w:val="1"/>
      <w:marLeft w:val="0"/>
      <w:marRight w:val="0"/>
      <w:marTop w:val="0"/>
      <w:marBottom w:val="0"/>
      <w:divBdr>
        <w:top w:val="none" w:sz="0" w:space="0" w:color="auto"/>
        <w:left w:val="none" w:sz="0" w:space="0" w:color="auto"/>
        <w:bottom w:val="none" w:sz="0" w:space="0" w:color="auto"/>
        <w:right w:val="none" w:sz="0" w:space="0" w:color="auto"/>
      </w:divBdr>
    </w:div>
    <w:div w:id="1819227489">
      <w:bodyDiv w:val="1"/>
      <w:marLeft w:val="0"/>
      <w:marRight w:val="0"/>
      <w:marTop w:val="0"/>
      <w:marBottom w:val="0"/>
      <w:divBdr>
        <w:top w:val="none" w:sz="0" w:space="0" w:color="auto"/>
        <w:left w:val="none" w:sz="0" w:space="0" w:color="auto"/>
        <w:bottom w:val="none" w:sz="0" w:space="0" w:color="auto"/>
        <w:right w:val="none" w:sz="0" w:space="0" w:color="auto"/>
      </w:divBdr>
    </w:div>
    <w:div w:id="1841970990">
      <w:bodyDiv w:val="1"/>
      <w:marLeft w:val="0"/>
      <w:marRight w:val="0"/>
      <w:marTop w:val="0"/>
      <w:marBottom w:val="0"/>
      <w:divBdr>
        <w:top w:val="none" w:sz="0" w:space="0" w:color="auto"/>
        <w:left w:val="none" w:sz="0" w:space="0" w:color="auto"/>
        <w:bottom w:val="none" w:sz="0" w:space="0" w:color="auto"/>
        <w:right w:val="none" w:sz="0" w:space="0" w:color="auto"/>
      </w:divBdr>
    </w:div>
    <w:div w:id="1872257085">
      <w:bodyDiv w:val="1"/>
      <w:marLeft w:val="0"/>
      <w:marRight w:val="0"/>
      <w:marTop w:val="0"/>
      <w:marBottom w:val="0"/>
      <w:divBdr>
        <w:top w:val="none" w:sz="0" w:space="0" w:color="auto"/>
        <w:left w:val="none" w:sz="0" w:space="0" w:color="auto"/>
        <w:bottom w:val="none" w:sz="0" w:space="0" w:color="auto"/>
        <w:right w:val="none" w:sz="0" w:space="0" w:color="auto"/>
      </w:divBdr>
    </w:div>
    <w:div w:id="1875771605">
      <w:bodyDiv w:val="1"/>
      <w:marLeft w:val="0"/>
      <w:marRight w:val="0"/>
      <w:marTop w:val="0"/>
      <w:marBottom w:val="0"/>
      <w:divBdr>
        <w:top w:val="none" w:sz="0" w:space="0" w:color="auto"/>
        <w:left w:val="none" w:sz="0" w:space="0" w:color="auto"/>
        <w:bottom w:val="none" w:sz="0" w:space="0" w:color="auto"/>
        <w:right w:val="none" w:sz="0" w:space="0" w:color="auto"/>
      </w:divBdr>
    </w:div>
    <w:div w:id="1897087211">
      <w:bodyDiv w:val="1"/>
      <w:marLeft w:val="0"/>
      <w:marRight w:val="0"/>
      <w:marTop w:val="0"/>
      <w:marBottom w:val="0"/>
      <w:divBdr>
        <w:top w:val="none" w:sz="0" w:space="0" w:color="auto"/>
        <w:left w:val="none" w:sz="0" w:space="0" w:color="auto"/>
        <w:bottom w:val="none" w:sz="0" w:space="0" w:color="auto"/>
        <w:right w:val="none" w:sz="0" w:space="0" w:color="auto"/>
      </w:divBdr>
    </w:div>
    <w:div w:id="2019041176">
      <w:bodyDiv w:val="1"/>
      <w:marLeft w:val="0"/>
      <w:marRight w:val="0"/>
      <w:marTop w:val="0"/>
      <w:marBottom w:val="0"/>
      <w:divBdr>
        <w:top w:val="none" w:sz="0" w:space="0" w:color="auto"/>
        <w:left w:val="none" w:sz="0" w:space="0" w:color="auto"/>
        <w:bottom w:val="none" w:sz="0" w:space="0" w:color="auto"/>
        <w:right w:val="none" w:sz="0" w:space="0" w:color="auto"/>
      </w:divBdr>
    </w:div>
    <w:div w:id="2022047815">
      <w:bodyDiv w:val="1"/>
      <w:marLeft w:val="0"/>
      <w:marRight w:val="0"/>
      <w:marTop w:val="0"/>
      <w:marBottom w:val="0"/>
      <w:divBdr>
        <w:top w:val="none" w:sz="0" w:space="0" w:color="auto"/>
        <w:left w:val="none" w:sz="0" w:space="0" w:color="auto"/>
        <w:bottom w:val="none" w:sz="0" w:space="0" w:color="auto"/>
        <w:right w:val="none" w:sz="0" w:space="0" w:color="auto"/>
      </w:divBdr>
    </w:div>
    <w:div w:id="2042239972">
      <w:bodyDiv w:val="1"/>
      <w:marLeft w:val="0"/>
      <w:marRight w:val="0"/>
      <w:marTop w:val="0"/>
      <w:marBottom w:val="0"/>
      <w:divBdr>
        <w:top w:val="none" w:sz="0" w:space="0" w:color="auto"/>
        <w:left w:val="none" w:sz="0" w:space="0" w:color="auto"/>
        <w:bottom w:val="none" w:sz="0" w:space="0" w:color="auto"/>
        <w:right w:val="none" w:sz="0" w:space="0" w:color="auto"/>
      </w:divBdr>
    </w:div>
    <w:div w:id="214056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49F6F-8EBB-49F4-B4BC-C13C493CA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1684</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Advanced Accounting, Canadian Edition (Fayerman)</vt:lpstr>
    </vt:vector>
  </TitlesOfParts>
  <Company>Wiley Canada</Company>
  <LinksUpToDate>false</LinksUpToDate>
  <CharactersWithSpaces>11261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Accounting, Canadian Edition (Fayerman)</dc:title>
  <dc:creator>Wiley Canada</dc:creator>
  <cp:lastModifiedBy>Pete Hilal</cp:lastModifiedBy>
  <cp:revision>2</cp:revision>
  <cp:lastPrinted>2012-10-25T13:57:00Z</cp:lastPrinted>
  <dcterms:created xsi:type="dcterms:W3CDTF">2015-02-12T18:40:00Z</dcterms:created>
  <dcterms:modified xsi:type="dcterms:W3CDTF">2015-02-12T18:40:00Z</dcterms:modified>
</cp:coreProperties>
</file>