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A1A" w:rsidRPr="009F7A1A" w:rsidRDefault="009F7A1A" w:rsidP="009F7A1A"/>
    <w:p w:rsidR="009F7A1A" w:rsidRPr="009F7A1A" w:rsidRDefault="009F7A1A" w:rsidP="009F7A1A">
      <w:pPr>
        <w:rPr>
          <w:b/>
        </w:rPr>
      </w:pPr>
      <w:r w:rsidRPr="009F7A1A">
        <w:rPr>
          <w:b/>
        </w:rPr>
        <w:t>Chapter 4 – Cost-Volume Profit Relationships</w:t>
      </w:r>
    </w:p>
    <w:p w:rsidR="009F7A1A" w:rsidRDefault="009F7A1A" w:rsidP="009F7A1A">
      <w:pPr>
        <w:rPr>
          <w:b/>
        </w:rPr>
      </w:pPr>
    </w:p>
    <w:p w:rsidR="009F7A1A" w:rsidRPr="009F7A1A" w:rsidRDefault="009F7A1A" w:rsidP="009F7A1A">
      <w:pPr>
        <w:rPr>
          <w:b/>
        </w:rPr>
      </w:pPr>
      <w:r w:rsidRPr="009F7A1A">
        <w:rPr>
          <w:b/>
        </w:rPr>
        <w:t>Cost-Volume-Profit Relationship Interactions</w:t>
      </w:r>
    </w:p>
    <w:p w:rsidR="009F7A1A" w:rsidRDefault="009F7A1A" w:rsidP="009F7A1A">
      <w:r w:rsidRPr="009F7A1A">
        <w:t>Cost-volume-profit (CVP) analysis is a powerful tool that managers use to help them understand the interrelationship among cost, volume and profit in an organization by focusing on interactions among the following five elements:</w:t>
      </w:r>
    </w:p>
    <w:p w:rsidR="009F7A1A" w:rsidRDefault="009F7A1A" w:rsidP="009F7A1A">
      <w:pPr>
        <w:pStyle w:val="ListParagraph"/>
        <w:numPr>
          <w:ilvl w:val="0"/>
          <w:numId w:val="3"/>
        </w:numPr>
      </w:pPr>
      <w:r>
        <w:t>Prices of products</w:t>
      </w:r>
    </w:p>
    <w:p w:rsidR="009F7A1A" w:rsidRDefault="009F7A1A" w:rsidP="009F7A1A">
      <w:pPr>
        <w:pStyle w:val="ListParagraph"/>
        <w:numPr>
          <w:ilvl w:val="0"/>
          <w:numId w:val="3"/>
        </w:numPr>
      </w:pPr>
      <w:r>
        <w:t>Volume or level of activity</w:t>
      </w:r>
    </w:p>
    <w:p w:rsidR="009F7A1A" w:rsidRDefault="009F7A1A" w:rsidP="009F7A1A">
      <w:pPr>
        <w:pStyle w:val="ListParagraph"/>
        <w:numPr>
          <w:ilvl w:val="0"/>
          <w:numId w:val="3"/>
        </w:numPr>
      </w:pPr>
      <w:r>
        <w:t>Per unit variable costs</w:t>
      </w:r>
    </w:p>
    <w:p w:rsidR="009F7A1A" w:rsidRDefault="009F7A1A" w:rsidP="009F7A1A">
      <w:pPr>
        <w:pStyle w:val="ListParagraph"/>
        <w:numPr>
          <w:ilvl w:val="0"/>
          <w:numId w:val="3"/>
        </w:numPr>
      </w:pPr>
      <w:r>
        <w:t>Total fixed costs</w:t>
      </w:r>
    </w:p>
    <w:p w:rsidR="009F7A1A" w:rsidRDefault="009F7A1A" w:rsidP="009F7A1A">
      <w:pPr>
        <w:pStyle w:val="ListParagraph"/>
        <w:numPr>
          <w:ilvl w:val="0"/>
          <w:numId w:val="3"/>
        </w:numPr>
      </w:pPr>
      <w:r>
        <w:t xml:space="preserve">Mix of Products sold </w:t>
      </w:r>
    </w:p>
    <w:p w:rsidR="009F7A1A" w:rsidRDefault="009F7A1A" w:rsidP="009F7A1A">
      <w:pPr>
        <w:rPr>
          <w:b/>
        </w:rPr>
      </w:pPr>
    </w:p>
    <w:p w:rsidR="009F7A1A" w:rsidRDefault="009F7A1A" w:rsidP="009F7A1A">
      <w:pPr>
        <w:rPr>
          <w:b/>
        </w:rPr>
      </w:pPr>
      <w:r w:rsidRPr="009F7A1A">
        <w:rPr>
          <w:b/>
        </w:rPr>
        <w:t>Basics of Cost-Volume-Profit Analysis</w:t>
      </w:r>
    </w:p>
    <w:p w:rsidR="009F7A1A" w:rsidRDefault="009F7A1A" w:rsidP="009F7A1A">
      <w:pPr>
        <w:pStyle w:val="ListParagraph"/>
        <w:numPr>
          <w:ilvl w:val="0"/>
          <w:numId w:val="4"/>
        </w:numPr>
      </w:pPr>
      <w:r w:rsidRPr="009F7A1A">
        <w:t>The contribution income statement is helpful to managers in judging the impact on profits of changes in selling price, cost, or volume. The emphasis is on cost behaviour.</w:t>
      </w:r>
    </w:p>
    <w:p w:rsidR="009F7A1A" w:rsidRDefault="009F7A1A" w:rsidP="009F7A1A">
      <w:pPr>
        <w:pStyle w:val="ListParagraph"/>
        <w:numPr>
          <w:ilvl w:val="0"/>
          <w:numId w:val="4"/>
        </w:numPr>
      </w:pPr>
      <w:r w:rsidRPr="009F7A1A">
        <w:t>Contribution Margin (CM) is the amount remaining from sales revenue after variable expenses have been deducted.</w:t>
      </w:r>
    </w:p>
    <w:p w:rsidR="009F7A1A" w:rsidRDefault="009F7A1A" w:rsidP="009F7A1A">
      <w:pPr>
        <w:pStyle w:val="ListParagraph"/>
        <w:numPr>
          <w:ilvl w:val="0"/>
          <w:numId w:val="4"/>
        </w:numPr>
      </w:pPr>
      <w:r w:rsidRPr="009F7A1A">
        <w:t>Sales, variable expenses, and contribution margin can also be expressed on a per unit basis.</w:t>
      </w:r>
    </w:p>
    <w:p w:rsidR="009F7A1A" w:rsidRDefault="009F7A1A" w:rsidP="009F7A1A">
      <w:pPr>
        <w:pStyle w:val="ListParagraph"/>
        <w:numPr>
          <w:ilvl w:val="0"/>
          <w:numId w:val="4"/>
        </w:numPr>
      </w:pPr>
      <w:r w:rsidRPr="009F7A1A">
        <w:t>The CM ratio is calculated by dividing the total contribution margin by total sales.</w:t>
      </w:r>
    </w:p>
    <w:p w:rsidR="009F7A1A" w:rsidRDefault="009F7A1A" w:rsidP="009F7A1A">
      <w:pPr>
        <w:jc w:val="center"/>
      </w:pPr>
      <w:r>
        <w:rPr>
          <w:noProof/>
          <w:lang w:eastAsia="en-CA"/>
        </w:rPr>
        <w:drawing>
          <wp:inline distT="0" distB="0" distL="0" distR="0" wp14:anchorId="3D0F8019">
            <wp:extent cx="3129382"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8390" cy="1314033"/>
                    </a:xfrm>
                    <a:prstGeom prst="rect">
                      <a:avLst/>
                    </a:prstGeom>
                    <a:noFill/>
                  </pic:spPr>
                </pic:pic>
              </a:graphicData>
            </a:graphic>
          </wp:inline>
        </w:drawing>
      </w:r>
    </w:p>
    <w:p w:rsidR="009F7A1A" w:rsidRDefault="009F7A1A" w:rsidP="009F7A1A">
      <w:pPr>
        <w:rPr>
          <w:b/>
        </w:rPr>
      </w:pPr>
    </w:p>
    <w:p w:rsidR="009F7A1A" w:rsidRDefault="009F7A1A" w:rsidP="009F7A1A">
      <w:pPr>
        <w:rPr>
          <w:b/>
        </w:rPr>
      </w:pPr>
      <w:r w:rsidRPr="009F7A1A">
        <w:rPr>
          <w:b/>
        </w:rPr>
        <w:t>The Contribution Approach</w:t>
      </w:r>
    </w:p>
    <w:p w:rsidR="009F7A1A" w:rsidRDefault="009F7A1A" w:rsidP="009F7A1A">
      <w:pPr>
        <w:numPr>
          <w:ilvl w:val="0"/>
          <w:numId w:val="4"/>
        </w:numPr>
      </w:pPr>
      <w:r w:rsidRPr="009F7A1A">
        <w:t>Each month, Racing must generate at least $80,000 in total CM to break even.</w:t>
      </w:r>
      <w:r>
        <w:t xml:space="preserve"> (To break even, the contribution margin must cover the fixed costs.)</w:t>
      </w:r>
    </w:p>
    <w:p w:rsidR="009F7A1A" w:rsidRDefault="009F7A1A" w:rsidP="009F7A1A">
      <w:pPr>
        <w:numPr>
          <w:ilvl w:val="0"/>
          <w:numId w:val="4"/>
        </w:numPr>
      </w:pPr>
      <w:r w:rsidRPr="009F7A1A">
        <w:t>If Racing sells 400 units in a month, it will be operating at the break-even point.</w:t>
      </w:r>
    </w:p>
    <w:p w:rsidR="009F7A1A" w:rsidRDefault="005A267C" w:rsidP="005A267C">
      <w:pPr>
        <w:jc w:val="center"/>
      </w:pPr>
      <w:r>
        <w:rPr>
          <w:noProof/>
          <w:lang w:eastAsia="en-CA"/>
        </w:rPr>
        <w:drawing>
          <wp:inline distT="0" distB="0" distL="0" distR="0" wp14:anchorId="76E6AC1E">
            <wp:extent cx="2675848" cy="112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5422" cy="1123771"/>
                    </a:xfrm>
                    <a:prstGeom prst="rect">
                      <a:avLst/>
                    </a:prstGeom>
                    <a:noFill/>
                  </pic:spPr>
                </pic:pic>
              </a:graphicData>
            </a:graphic>
          </wp:inline>
        </w:drawing>
      </w:r>
    </w:p>
    <w:p w:rsidR="005A267C" w:rsidRDefault="005A267C" w:rsidP="005A267C">
      <w:pPr>
        <w:pStyle w:val="ListParagraph"/>
        <w:numPr>
          <w:ilvl w:val="0"/>
          <w:numId w:val="5"/>
        </w:numPr>
      </w:pPr>
      <w:r>
        <w:t>If Racing sells one more bike (401 bikes), net operating income will increase by $200.</w:t>
      </w:r>
    </w:p>
    <w:p w:rsidR="005A267C" w:rsidRDefault="005A267C" w:rsidP="005A267C">
      <w:pPr>
        <w:pStyle w:val="ListParagraph"/>
        <w:numPr>
          <w:ilvl w:val="0"/>
          <w:numId w:val="5"/>
        </w:numPr>
      </w:pPr>
      <w:r w:rsidRPr="005A267C">
        <w:t>We do not need to prepare an income statement to estimate profits at a particular sales volume. Simply multiply the number of units sold above break-even by the contribution margin per unit.</w:t>
      </w:r>
    </w:p>
    <w:p w:rsidR="005A267C" w:rsidRDefault="005A267C" w:rsidP="005A267C">
      <w:pPr>
        <w:pStyle w:val="ListParagraph"/>
        <w:numPr>
          <w:ilvl w:val="0"/>
          <w:numId w:val="5"/>
        </w:numPr>
      </w:pPr>
      <w:r>
        <w:t>If Racing sells 430 bikes, its net operating income will be $6,000</w:t>
      </w:r>
    </w:p>
    <w:p w:rsidR="005A267C" w:rsidRPr="009F7A1A" w:rsidRDefault="005A267C" w:rsidP="005A267C">
      <w:pPr>
        <w:pStyle w:val="ListParagraph"/>
        <w:numPr>
          <w:ilvl w:val="0"/>
          <w:numId w:val="5"/>
        </w:numPr>
      </w:pPr>
      <w:r>
        <w:t>30 bikes above break-even: 30 x 200 = $6,000</w:t>
      </w:r>
    </w:p>
    <w:p w:rsidR="005A267C" w:rsidRDefault="005A267C" w:rsidP="009F7A1A"/>
    <w:p w:rsidR="009F7A1A" w:rsidRPr="005A267C" w:rsidRDefault="009F7A1A" w:rsidP="009F7A1A">
      <w:pPr>
        <w:rPr>
          <w:b/>
        </w:rPr>
      </w:pPr>
      <w:r w:rsidRPr="005A267C">
        <w:rPr>
          <w:b/>
        </w:rPr>
        <w:t>CVP Relationships in Graphic Form</w:t>
      </w:r>
    </w:p>
    <w:p w:rsidR="009F7A1A" w:rsidRDefault="009F7A1A" w:rsidP="009F7A1A">
      <w:r w:rsidRPr="009F7A1A">
        <w:t>The relationship among revenue, cost, profit and volume can be expressed graphically by preparing a CVP graph. Racing developed contribution margin income statements at 300, 400, and 500 units sold. We will use this information to prepare the CVP graph.</w:t>
      </w:r>
    </w:p>
    <w:p w:rsidR="005A267C" w:rsidRDefault="005A267C" w:rsidP="005A267C">
      <w:pPr>
        <w:pStyle w:val="ListParagraph"/>
        <w:numPr>
          <w:ilvl w:val="0"/>
          <w:numId w:val="6"/>
        </w:numPr>
        <w:sectPr w:rsidR="005A267C">
          <w:pgSz w:w="12240" w:h="15840"/>
          <w:pgMar w:top="1440" w:right="1440" w:bottom="1440" w:left="1440" w:header="708" w:footer="708" w:gutter="0"/>
          <w:cols w:space="708"/>
          <w:docGrid w:linePitch="360"/>
        </w:sectPr>
      </w:pPr>
    </w:p>
    <w:p w:rsidR="005A267C" w:rsidRDefault="005A267C" w:rsidP="005A267C">
      <w:pPr>
        <w:pStyle w:val="ListParagraph"/>
        <w:numPr>
          <w:ilvl w:val="0"/>
          <w:numId w:val="6"/>
        </w:numPr>
      </w:pPr>
      <w:r w:rsidRPr="005A267C">
        <w:lastRenderedPageBreak/>
        <w:t>In a CVP graph, unit volume is usually represented on the horizontal (X) axis and dollars on the vertical (Y) axis.</w:t>
      </w:r>
    </w:p>
    <w:p w:rsidR="005A267C" w:rsidRDefault="005A267C" w:rsidP="005A267C">
      <w:pPr>
        <w:sectPr w:rsidR="005A267C" w:rsidSect="005A267C">
          <w:type w:val="continuous"/>
          <w:pgSz w:w="12240" w:h="15840"/>
          <w:pgMar w:top="1440" w:right="1440" w:bottom="1440" w:left="1440" w:header="708" w:footer="708" w:gutter="0"/>
          <w:cols w:num="2" w:space="708"/>
          <w:docGrid w:linePitch="360"/>
        </w:sectPr>
      </w:pPr>
      <w:r>
        <w:rPr>
          <w:noProof/>
          <w:lang w:eastAsia="en-CA"/>
        </w:rPr>
        <w:lastRenderedPageBreak/>
        <w:drawing>
          <wp:inline distT="0" distB="0" distL="0" distR="0" wp14:anchorId="12C57E1C" wp14:editId="3D83C340">
            <wp:extent cx="3095625" cy="1790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07DEA.tmp"/>
                    <pic:cNvPicPr/>
                  </pic:nvPicPr>
                  <pic:blipFill rotWithShape="1">
                    <a:blip r:embed="rId8">
                      <a:extLst>
                        <a:ext uri="{28A0092B-C50C-407E-A947-70E740481C1C}">
                          <a14:useLocalDpi xmlns:a14="http://schemas.microsoft.com/office/drawing/2010/main" val="0"/>
                        </a:ext>
                      </a:extLst>
                    </a:blip>
                    <a:srcRect l="29327" t="37230" r="18590" b="34995"/>
                    <a:stretch/>
                  </pic:blipFill>
                  <pic:spPr bwMode="auto">
                    <a:xfrm>
                      <a:off x="0" y="0"/>
                      <a:ext cx="3095625" cy="1790700"/>
                    </a:xfrm>
                    <a:prstGeom prst="rect">
                      <a:avLst/>
                    </a:prstGeom>
                    <a:ln>
                      <a:noFill/>
                    </a:ln>
                    <a:extLst>
                      <a:ext uri="{53640926-AAD7-44D8-BBD7-CCE9431645EC}">
                        <a14:shadowObscured xmlns:a14="http://schemas.microsoft.com/office/drawing/2010/main"/>
                      </a:ext>
                    </a:extLst>
                  </pic:spPr>
                </pic:pic>
              </a:graphicData>
            </a:graphic>
          </wp:inline>
        </w:drawing>
      </w:r>
    </w:p>
    <w:p w:rsidR="009F7A1A" w:rsidRPr="009F7A1A" w:rsidRDefault="009F7A1A" w:rsidP="005A267C"/>
    <w:p w:rsidR="009F7A1A" w:rsidRDefault="005A267C" w:rsidP="009F7A1A">
      <w:pPr>
        <w:rPr>
          <w:b/>
        </w:rPr>
      </w:pPr>
      <w:r>
        <w:rPr>
          <w:b/>
        </w:rPr>
        <w:t xml:space="preserve">Key Formulas </w:t>
      </w:r>
    </w:p>
    <w:p w:rsidR="005A267C" w:rsidRDefault="005A267C" w:rsidP="009F7A1A">
      <w:pPr>
        <w:sectPr w:rsidR="005A267C" w:rsidSect="005A267C">
          <w:type w:val="continuous"/>
          <w:pgSz w:w="12240" w:h="15840"/>
          <w:pgMar w:top="1440" w:right="1440" w:bottom="1440" w:left="1440" w:header="708" w:footer="708" w:gutter="0"/>
          <w:cols w:space="708"/>
          <w:docGrid w:linePitch="360"/>
        </w:sectPr>
      </w:pPr>
    </w:p>
    <w:p w:rsidR="005A267C" w:rsidRPr="005A267C" w:rsidRDefault="005A267C" w:rsidP="005A267C">
      <w:pPr>
        <w:pStyle w:val="ListParagraph"/>
        <w:numPr>
          <w:ilvl w:val="0"/>
          <w:numId w:val="6"/>
        </w:numPr>
      </w:pPr>
      <w:r w:rsidRPr="005A267C">
        <w:lastRenderedPageBreak/>
        <w:t xml:space="preserve">CM Ratio= Total CM/Total </w:t>
      </w:r>
      <w:proofErr w:type="spellStart"/>
      <w:r w:rsidRPr="005A267C">
        <w:t>Slaes</w:t>
      </w:r>
      <w:proofErr w:type="spellEnd"/>
    </w:p>
    <w:p w:rsidR="005A267C" w:rsidRPr="005A267C" w:rsidRDefault="005A267C" w:rsidP="005A267C">
      <w:pPr>
        <w:pStyle w:val="ListParagraph"/>
        <w:numPr>
          <w:ilvl w:val="0"/>
          <w:numId w:val="6"/>
        </w:numPr>
      </w:pPr>
      <w:r w:rsidRPr="005A267C">
        <w:t xml:space="preserve">PER UNIT CM Ratio = Unit CM/Unit Selling Price </w:t>
      </w:r>
    </w:p>
    <w:p w:rsidR="005A267C" w:rsidRDefault="005A267C" w:rsidP="005A267C">
      <w:pPr>
        <w:jc w:val="center"/>
        <w:rPr>
          <w:b/>
        </w:rPr>
        <w:sectPr w:rsidR="005A267C" w:rsidSect="005A267C">
          <w:type w:val="continuous"/>
          <w:pgSz w:w="12240" w:h="15840"/>
          <w:pgMar w:top="1440" w:right="1440" w:bottom="1440" w:left="1440" w:header="708" w:footer="708" w:gutter="0"/>
          <w:cols w:num="2" w:space="708"/>
          <w:docGrid w:linePitch="360"/>
        </w:sectPr>
      </w:pPr>
      <w:r>
        <w:rPr>
          <w:b/>
          <w:noProof/>
          <w:lang w:eastAsia="en-CA"/>
        </w:rPr>
        <w:lastRenderedPageBreak/>
        <w:drawing>
          <wp:inline distT="0" distB="0" distL="0" distR="0" wp14:anchorId="3E8E9539" wp14:editId="7EFF75A8">
            <wp:extent cx="3583629" cy="1085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127" cy="1090849"/>
                    </a:xfrm>
                    <a:prstGeom prst="rect">
                      <a:avLst/>
                    </a:prstGeom>
                    <a:noFill/>
                  </pic:spPr>
                </pic:pic>
              </a:graphicData>
            </a:graphic>
          </wp:inline>
        </w:drawing>
      </w:r>
    </w:p>
    <w:p w:rsidR="009F7A1A" w:rsidRDefault="009F7A1A" w:rsidP="009F7A1A">
      <w:pPr>
        <w:rPr>
          <w:b/>
        </w:rPr>
      </w:pPr>
      <w:r w:rsidRPr="00FB1E45">
        <w:rPr>
          <w:b/>
        </w:rPr>
        <w:lastRenderedPageBreak/>
        <w:t>Variable Expense Ratio</w:t>
      </w:r>
    </w:p>
    <w:p w:rsidR="00FB1E45" w:rsidRDefault="00FB1E45" w:rsidP="009F7A1A">
      <w:r w:rsidRPr="00FB1E45">
        <w:t>Variable expense ratio is the ratio of variable expenses to sales</w:t>
      </w:r>
    </w:p>
    <w:p w:rsidR="00FB1E45" w:rsidRPr="00FB1E45" w:rsidRDefault="00FB1E45" w:rsidP="00FB1E45">
      <w:pPr>
        <w:jc w:val="center"/>
      </w:pPr>
      <w:r>
        <w:rPr>
          <w:noProof/>
          <w:lang w:eastAsia="en-CA"/>
        </w:rPr>
        <w:drawing>
          <wp:inline distT="0" distB="0" distL="0" distR="0" wp14:anchorId="2A9F6B10">
            <wp:extent cx="3903296" cy="1519740"/>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5059" cy="1520426"/>
                    </a:xfrm>
                    <a:prstGeom prst="rect">
                      <a:avLst/>
                    </a:prstGeom>
                    <a:noFill/>
                  </pic:spPr>
                </pic:pic>
              </a:graphicData>
            </a:graphic>
          </wp:inline>
        </w:drawing>
      </w:r>
    </w:p>
    <w:p w:rsidR="009F7A1A" w:rsidRPr="009F7A1A" w:rsidRDefault="009F7A1A" w:rsidP="00FB1E45"/>
    <w:p w:rsidR="009F7A1A" w:rsidRPr="00FB1E45" w:rsidRDefault="009F7A1A" w:rsidP="009F7A1A">
      <w:pPr>
        <w:rPr>
          <w:b/>
        </w:rPr>
      </w:pPr>
      <w:r w:rsidRPr="00FB1E45">
        <w:rPr>
          <w:b/>
        </w:rPr>
        <w:t>Break-Even Analysis</w:t>
      </w:r>
    </w:p>
    <w:p w:rsidR="009F7A1A" w:rsidRPr="009F7A1A" w:rsidRDefault="009F7A1A" w:rsidP="009F7A1A">
      <w:r w:rsidRPr="009F7A1A">
        <w:t>Break-even analysis can be approached in two ways:</w:t>
      </w:r>
    </w:p>
    <w:p w:rsidR="009F7A1A" w:rsidRDefault="009F7A1A" w:rsidP="00FB1E45">
      <w:pPr>
        <w:pStyle w:val="ListParagraph"/>
        <w:numPr>
          <w:ilvl w:val="0"/>
          <w:numId w:val="7"/>
        </w:numPr>
      </w:pPr>
      <w:r w:rsidRPr="009F7A1A">
        <w:t>Equation method</w:t>
      </w:r>
    </w:p>
    <w:p w:rsidR="00FB1E45" w:rsidRDefault="00FB1E45" w:rsidP="00FB1E45">
      <w:pPr>
        <w:pStyle w:val="ListParagraph"/>
        <w:numPr>
          <w:ilvl w:val="0"/>
          <w:numId w:val="8"/>
        </w:numPr>
      </w:pPr>
      <w:r w:rsidRPr="00FB1E45">
        <w:t xml:space="preserve">Profits  =  (Sales </w:t>
      </w:r>
      <w:r w:rsidRPr="00FB1E45">
        <w:rPr>
          <w:rFonts w:hint="cs"/>
        </w:rPr>
        <w:t>–</w:t>
      </w:r>
      <w:r w:rsidRPr="00FB1E45">
        <w:t xml:space="preserve"> Variable expenses) </w:t>
      </w:r>
      <w:r w:rsidRPr="00FB1E45">
        <w:rPr>
          <w:rFonts w:hint="cs"/>
        </w:rPr>
        <w:t>–</w:t>
      </w:r>
      <w:r w:rsidRPr="00FB1E45">
        <w:t xml:space="preserve"> Fixed expenses</w:t>
      </w:r>
    </w:p>
    <w:p w:rsidR="00FB1E45" w:rsidRDefault="00FB1E45" w:rsidP="00FB1E45">
      <w:pPr>
        <w:pStyle w:val="ListParagraph"/>
        <w:numPr>
          <w:ilvl w:val="0"/>
          <w:numId w:val="8"/>
        </w:numPr>
      </w:pPr>
      <w:r w:rsidRPr="00FB1E45">
        <w:t>Sales  =  Variable expenses + Fixed expenses + Profits</w:t>
      </w:r>
      <w:r>
        <w:t xml:space="preserve"> (At the break-even point profits equal 0) </w:t>
      </w:r>
    </w:p>
    <w:p w:rsidR="00FB1E45" w:rsidRDefault="00FB1E45" w:rsidP="00FB1E45">
      <w:pPr>
        <w:pStyle w:val="ListParagraph"/>
        <w:numPr>
          <w:ilvl w:val="0"/>
          <w:numId w:val="8"/>
        </w:numPr>
      </w:pPr>
      <w:r>
        <w:t>Rearrange equation and solve for the unknown or Q (whatever variable costs must be multiplied by in order to reach the breakeven point)</w:t>
      </w:r>
    </w:p>
    <w:p w:rsidR="00FB1E45" w:rsidRDefault="001F6653" w:rsidP="001F6653">
      <w:pPr>
        <w:jc w:val="center"/>
        <w:rPr>
          <w:noProof/>
          <w:lang w:eastAsia="en-CA"/>
        </w:rPr>
        <w:sectPr w:rsidR="00FB1E45" w:rsidSect="005A267C">
          <w:type w:val="continuous"/>
          <w:pgSz w:w="12240" w:h="15840"/>
          <w:pgMar w:top="1440" w:right="1440" w:bottom="1440" w:left="1440" w:header="708" w:footer="708" w:gutter="0"/>
          <w:cols w:space="708"/>
          <w:docGrid w:linePitch="360"/>
        </w:sectPr>
      </w:pPr>
      <w:r>
        <w:rPr>
          <w:noProof/>
          <w:lang w:eastAsia="en-CA"/>
        </w:rPr>
        <w:drawing>
          <wp:inline distT="0" distB="0" distL="0" distR="0" wp14:anchorId="30FD63C9" wp14:editId="03E9E958">
            <wp:extent cx="2367844" cy="10953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04772.tmp"/>
                    <pic:cNvPicPr/>
                  </pic:nvPicPr>
                  <pic:blipFill rotWithShape="1">
                    <a:blip r:embed="rId11">
                      <a:extLst>
                        <a:ext uri="{28A0092B-C50C-407E-A947-70E740481C1C}">
                          <a14:useLocalDpi xmlns:a14="http://schemas.microsoft.com/office/drawing/2010/main" val="0"/>
                        </a:ext>
                      </a:extLst>
                    </a:blip>
                    <a:srcRect l="26121" t="36196" r="16026" b="39131"/>
                    <a:stretch/>
                  </pic:blipFill>
                  <pic:spPr bwMode="auto">
                    <a:xfrm>
                      <a:off x="0" y="0"/>
                      <a:ext cx="2374611" cy="109850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CA"/>
        </w:rPr>
        <w:t xml:space="preserve">   </w:t>
      </w:r>
      <w:r>
        <w:rPr>
          <w:noProof/>
          <w:lang w:eastAsia="en-CA"/>
        </w:rPr>
        <w:drawing>
          <wp:inline distT="0" distB="0" distL="0" distR="0" wp14:anchorId="3BB64474" wp14:editId="5A6CE2DE">
            <wp:extent cx="2225743" cy="1095299"/>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030C8.tmp"/>
                    <pic:cNvPicPr/>
                  </pic:nvPicPr>
                  <pic:blipFill rotWithShape="1">
                    <a:blip r:embed="rId12">
                      <a:extLst>
                        <a:ext uri="{28A0092B-C50C-407E-A947-70E740481C1C}">
                          <a14:useLocalDpi xmlns:a14="http://schemas.microsoft.com/office/drawing/2010/main" val="0"/>
                        </a:ext>
                      </a:extLst>
                    </a:blip>
                    <a:srcRect l="24520" t="36344" r="14583" b="36029"/>
                    <a:stretch/>
                  </pic:blipFill>
                  <pic:spPr bwMode="auto">
                    <a:xfrm>
                      <a:off x="0" y="0"/>
                      <a:ext cx="2225931" cy="1095392"/>
                    </a:xfrm>
                    <a:prstGeom prst="rect">
                      <a:avLst/>
                    </a:prstGeom>
                    <a:ln>
                      <a:noFill/>
                    </a:ln>
                    <a:extLst>
                      <a:ext uri="{53640926-AAD7-44D8-BBD7-CCE9431645EC}">
                        <a14:shadowObscured xmlns:a14="http://schemas.microsoft.com/office/drawing/2010/main"/>
                      </a:ext>
                    </a:extLst>
                  </pic:spPr>
                </pic:pic>
              </a:graphicData>
            </a:graphic>
          </wp:inline>
        </w:drawing>
      </w:r>
    </w:p>
    <w:p w:rsidR="00FB1E45" w:rsidRDefault="00FB1E45" w:rsidP="00FB1E45">
      <w:pPr>
        <w:rPr>
          <w:noProof/>
          <w:lang w:eastAsia="en-CA"/>
        </w:rPr>
        <w:sectPr w:rsidR="00FB1E45" w:rsidSect="00FB1E45">
          <w:type w:val="continuous"/>
          <w:pgSz w:w="12240" w:h="15840"/>
          <w:pgMar w:top="1440" w:right="1440" w:bottom="1440" w:left="1440" w:header="708" w:footer="708" w:gutter="0"/>
          <w:cols w:num="2" w:space="708"/>
          <w:docGrid w:linePitch="360"/>
        </w:sectPr>
      </w:pPr>
    </w:p>
    <w:p w:rsidR="00FB1E45" w:rsidRDefault="00FB1E45" w:rsidP="00FB1E45">
      <w:pPr>
        <w:sectPr w:rsidR="00FB1E45" w:rsidSect="00FB1E45">
          <w:type w:val="continuous"/>
          <w:pgSz w:w="12240" w:h="15840"/>
          <w:pgMar w:top="1440" w:right="1440" w:bottom="1440" w:left="1440" w:header="708" w:footer="708" w:gutter="0"/>
          <w:cols w:num="2" w:space="708"/>
          <w:docGrid w:linePitch="360"/>
        </w:sectPr>
      </w:pPr>
    </w:p>
    <w:p w:rsidR="00FB1E45" w:rsidRDefault="00FB1E45" w:rsidP="00FB1E45"/>
    <w:p w:rsidR="001F6653" w:rsidRDefault="001F6653" w:rsidP="001F6653"/>
    <w:p w:rsidR="001F6653" w:rsidRDefault="009F7A1A" w:rsidP="001F6653">
      <w:pPr>
        <w:pStyle w:val="ListParagraph"/>
        <w:numPr>
          <w:ilvl w:val="0"/>
          <w:numId w:val="7"/>
        </w:numPr>
      </w:pPr>
      <w:r w:rsidRPr="009F7A1A">
        <w:lastRenderedPageBreak/>
        <w:t>Formula method</w:t>
      </w:r>
    </w:p>
    <w:p w:rsidR="00FB1E45" w:rsidRDefault="00FB1E45" w:rsidP="001F6653">
      <w:pPr>
        <w:pStyle w:val="ListParagraph"/>
      </w:pPr>
      <w:r>
        <w:rPr>
          <w:noProof/>
          <w:lang w:eastAsia="en-CA"/>
        </w:rPr>
        <w:drawing>
          <wp:inline distT="0" distB="0" distL="0" distR="0" wp14:anchorId="5292C459" wp14:editId="63837E52">
            <wp:extent cx="2105025" cy="106135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0598E.tmp"/>
                    <pic:cNvPicPr/>
                  </pic:nvPicPr>
                  <pic:blipFill rotWithShape="1">
                    <a:blip r:embed="rId13">
                      <a:extLst>
                        <a:ext uri="{28A0092B-C50C-407E-A947-70E740481C1C}">
                          <a14:useLocalDpi xmlns:a14="http://schemas.microsoft.com/office/drawing/2010/main" val="0"/>
                        </a:ext>
                      </a:extLst>
                    </a:blip>
                    <a:srcRect l="25321" t="38265" r="17468" b="35142"/>
                    <a:stretch/>
                  </pic:blipFill>
                  <pic:spPr bwMode="auto">
                    <a:xfrm>
                      <a:off x="0" y="0"/>
                      <a:ext cx="2105025" cy="1061357"/>
                    </a:xfrm>
                    <a:prstGeom prst="rect">
                      <a:avLst/>
                    </a:prstGeom>
                    <a:ln>
                      <a:noFill/>
                    </a:ln>
                    <a:extLst>
                      <a:ext uri="{53640926-AAD7-44D8-BBD7-CCE9431645EC}">
                        <a14:shadowObscured xmlns:a14="http://schemas.microsoft.com/office/drawing/2010/main"/>
                      </a:ext>
                    </a:extLst>
                  </pic:spPr>
                </pic:pic>
              </a:graphicData>
            </a:graphic>
          </wp:inline>
        </w:drawing>
      </w:r>
    </w:p>
    <w:p w:rsidR="001F6653" w:rsidRDefault="001F6653" w:rsidP="001F6653">
      <w:pPr>
        <w:pStyle w:val="ListParagraph"/>
      </w:pPr>
    </w:p>
    <w:p w:rsidR="009F7A1A" w:rsidRPr="001F6653" w:rsidRDefault="009F7A1A" w:rsidP="009F7A1A">
      <w:pPr>
        <w:rPr>
          <w:b/>
        </w:rPr>
      </w:pPr>
      <w:r w:rsidRPr="001F6653">
        <w:rPr>
          <w:b/>
        </w:rPr>
        <w:t>Target Profit Analysis</w:t>
      </w:r>
    </w:p>
    <w:p w:rsidR="001F6653" w:rsidRDefault="009F7A1A" w:rsidP="001F6653">
      <w:pPr>
        <w:pStyle w:val="ListParagraph"/>
        <w:numPr>
          <w:ilvl w:val="0"/>
          <w:numId w:val="11"/>
        </w:numPr>
      </w:pPr>
      <w:r w:rsidRPr="009F7A1A">
        <w:t>The equation and formula methods can be used to determine the sales volume need</w:t>
      </w:r>
      <w:r w:rsidR="001F6653">
        <w:t xml:space="preserve">ed to achieve a target profit. </w:t>
      </w:r>
    </w:p>
    <w:p w:rsidR="001F6653" w:rsidRDefault="001F6653" w:rsidP="001F6653">
      <w:pPr>
        <w:pStyle w:val="ListParagraph"/>
        <w:numPr>
          <w:ilvl w:val="0"/>
          <w:numId w:val="11"/>
        </w:numPr>
      </w:pPr>
      <w:r w:rsidRPr="001F6653">
        <w:t>Suppose Racing Bicycle Company wants to know how many bikes must be sold to earn a profit of $100,000.</w:t>
      </w:r>
    </w:p>
    <w:p w:rsidR="00A92EDB" w:rsidRDefault="00A92EDB" w:rsidP="001F6653">
      <w:pPr>
        <w:pStyle w:val="ListParagraph"/>
        <w:numPr>
          <w:ilvl w:val="1"/>
          <w:numId w:val="11"/>
        </w:numPr>
        <w:sectPr w:rsidR="00A92EDB" w:rsidSect="005A267C">
          <w:type w:val="continuous"/>
          <w:pgSz w:w="12240" w:h="15840"/>
          <w:pgMar w:top="1440" w:right="1440" w:bottom="1440" w:left="1440" w:header="708" w:footer="708" w:gutter="0"/>
          <w:cols w:space="708"/>
          <w:docGrid w:linePitch="360"/>
        </w:sectPr>
      </w:pPr>
    </w:p>
    <w:p w:rsidR="009F7A1A" w:rsidRDefault="009F7A1A" w:rsidP="00A92EDB">
      <w:pPr>
        <w:pStyle w:val="ListParagraph"/>
        <w:numPr>
          <w:ilvl w:val="0"/>
          <w:numId w:val="13"/>
        </w:numPr>
      </w:pPr>
      <w:r w:rsidRPr="009F7A1A">
        <w:lastRenderedPageBreak/>
        <w:t>The CVP Equation Method</w:t>
      </w:r>
      <w:r w:rsidR="00A92EDB">
        <w:rPr>
          <w:noProof/>
          <w:lang w:eastAsia="en-CA"/>
        </w:rPr>
        <w:drawing>
          <wp:inline distT="0" distB="0" distL="0" distR="0" wp14:anchorId="28ABC3BF" wp14:editId="60812D9B">
            <wp:extent cx="2305050" cy="1063396"/>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04FB1.tmp"/>
                    <pic:cNvPicPr/>
                  </pic:nvPicPr>
                  <pic:blipFill rotWithShape="1">
                    <a:blip r:embed="rId14">
                      <a:extLst>
                        <a:ext uri="{28A0092B-C50C-407E-A947-70E740481C1C}">
                          <a14:useLocalDpi xmlns:a14="http://schemas.microsoft.com/office/drawing/2010/main" val="0"/>
                        </a:ext>
                      </a:extLst>
                    </a:blip>
                    <a:srcRect l="23396" t="39595" r="16508" b="34846"/>
                    <a:stretch/>
                  </pic:blipFill>
                  <pic:spPr bwMode="auto">
                    <a:xfrm>
                      <a:off x="0" y="0"/>
                      <a:ext cx="2305050" cy="1063396"/>
                    </a:xfrm>
                    <a:prstGeom prst="rect">
                      <a:avLst/>
                    </a:prstGeom>
                    <a:ln>
                      <a:noFill/>
                    </a:ln>
                    <a:extLst>
                      <a:ext uri="{53640926-AAD7-44D8-BBD7-CCE9431645EC}">
                        <a14:shadowObscured xmlns:a14="http://schemas.microsoft.com/office/drawing/2010/main"/>
                      </a:ext>
                    </a:extLst>
                  </pic:spPr>
                </pic:pic>
              </a:graphicData>
            </a:graphic>
          </wp:inline>
        </w:drawing>
      </w:r>
    </w:p>
    <w:p w:rsidR="009F7A1A" w:rsidRDefault="009F7A1A" w:rsidP="00A92EDB">
      <w:pPr>
        <w:pStyle w:val="ListParagraph"/>
        <w:numPr>
          <w:ilvl w:val="0"/>
          <w:numId w:val="13"/>
        </w:numPr>
      </w:pPr>
      <w:r w:rsidRPr="009F7A1A">
        <w:lastRenderedPageBreak/>
        <w:t>The Formula Approach</w:t>
      </w:r>
      <w:r w:rsidR="00A92EDB">
        <w:rPr>
          <w:noProof/>
          <w:lang w:eastAsia="en-CA"/>
        </w:rPr>
        <w:drawing>
          <wp:inline distT="0" distB="0" distL="0" distR="0" wp14:anchorId="0DCA42EE" wp14:editId="23765F0F">
            <wp:extent cx="2270554" cy="1200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0F502.tmp"/>
                    <pic:cNvPicPr/>
                  </pic:nvPicPr>
                  <pic:blipFill rotWithShape="1">
                    <a:blip r:embed="rId15">
                      <a:extLst>
                        <a:ext uri="{28A0092B-C50C-407E-A947-70E740481C1C}">
                          <a14:useLocalDpi xmlns:a14="http://schemas.microsoft.com/office/drawing/2010/main" val="0"/>
                        </a:ext>
                      </a:extLst>
                    </a:blip>
                    <a:srcRect l="27243" t="38265" r="16667" b="34403"/>
                    <a:stretch/>
                  </pic:blipFill>
                  <pic:spPr bwMode="auto">
                    <a:xfrm>
                      <a:off x="0" y="0"/>
                      <a:ext cx="2270554" cy="1200150"/>
                    </a:xfrm>
                    <a:prstGeom prst="rect">
                      <a:avLst/>
                    </a:prstGeom>
                    <a:ln>
                      <a:noFill/>
                    </a:ln>
                    <a:extLst>
                      <a:ext uri="{53640926-AAD7-44D8-BBD7-CCE9431645EC}">
                        <a14:shadowObscured xmlns:a14="http://schemas.microsoft.com/office/drawing/2010/main"/>
                      </a:ext>
                    </a:extLst>
                  </pic:spPr>
                </pic:pic>
              </a:graphicData>
            </a:graphic>
          </wp:inline>
        </w:drawing>
      </w:r>
    </w:p>
    <w:p w:rsidR="00A92EDB" w:rsidRDefault="00A92EDB" w:rsidP="00A92EDB">
      <w:pPr>
        <w:ind w:left="1440"/>
        <w:sectPr w:rsidR="00A92EDB" w:rsidSect="00A92EDB">
          <w:type w:val="continuous"/>
          <w:pgSz w:w="12240" w:h="15840"/>
          <w:pgMar w:top="1440" w:right="1440" w:bottom="1440" w:left="1440" w:header="708" w:footer="708" w:gutter="0"/>
          <w:cols w:num="2" w:space="708"/>
          <w:docGrid w:linePitch="360"/>
        </w:sectPr>
      </w:pPr>
    </w:p>
    <w:p w:rsidR="00A92EDB" w:rsidRPr="009F7A1A" w:rsidRDefault="00A92EDB" w:rsidP="00A92EDB">
      <w:pPr>
        <w:ind w:left="1440"/>
      </w:pPr>
    </w:p>
    <w:p w:rsidR="009F7A1A" w:rsidRPr="009F7A1A" w:rsidRDefault="009F7A1A" w:rsidP="00A92EDB"/>
    <w:p w:rsidR="009F7A1A" w:rsidRPr="00A92EDB" w:rsidRDefault="009F7A1A" w:rsidP="009F7A1A">
      <w:pPr>
        <w:rPr>
          <w:b/>
        </w:rPr>
      </w:pPr>
      <w:r w:rsidRPr="00A92EDB">
        <w:rPr>
          <w:b/>
        </w:rPr>
        <w:t>The Margin of Safety</w:t>
      </w:r>
    </w:p>
    <w:p w:rsidR="009F7A1A" w:rsidRPr="009F7A1A" w:rsidRDefault="009F7A1A" w:rsidP="009F7A1A">
      <w:r w:rsidRPr="009F7A1A">
        <w:t>The margin of safety is the excess of budgeted (or actual) sales over the break-even volume of sales.</w:t>
      </w:r>
    </w:p>
    <w:p w:rsidR="00A92EDB" w:rsidRDefault="00A92EDB" w:rsidP="00A92EDB">
      <w:pPr>
        <w:pStyle w:val="ListParagraph"/>
        <w:numPr>
          <w:ilvl w:val="0"/>
          <w:numId w:val="12"/>
        </w:numPr>
      </w:pPr>
      <w:r>
        <w:t>Margin of safety = Total sales – Break-even sales</w:t>
      </w:r>
    </w:p>
    <w:p w:rsidR="00A92EDB" w:rsidRDefault="00A92EDB" w:rsidP="00A92EDB">
      <w:pPr>
        <w:pStyle w:val="ListParagraph"/>
        <w:numPr>
          <w:ilvl w:val="0"/>
          <w:numId w:val="12"/>
        </w:numPr>
      </w:pPr>
      <w:r>
        <w:t>Let’s look at racing company and determine the margin of safety.</w:t>
      </w:r>
    </w:p>
    <w:p w:rsidR="00A92EDB" w:rsidRDefault="009F7A1A" w:rsidP="009F7A1A">
      <w:pPr>
        <w:pStyle w:val="ListParagraph"/>
        <w:numPr>
          <w:ilvl w:val="0"/>
          <w:numId w:val="12"/>
        </w:numPr>
      </w:pPr>
      <w:r w:rsidRPr="009F7A1A">
        <w:t>If we assume that Racing Bicycle Company has actual sales of $250,000, given that we have already determined the break-even sales to be $200,000,  the margin of safety is $50,000</w:t>
      </w:r>
    </w:p>
    <w:p w:rsidR="00A92EDB" w:rsidRDefault="009F7A1A" w:rsidP="00A92EDB">
      <w:pPr>
        <w:pStyle w:val="ListParagraph"/>
        <w:numPr>
          <w:ilvl w:val="0"/>
          <w:numId w:val="12"/>
        </w:numPr>
      </w:pPr>
      <w:r w:rsidRPr="009F7A1A">
        <w:t xml:space="preserve">The Margin of </w:t>
      </w:r>
      <w:r w:rsidR="00A92EDB" w:rsidRPr="009F7A1A">
        <w:t>Safety</w:t>
      </w:r>
      <w:r w:rsidR="00A92EDB">
        <w:t xml:space="preserve"> </w:t>
      </w:r>
      <w:r w:rsidR="00A92EDB" w:rsidRPr="009F7A1A">
        <w:t>can</w:t>
      </w:r>
      <w:r w:rsidRPr="009F7A1A">
        <w:t xml:space="preserve"> be express</w:t>
      </w:r>
      <w:r w:rsidR="00A92EDB">
        <w:t xml:space="preserve">ed as 20% of sales. </w:t>
      </w:r>
      <w:r w:rsidRPr="009F7A1A">
        <w:t>($50,000 ÷ $250,000)</w:t>
      </w:r>
    </w:p>
    <w:p w:rsidR="00A92EDB" w:rsidRDefault="00A92EDB" w:rsidP="00A92EDB">
      <w:pPr>
        <w:pStyle w:val="ListParagraph"/>
        <w:numPr>
          <w:ilvl w:val="0"/>
          <w:numId w:val="12"/>
        </w:numPr>
      </w:pPr>
      <w:r w:rsidRPr="009F7A1A">
        <w:t xml:space="preserve"> </w:t>
      </w:r>
      <w:r w:rsidR="009F7A1A" w:rsidRPr="009F7A1A">
        <w:t>The margin of safety can be expressed in terms of the number of units sold. The margin of safety at Racing is $50,000, and each bike sells for $500.</w:t>
      </w:r>
      <w:r>
        <w:t xml:space="preserve"> </w:t>
      </w:r>
    </w:p>
    <w:p w:rsidR="00A92EDB" w:rsidRPr="009F7A1A" w:rsidRDefault="00A92EDB" w:rsidP="00A92EDB">
      <w:pPr>
        <w:pStyle w:val="ListParagraph"/>
        <w:numPr>
          <w:ilvl w:val="1"/>
          <w:numId w:val="12"/>
        </w:numPr>
      </w:pPr>
      <w:r>
        <w:t>Margin of safety in units = $50,000/$500 = 100 bikes</w:t>
      </w:r>
    </w:p>
    <w:p w:rsidR="00A92EDB" w:rsidRDefault="00A92EDB" w:rsidP="009F7A1A">
      <w:pPr>
        <w:rPr>
          <w:b/>
        </w:rPr>
      </w:pPr>
    </w:p>
    <w:p w:rsidR="009F7A1A" w:rsidRPr="00A92EDB" w:rsidRDefault="00A92EDB" w:rsidP="009F7A1A">
      <w:pPr>
        <w:rPr>
          <w:b/>
        </w:rPr>
      </w:pPr>
      <w:r w:rsidRPr="00A92EDB">
        <w:rPr>
          <w:b/>
        </w:rPr>
        <w:t>Cost Structure and Profit Stability</w:t>
      </w:r>
    </w:p>
    <w:p w:rsidR="009F7A1A" w:rsidRDefault="00A92EDB" w:rsidP="002944DC">
      <w:pPr>
        <w:pStyle w:val="ListParagraph"/>
        <w:numPr>
          <w:ilvl w:val="0"/>
          <w:numId w:val="14"/>
        </w:numPr>
      </w:pPr>
      <w:r w:rsidRPr="00A92EDB">
        <w:t>Cost structure refers to the relative proportion of fixed and variable costs in an organization. Managers often have some latitude in determining their organization</w:t>
      </w:r>
      <w:r w:rsidRPr="00A92EDB">
        <w:rPr>
          <w:rFonts w:hint="cs"/>
        </w:rPr>
        <w:t>’</w:t>
      </w:r>
      <w:r w:rsidRPr="00A92EDB">
        <w:t>s cost structure.</w:t>
      </w:r>
    </w:p>
    <w:p w:rsidR="002944DC" w:rsidRDefault="002944DC" w:rsidP="002944DC">
      <w:pPr>
        <w:pStyle w:val="ListParagraph"/>
        <w:numPr>
          <w:ilvl w:val="0"/>
          <w:numId w:val="14"/>
        </w:numPr>
      </w:pPr>
      <w:r w:rsidRPr="002944DC">
        <w:t>There are advantages and disadvantages to high fixed cost (or low variable cost) and low fixed cost (or high variable cost) structures.</w:t>
      </w:r>
    </w:p>
    <w:p w:rsidR="002944DC" w:rsidRDefault="002944DC" w:rsidP="002944DC">
      <w:pPr>
        <w:pStyle w:val="ListParagraph"/>
        <w:numPr>
          <w:ilvl w:val="1"/>
          <w:numId w:val="14"/>
        </w:numPr>
      </w:pPr>
      <w:r w:rsidRPr="002944DC">
        <w:t>An advantage of a high fixed</w:t>
      </w:r>
      <w:r>
        <w:t xml:space="preserve"> </w:t>
      </w:r>
      <w:r w:rsidRPr="002944DC">
        <w:t>cost structure is that income</w:t>
      </w:r>
      <w:r>
        <w:t xml:space="preserve"> w</w:t>
      </w:r>
      <w:r w:rsidRPr="002944DC">
        <w:t>ill be higher in good years</w:t>
      </w:r>
      <w:r>
        <w:t xml:space="preserve"> </w:t>
      </w:r>
      <w:r w:rsidRPr="002944DC">
        <w:t>compared to com</w:t>
      </w:r>
      <w:r>
        <w:t xml:space="preserve">panies with lower proportion of </w:t>
      </w:r>
      <w:r w:rsidRPr="002944DC">
        <w:t>fixed costs.</w:t>
      </w:r>
    </w:p>
    <w:p w:rsidR="002944DC" w:rsidRDefault="002944DC" w:rsidP="002944DC">
      <w:pPr>
        <w:pStyle w:val="ListParagraph"/>
        <w:numPr>
          <w:ilvl w:val="1"/>
          <w:numId w:val="14"/>
        </w:numPr>
      </w:pPr>
      <w:r w:rsidRPr="002944DC">
        <w:t>A disadvantage of a high fixed</w:t>
      </w:r>
      <w:r>
        <w:t xml:space="preserve"> </w:t>
      </w:r>
      <w:r w:rsidRPr="002944DC">
        <w:t>cost structure is that income</w:t>
      </w:r>
      <w:r>
        <w:t xml:space="preserve"> </w:t>
      </w:r>
      <w:r w:rsidRPr="002944DC">
        <w:t>will be lower in bad years</w:t>
      </w:r>
      <w:r>
        <w:t xml:space="preserve"> </w:t>
      </w:r>
      <w:r w:rsidRPr="002944DC">
        <w:t>compared to com</w:t>
      </w:r>
      <w:r>
        <w:t xml:space="preserve">panies with lower proportion of </w:t>
      </w:r>
      <w:r w:rsidRPr="002944DC">
        <w:t>fixed costs.</w:t>
      </w:r>
    </w:p>
    <w:p w:rsidR="002944DC" w:rsidRDefault="002944DC" w:rsidP="002944DC">
      <w:pPr>
        <w:pStyle w:val="ListParagraph"/>
        <w:numPr>
          <w:ilvl w:val="0"/>
          <w:numId w:val="14"/>
        </w:numPr>
      </w:pPr>
      <w:r w:rsidRPr="002944DC">
        <w:t>Companies with low fixed cost structures enjoy greater stability in income across good and bad years.</w:t>
      </w:r>
    </w:p>
    <w:p w:rsidR="002944DC" w:rsidRPr="009F7A1A" w:rsidRDefault="002944DC" w:rsidP="009F7A1A"/>
    <w:p w:rsidR="009F7A1A" w:rsidRPr="002944DC" w:rsidRDefault="009F7A1A" w:rsidP="009F7A1A">
      <w:pPr>
        <w:rPr>
          <w:b/>
        </w:rPr>
      </w:pPr>
      <w:r w:rsidRPr="002944DC">
        <w:rPr>
          <w:b/>
        </w:rPr>
        <w:t>Operating Leverage</w:t>
      </w:r>
    </w:p>
    <w:p w:rsidR="009F7A1A" w:rsidRDefault="009F7A1A" w:rsidP="002944DC">
      <w:pPr>
        <w:pStyle w:val="ListParagraph"/>
        <w:numPr>
          <w:ilvl w:val="0"/>
          <w:numId w:val="15"/>
        </w:numPr>
      </w:pPr>
      <w:r w:rsidRPr="009F7A1A">
        <w:t>A measure of how sensitive net operating income is to percentage changes in sales.</w:t>
      </w:r>
    </w:p>
    <w:p w:rsidR="002944DC" w:rsidRDefault="002944DC" w:rsidP="002944DC">
      <w:pPr>
        <w:pStyle w:val="ListParagraph"/>
        <w:numPr>
          <w:ilvl w:val="0"/>
          <w:numId w:val="15"/>
        </w:numPr>
      </w:pPr>
      <w:r>
        <w:t>Degree of Operating Leverage = Contribution margin / Net operating income</w:t>
      </w:r>
    </w:p>
    <w:p w:rsidR="002944DC" w:rsidRPr="009F7A1A" w:rsidRDefault="002944DC" w:rsidP="002944DC">
      <w:pPr>
        <w:pStyle w:val="ListParagraph"/>
        <w:numPr>
          <w:ilvl w:val="0"/>
          <w:numId w:val="15"/>
        </w:numPr>
      </w:pPr>
      <w:r>
        <w:t xml:space="preserve">Percent Increase In Profits = Percent increase in sales X degree of operating leverage </w:t>
      </w:r>
    </w:p>
    <w:p w:rsidR="009F7A1A" w:rsidRPr="002944DC" w:rsidRDefault="009F7A1A" w:rsidP="009F7A1A">
      <w:pPr>
        <w:rPr>
          <w:b/>
        </w:rPr>
      </w:pPr>
      <w:r w:rsidRPr="002944DC">
        <w:rPr>
          <w:b/>
        </w:rPr>
        <w:lastRenderedPageBreak/>
        <w:t>Indifference Analysis</w:t>
      </w:r>
    </w:p>
    <w:p w:rsidR="009F7A1A" w:rsidRPr="009F7A1A" w:rsidRDefault="009F7A1A" w:rsidP="002944DC">
      <w:pPr>
        <w:pStyle w:val="ListParagraph"/>
        <w:numPr>
          <w:ilvl w:val="0"/>
          <w:numId w:val="16"/>
        </w:numPr>
      </w:pPr>
      <w:r w:rsidRPr="009F7A1A">
        <w:t>CVP analysis is also useful for aiding decisions about the comparative profitability of alternative products or methods of production. The analysis focuses on cost behaviour in relation to changes in activity level.</w:t>
      </w:r>
    </w:p>
    <w:p w:rsidR="009F7A1A" w:rsidRPr="009F7A1A" w:rsidRDefault="009F7A1A" w:rsidP="002944DC">
      <w:pPr>
        <w:pStyle w:val="ListParagraph"/>
        <w:numPr>
          <w:ilvl w:val="0"/>
          <w:numId w:val="16"/>
        </w:numPr>
      </w:pPr>
      <w:r w:rsidRPr="009F7A1A">
        <w:t>The objective is to find the level of unit sales at which we are indifferent between the two options.</w:t>
      </w:r>
    </w:p>
    <w:p w:rsidR="002944DC" w:rsidRDefault="009F7A1A" w:rsidP="009F7A1A">
      <w:pPr>
        <w:pStyle w:val="ListParagraph"/>
        <w:numPr>
          <w:ilvl w:val="0"/>
          <w:numId w:val="16"/>
        </w:numPr>
      </w:pPr>
      <w:r w:rsidRPr="009F7A1A">
        <w:t>As a result, we base our decision on expected sales levels.</w:t>
      </w:r>
    </w:p>
    <w:p w:rsidR="002944DC" w:rsidRDefault="002944DC" w:rsidP="002944DC">
      <w:pPr>
        <w:pStyle w:val="ListParagraph"/>
        <w:numPr>
          <w:ilvl w:val="0"/>
          <w:numId w:val="16"/>
        </w:numPr>
      </w:pPr>
      <w:r>
        <w:t>At what level of unit sales would we be indifferent between the two alternatives?</w:t>
      </w:r>
    </w:p>
    <w:p w:rsidR="002944DC" w:rsidRDefault="002944DC" w:rsidP="002944DC">
      <w:pPr>
        <w:pStyle w:val="ListParagraph"/>
        <w:numPr>
          <w:ilvl w:val="0"/>
          <w:numId w:val="17"/>
        </w:numPr>
      </w:pPr>
      <w:r>
        <w:t>Determine the unit contribution margin (CM) times the number of units (Q) plus total fixed costs of each alternative.</w:t>
      </w:r>
    </w:p>
    <w:p w:rsidR="002944DC" w:rsidRDefault="002944DC" w:rsidP="002944DC">
      <w:pPr>
        <w:pStyle w:val="ListParagraph"/>
        <w:numPr>
          <w:ilvl w:val="0"/>
          <w:numId w:val="17"/>
        </w:numPr>
      </w:pPr>
      <w:r>
        <w:t>Setup an equation with each alternative on opposite sides of the equal sign.</w:t>
      </w:r>
    </w:p>
    <w:p w:rsidR="002944DC" w:rsidRDefault="002944DC" w:rsidP="002944DC">
      <w:pPr>
        <w:pStyle w:val="ListParagraph"/>
        <w:numPr>
          <w:ilvl w:val="0"/>
          <w:numId w:val="17"/>
        </w:numPr>
      </w:pPr>
      <w:r>
        <w:t>Solve for Q, the indifference point.</w:t>
      </w:r>
    </w:p>
    <w:p w:rsidR="002944DC" w:rsidRDefault="002944DC" w:rsidP="002944DC"/>
    <w:p w:rsidR="009F7A1A" w:rsidRPr="002944DC" w:rsidRDefault="009F7A1A" w:rsidP="002944DC">
      <w:pPr>
        <w:rPr>
          <w:b/>
        </w:rPr>
      </w:pPr>
      <w:r w:rsidRPr="002944DC">
        <w:rPr>
          <w:b/>
        </w:rPr>
        <w:t>The Concept of Sales Mix</w:t>
      </w:r>
    </w:p>
    <w:p w:rsidR="009F7A1A" w:rsidRPr="009F7A1A" w:rsidRDefault="009F7A1A" w:rsidP="002944DC">
      <w:pPr>
        <w:pStyle w:val="ListParagraph"/>
        <w:numPr>
          <w:ilvl w:val="0"/>
          <w:numId w:val="18"/>
        </w:numPr>
      </w:pPr>
      <w:r w:rsidRPr="009F7A1A">
        <w:t>Sales mix is the relative proportion in which a company’s products are sold.</w:t>
      </w:r>
    </w:p>
    <w:p w:rsidR="009F7A1A" w:rsidRPr="009F7A1A" w:rsidRDefault="009F7A1A" w:rsidP="002944DC">
      <w:pPr>
        <w:pStyle w:val="ListParagraph"/>
        <w:numPr>
          <w:ilvl w:val="0"/>
          <w:numId w:val="18"/>
        </w:numPr>
      </w:pPr>
      <w:r w:rsidRPr="009F7A1A">
        <w:t>Different products have different selling prices, cost structures, and contribution margins.</w:t>
      </w:r>
      <w:r w:rsidRPr="009F7A1A">
        <w:br/>
      </w:r>
    </w:p>
    <w:p w:rsidR="009F7A1A" w:rsidRPr="002944DC" w:rsidRDefault="009F7A1A" w:rsidP="009F7A1A">
      <w:pPr>
        <w:rPr>
          <w:b/>
        </w:rPr>
      </w:pPr>
      <w:r w:rsidRPr="002944DC">
        <w:rPr>
          <w:b/>
        </w:rPr>
        <w:t>Assumptions of CVP Analysis</w:t>
      </w:r>
    </w:p>
    <w:p w:rsidR="009F7A1A" w:rsidRPr="009F7A1A" w:rsidRDefault="009F7A1A" w:rsidP="002944DC">
      <w:pPr>
        <w:pStyle w:val="ListParagraph"/>
        <w:numPr>
          <w:ilvl w:val="0"/>
          <w:numId w:val="19"/>
        </w:numPr>
      </w:pPr>
      <w:r w:rsidRPr="009F7A1A">
        <w:t>Selling price is constant.</w:t>
      </w:r>
    </w:p>
    <w:p w:rsidR="009F7A1A" w:rsidRPr="009F7A1A" w:rsidRDefault="009F7A1A" w:rsidP="002944DC">
      <w:pPr>
        <w:pStyle w:val="ListParagraph"/>
        <w:numPr>
          <w:ilvl w:val="0"/>
          <w:numId w:val="19"/>
        </w:numPr>
      </w:pPr>
      <w:r w:rsidRPr="009F7A1A">
        <w:t>Costs are linear and can be accurately divided into variable (constant per unit) and fixed (constant in total) elements.</w:t>
      </w:r>
    </w:p>
    <w:p w:rsidR="009F7A1A" w:rsidRPr="009F7A1A" w:rsidRDefault="009F7A1A" w:rsidP="002944DC">
      <w:pPr>
        <w:pStyle w:val="ListParagraph"/>
        <w:numPr>
          <w:ilvl w:val="0"/>
          <w:numId w:val="19"/>
        </w:numPr>
      </w:pPr>
      <w:r w:rsidRPr="009F7A1A">
        <w:t>In multiproduct companies, the sales mix is constant.</w:t>
      </w:r>
    </w:p>
    <w:p w:rsidR="009F7A1A" w:rsidRPr="009F7A1A" w:rsidRDefault="009F7A1A" w:rsidP="002944DC">
      <w:pPr>
        <w:pStyle w:val="ListParagraph"/>
        <w:numPr>
          <w:ilvl w:val="0"/>
          <w:numId w:val="19"/>
        </w:numPr>
      </w:pPr>
      <w:r w:rsidRPr="009F7A1A">
        <w:t>In manufacturing companies, inventories do not change (units produced = units sold).</w:t>
      </w:r>
    </w:p>
    <w:p w:rsidR="009F7A1A" w:rsidRPr="009F7A1A" w:rsidRDefault="009F7A1A" w:rsidP="009F7A1A"/>
    <w:p w:rsidR="009146E9" w:rsidRDefault="009146E9">
      <w:bookmarkStart w:id="0" w:name="_GoBack"/>
      <w:bookmarkEnd w:id="0"/>
    </w:p>
    <w:sectPr w:rsidR="009146E9" w:rsidSect="005A267C">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26FE"/>
    <w:multiLevelType w:val="hybridMultilevel"/>
    <w:tmpl w:val="357AD506"/>
    <w:lvl w:ilvl="0" w:tplc="83D4F65E">
      <w:start w:val="546"/>
      <w:numFmt w:val="bullet"/>
      <w:lvlText w:val=""/>
      <w:lvlJc w:val="left"/>
      <w:pPr>
        <w:ind w:left="1800" w:hanging="360"/>
      </w:pPr>
      <w:rPr>
        <w:rFonts w:ascii="Wingdings" w:hAnsi="Wingdings" w:hint="default"/>
        <w:sz w:val="16"/>
        <w:szCs w:val="16"/>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9D01F94"/>
    <w:multiLevelType w:val="hybridMultilevel"/>
    <w:tmpl w:val="70E0C780"/>
    <w:lvl w:ilvl="0" w:tplc="A696643E">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F95F19"/>
    <w:multiLevelType w:val="hybridMultilevel"/>
    <w:tmpl w:val="037AACD4"/>
    <w:lvl w:ilvl="0" w:tplc="2F8A317A">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C61E48"/>
    <w:multiLevelType w:val="hybridMultilevel"/>
    <w:tmpl w:val="BBE620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102793"/>
    <w:multiLevelType w:val="hybridMultilevel"/>
    <w:tmpl w:val="7FAC5A9A"/>
    <w:lvl w:ilvl="0" w:tplc="2F8A317A">
      <w:start w:val="1"/>
      <w:numFmt w:val="bullet"/>
      <w:lvlText w:val=""/>
      <w:lvlJc w:val="left"/>
      <w:pPr>
        <w:ind w:left="780" w:hanging="360"/>
      </w:pPr>
      <w:rPr>
        <w:rFonts w:ascii="Symbol" w:hAnsi="Symbol" w:hint="default"/>
        <w:sz w:val="16"/>
        <w:szCs w:val="16"/>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5">
    <w:nsid w:val="111048E2"/>
    <w:multiLevelType w:val="hybridMultilevel"/>
    <w:tmpl w:val="E33651F8"/>
    <w:lvl w:ilvl="0" w:tplc="2F8A317A">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032D92"/>
    <w:multiLevelType w:val="hybridMultilevel"/>
    <w:tmpl w:val="9958364C"/>
    <w:lvl w:ilvl="0" w:tplc="2F8A317A">
      <w:start w:val="1"/>
      <w:numFmt w:val="bullet"/>
      <w:lvlText w:val=""/>
      <w:lvlJc w:val="left"/>
      <w:pPr>
        <w:ind w:left="720" w:hanging="360"/>
      </w:pPr>
      <w:rPr>
        <w:rFonts w:ascii="Symbol" w:hAnsi="Symbol" w:hint="default"/>
        <w:sz w:val="16"/>
        <w:szCs w:val="16"/>
      </w:rPr>
    </w:lvl>
    <w:lvl w:ilvl="1" w:tplc="83D4F65E">
      <w:start w:val="546"/>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7E063EB"/>
    <w:multiLevelType w:val="hybridMultilevel"/>
    <w:tmpl w:val="FC944F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EAD5D6D"/>
    <w:multiLevelType w:val="hybridMultilevel"/>
    <w:tmpl w:val="BBC2BBE0"/>
    <w:lvl w:ilvl="0" w:tplc="1009000F">
      <w:start w:val="1"/>
      <w:numFmt w:val="decimal"/>
      <w:lvlText w:val="%1."/>
      <w:lvlJc w:val="left"/>
      <w:pPr>
        <w:ind w:left="1440" w:hanging="360"/>
      </w:pPr>
      <w:rPr>
        <w:rFonts w:hint="default"/>
        <w:sz w:val="16"/>
        <w:szCs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3B777C4E"/>
    <w:multiLevelType w:val="hybridMultilevel"/>
    <w:tmpl w:val="CAD4D0A6"/>
    <w:lvl w:ilvl="0" w:tplc="2F8A317A">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5C26C3A"/>
    <w:multiLevelType w:val="hybridMultilevel"/>
    <w:tmpl w:val="91BA082A"/>
    <w:lvl w:ilvl="0" w:tplc="83D4F65E">
      <w:start w:val="546"/>
      <w:numFmt w:val="bullet"/>
      <w:lvlText w:val=""/>
      <w:lvlJc w:val="left"/>
      <w:pPr>
        <w:ind w:left="780" w:hanging="360"/>
      </w:pPr>
      <w:rPr>
        <w:rFonts w:ascii="Wingdings" w:hAnsi="Wingdings" w:hint="default"/>
        <w:sz w:val="16"/>
        <w:szCs w:val="16"/>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1">
    <w:nsid w:val="490D2B02"/>
    <w:multiLevelType w:val="hybridMultilevel"/>
    <w:tmpl w:val="49E436E8"/>
    <w:lvl w:ilvl="0" w:tplc="04FEECF6">
      <w:start w:val="546"/>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2">
    <w:nsid w:val="4C546EA6"/>
    <w:multiLevelType w:val="hybridMultilevel"/>
    <w:tmpl w:val="AA4217EE"/>
    <w:lvl w:ilvl="0" w:tplc="83D4F65E">
      <w:start w:val="546"/>
      <w:numFmt w:val="bullet"/>
      <w:lvlText w:val=""/>
      <w:lvlJc w:val="left"/>
      <w:pPr>
        <w:ind w:left="1800" w:hanging="360"/>
      </w:pPr>
      <w:rPr>
        <w:rFonts w:ascii="Wingdings" w:hAnsi="Wingdings" w:hint="default"/>
        <w:sz w:val="16"/>
        <w:szCs w:val="16"/>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637F57A7"/>
    <w:multiLevelType w:val="hybridMultilevel"/>
    <w:tmpl w:val="82E02FC2"/>
    <w:lvl w:ilvl="0" w:tplc="2F8A317A">
      <w:start w:val="1"/>
      <w:numFmt w:val="bullet"/>
      <w:lvlText w:val=""/>
      <w:lvlJc w:val="left"/>
      <w:pPr>
        <w:ind w:left="720" w:hanging="360"/>
      </w:pPr>
      <w:rPr>
        <w:rFonts w:ascii="Symbol" w:hAnsi="Symbol" w:hint="default"/>
        <w:sz w:val="16"/>
        <w:szCs w:val="16"/>
      </w:rPr>
    </w:lvl>
    <w:lvl w:ilvl="1" w:tplc="83D4F65E">
      <w:start w:val="546"/>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06B7A90"/>
    <w:multiLevelType w:val="hybridMultilevel"/>
    <w:tmpl w:val="89CCE5C0"/>
    <w:lvl w:ilvl="0" w:tplc="2F8A317A">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2E934A4"/>
    <w:multiLevelType w:val="hybridMultilevel"/>
    <w:tmpl w:val="D3447966"/>
    <w:lvl w:ilvl="0" w:tplc="2F8A317A">
      <w:start w:val="1"/>
      <w:numFmt w:val="bullet"/>
      <w:lvlText w:val=""/>
      <w:lvlJc w:val="left"/>
      <w:pPr>
        <w:ind w:left="825" w:hanging="360"/>
      </w:pPr>
      <w:rPr>
        <w:rFonts w:ascii="Symbol" w:hAnsi="Symbol" w:hint="default"/>
        <w:sz w:val="16"/>
        <w:szCs w:val="16"/>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16">
    <w:nsid w:val="7475074B"/>
    <w:multiLevelType w:val="hybridMultilevel"/>
    <w:tmpl w:val="E61C535A"/>
    <w:lvl w:ilvl="0" w:tplc="2F8A317A">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E1A00F8"/>
    <w:multiLevelType w:val="hybridMultilevel"/>
    <w:tmpl w:val="CCA44B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
  </w:num>
  <w:num w:numId="3">
    <w:abstractNumId w:val="17"/>
  </w:num>
  <w:num w:numId="4">
    <w:abstractNumId w:val="9"/>
  </w:num>
  <w:num w:numId="5">
    <w:abstractNumId w:val="14"/>
  </w:num>
  <w:num w:numId="6">
    <w:abstractNumId w:val="5"/>
  </w:num>
  <w:num w:numId="7">
    <w:abstractNumId w:val="3"/>
  </w:num>
  <w:num w:numId="8">
    <w:abstractNumId w:val="12"/>
  </w:num>
  <w:num w:numId="9">
    <w:abstractNumId w:val="11"/>
  </w:num>
  <w:num w:numId="10">
    <w:abstractNumId w:val="0"/>
  </w:num>
  <w:num w:numId="11">
    <w:abstractNumId w:val="4"/>
  </w:num>
  <w:num w:numId="12">
    <w:abstractNumId w:val="13"/>
  </w:num>
  <w:num w:numId="13">
    <w:abstractNumId w:val="10"/>
  </w:num>
  <w:num w:numId="14">
    <w:abstractNumId w:val="6"/>
  </w:num>
  <w:num w:numId="15">
    <w:abstractNumId w:val="15"/>
  </w:num>
  <w:num w:numId="16">
    <w:abstractNumId w:val="2"/>
  </w:num>
  <w:num w:numId="17">
    <w:abstractNumId w:val="8"/>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A1A"/>
    <w:rsid w:val="001F6653"/>
    <w:rsid w:val="002944DC"/>
    <w:rsid w:val="003D0ECA"/>
    <w:rsid w:val="00535061"/>
    <w:rsid w:val="005A267C"/>
    <w:rsid w:val="009146E9"/>
    <w:rsid w:val="009F7A1A"/>
    <w:rsid w:val="00A92EDB"/>
    <w:rsid w:val="00EF4EEE"/>
    <w:rsid w:val="00FB1E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9F7A1A"/>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9F7A1A"/>
    <w:rPr>
      <w:rFonts w:ascii="Tahoma" w:hAnsi="Tahoma" w:cs="Tahoma"/>
      <w:sz w:val="16"/>
      <w:szCs w:val="16"/>
    </w:rPr>
  </w:style>
  <w:style w:type="character" w:customStyle="1" w:styleId="BalloonTextChar">
    <w:name w:val="Balloon Text Char"/>
    <w:basedOn w:val="DefaultParagraphFont"/>
    <w:link w:val="BalloonText"/>
    <w:uiPriority w:val="99"/>
    <w:semiHidden/>
    <w:rsid w:val="009F7A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9F7A1A"/>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9F7A1A"/>
    <w:rPr>
      <w:rFonts w:ascii="Tahoma" w:hAnsi="Tahoma" w:cs="Tahoma"/>
      <w:sz w:val="16"/>
      <w:szCs w:val="16"/>
    </w:rPr>
  </w:style>
  <w:style w:type="character" w:customStyle="1" w:styleId="BalloonTextChar">
    <w:name w:val="Balloon Text Char"/>
    <w:basedOn w:val="DefaultParagraphFont"/>
    <w:link w:val="BalloonText"/>
    <w:uiPriority w:val="99"/>
    <w:semiHidden/>
    <w:rsid w:val="009F7A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tmp"/><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image" Target="media/image10.tmp"/><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1614</TotalTime>
  <Pages>4</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1</cp:revision>
  <dcterms:created xsi:type="dcterms:W3CDTF">2015-01-29T01:41:00Z</dcterms:created>
  <dcterms:modified xsi:type="dcterms:W3CDTF">2015-01-30T04:35:00Z</dcterms:modified>
</cp:coreProperties>
</file>