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AD2700">
      <w:pPr>
        <w:pStyle w:val="NormalWeb"/>
        <w:spacing w:before="0" w:beforeAutospacing="0" w:after="0" w:afterAutospacing="0"/>
        <w:rPr>
          <w:rFonts w:ascii="Calibri Light" w:hAnsi="Calibri Light"/>
          <w:color w:val="000000"/>
          <w:sz w:val="40"/>
          <w:szCs w:val="40"/>
          <w:lang w:val="fr-CA"/>
        </w:rPr>
      </w:pPr>
      <w:bookmarkStart w:id="0" w:name="_GoBack"/>
      <w:bookmarkEnd w:id="0"/>
      <w:r>
        <w:rPr>
          <w:rFonts w:ascii="Calibri Light" w:hAnsi="Calibri Light"/>
          <w:color w:val="000000"/>
          <w:sz w:val="40"/>
          <w:szCs w:val="40"/>
          <w:lang w:val="fr-CA"/>
        </w:rPr>
        <w:t>Acco 240 chapter 8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  <w:lang w:val="fr-CA"/>
        </w:rPr>
      </w:pPr>
      <w:r>
        <w:rPr>
          <w:rFonts w:ascii="Calibri" w:hAnsi="Calibri"/>
          <w:color w:val="808080"/>
          <w:sz w:val="20"/>
          <w:szCs w:val="20"/>
          <w:lang w:val="fr-CA"/>
        </w:rPr>
        <w:t>16 mars 2015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  <w:lang w:val="fr-CA"/>
        </w:rPr>
      </w:pPr>
      <w:r>
        <w:rPr>
          <w:rFonts w:ascii="Calibri" w:hAnsi="Calibri"/>
          <w:color w:val="808080"/>
          <w:sz w:val="20"/>
          <w:szCs w:val="20"/>
          <w:lang w:val="fr-CA"/>
        </w:rPr>
        <w:t>14:09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Book Antiqua" w:hAnsi="Book Antiqua"/>
          <w:color w:val="000000"/>
          <w:sz w:val="52"/>
          <w:szCs w:val="52"/>
          <w:lang w:val="fr-CA"/>
        </w:rPr>
      </w:pPr>
      <w:r>
        <w:rPr>
          <w:rFonts w:ascii="Book Antiqua" w:hAnsi="Book Antiqua"/>
          <w:b/>
          <w:bCs/>
          <w:color w:val="000000"/>
          <w:sz w:val="52"/>
          <w:szCs w:val="52"/>
          <w:lang w:val="fr-CA"/>
        </w:rPr>
        <w:t>Inventory costing Methods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6"/>
          <w:szCs w:val="26"/>
          <w:lang w:val="fr-CA"/>
        </w:rPr>
      </w:pPr>
      <w:r>
        <w:rPr>
          <w:rFonts w:ascii="Calibri" w:hAnsi="Calibri"/>
          <w:b/>
          <w:bCs/>
          <w:color w:val="000000"/>
          <w:sz w:val="26"/>
          <w:szCs w:val="26"/>
          <w:u w:val="single"/>
          <w:lang w:val="fr-CA"/>
        </w:rPr>
        <w:t>Absorption Costing</w:t>
      </w:r>
      <w:r>
        <w:rPr>
          <w:rFonts w:ascii="Calibri" w:hAnsi="Calibri"/>
          <w:color w:val="000000"/>
          <w:sz w:val="26"/>
          <w:szCs w:val="26"/>
          <w:lang w:val="fr-CA"/>
        </w:rPr>
        <w:t>:</w:t>
      </w:r>
      <w:r>
        <w:rPr>
          <w:rFonts w:ascii="Calibri" w:hAnsi="Calibri"/>
          <w:b/>
          <w:bCs/>
          <w:color w:val="000000"/>
          <w:sz w:val="26"/>
          <w:szCs w:val="26"/>
          <w:lang w:val="fr-CA"/>
        </w:rPr>
        <w:t xml:space="preserve"> ( more for longterm decisions )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Under this method</w:t>
      </w:r>
      <w:r>
        <w:rPr>
          <w:rFonts w:ascii="Calibri" w:hAnsi="Calibri"/>
          <w:b/>
          <w:bCs/>
          <w:color w:val="002060"/>
          <w:sz w:val="22"/>
          <w:szCs w:val="22"/>
          <w:highlight w:val="yellow"/>
          <w:lang w:val="fr-CA"/>
        </w:rPr>
        <w:t xml:space="preserve"> DM, DL and Both VOH and FOH are classified as Product costs</w:t>
      </w:r>
      <w:r>
        <w:rPr>
          <w:rFonts w:ascii="Calibri" w:hAnsi="Calibri"/>
          <w:color w:val="000000"/>
          <w:sz w:val="22"/>
          <w:szCs w:val="22"/>
          <w:lang w:val="fr-CA"/>
        </w:rPr>
        <w:t xml:space="preserve">. Because all </w:t>
      </w:r>
      <w:r>
        <w:rPr>
          <w:rFonts w:ascii="Calibri" w:hAnsi="Calibri"/>
          <w:b/>
          <w:bCs/>
          <w:color w:val="000000"/>
          <w:sz w:val="22"/>
          <w:szCs w:val="22"/>
          <w:lang w:val="fr-CA"/>
        </w:rPr>
        <w:t xml:space="preserve">manufacturing cost are </w:t>
      </w:r>
      <w:r>
        <w:rPr>
          <w:rFonts w:ascii="Calibri" w:hAnsi="Calibri"/>
          <w:b/>
          <w:bCs/>
          <w:color w:val="000000"/>
          <w:sz w:val="22"/>
          <w:szCs w:val="22"/>
          <w:lang w:val="fr-CA"/>
        </w:rPr>
        <w:t>charged to or absorbed by, the produc</w:t>
      </w:r>
      <w:r>
        <w:rPr>
          <w:rFonts w:ascii="Calibri" w:hAnsi="Calibri"/>
          <w:color w:val="000000"/>
          <w:sz w:val="22"/>
          <w:szCs w:val="22"/>
          <w:lang w:val="fr-CA"/>
        </w:rPr>
        <w:t>t (some FOH are expensed right away but some other are differed to future period as a part of ending inventory ). It's the</w:t>
      </w:r>
      <w:r>
        <w:rPr>
          <w:rFonts w:ascii="Calibri" w:hAnsi="Calibri"/>
          <w:b/>
          <w:bCs/>
          <w:color w:val="000000"/>
          <w:sz w:val="22"/>
          <w:szCs w:val="22"/>
          <w:lang w:val="fr-CA"/>
        </w:rPr>
        <w:t xml:space="preserve"> </w:t>
      </w:r>
      <w:r>
        <w:rPr>
          <w:rFonts w:ascii="Calibri" w:hAnsi="Calibri"/>
          <w:b/>
          <w:bCs/>
          <w:color w:val="000000"/>
          <w:sz w:val="22"/>
          <w:szCs w:val="22"/>
          <w:highlight w:val="yellow"/>
          <w:lang w:val="fr-CA"/>
        </w:rPr>
        <w:t>approach use for external reporting under GAAP.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b/>
          <w:bCs/>
          <w:color w:val="000000"/>
          <w:sz w:val="22"/>
          <w:szCs w:val="22"/>
          <w:shd w:val="clear" w:color="auto" w:fill="FFFFFF"/>
          <w:lang w:val="fr-CA"/>
        </w:rPr>
        <w:t xml:space="preserve">We use a normal income statement </w:t>
      </w:r>
      <w:r>
        <w:rPr>
          <w:rFonts w:ascii="Calibri" w:hAnsi="Calibri"/>
          <w:b/>
          <w:bCs/>
          <w:color w:val="000000"/>
          <w:sz w:val="22"/>
          <w:szCs w:val="22"/>
          <w:shd w:val="clear" w:color="auto" w:fill="FFFFFF"/>
          <w:lang w:val="fr-CA"/>
        </w:rPr>
        <w:t>using COGS and Gross Profit.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b/>
          <w:bCs/>
          <w:color w:val="000000"/>
          <w:sz w:val="22"/>
          <w:szCs w:val="22"/>
          <w:shd w:val="clear" w:color="auto" w:fill="FFFFFF"/>
          <w:lang w:val="fr-CA"/>
        </w:rPr>
        <w:t>*Net Income is affected by change in production level.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Book Antiqua" w:hAnsi="Book Antiqua"/>
          <w:color w:val="000000"/>
          <w:sz w:val="22"/>
          <w:szCs w:val="22"/>
          <w:lang w:val="fr-CA"/>
        </w:rPr>
      </w:pPr>
      <w:r>
        <w:rPr>
          <w:rFonts w:ascii="Book Antiqua" w:hAnsi="Book Antiqua"/>
          <w:color w:val="000000"/>
          <w:sz w:val="22"/>
          <w:szCs w:val="22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Book Antiqua" w:hAnsi="Book Antiqua"/>
          <w:color w:val="000000"/>
          <w:sz w:val="26"/>
          <w:szCs w:val="26"/>
          <w:lang w:val="fr-CA"/>
        </w:rPr>
      </w:pPr>
      <w:r>
        <w:rPr>
          <w:rFonts w:ascii="Book Antiqua" w:hAnsi="Book Antiqua"/>
          <w:b/>
          <w:bCs/>
          <w:color w:val="000000"/>
          <w:sz w:val="26"/>
          <w:szCs w:val="26"/>
          <w:u w:val="single"/>
          <w:shd w:val="clear" w:color="auto" w:fill="FFFFFF"/>
          <w:lang w:val="fr-CA"/>
        </w:rPr>
        <w:t>Variable costing</w:t>
      </w:r>
      <w:r>
        <w:rPr>
          <w:rFonts w:ascii="Book Antiqua" w:hAnsi="Book Antiqua"/>
          <w:b/>
          <w:bCs/>
          <w:color w:val="000000"/>
          <w:sz w:val="26"/>
          <w:szCs w:val="26"/>
          <w:lang w:val="fr-CA"/>
        </w:rPr>
        <w:t>:  (use more for short-term decision )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Under this method only</w:t>
      </w:r>
      <w:r>
        <w:rPr>
          <w:rFonts w:ascii="Calibri" w:hAnsi="Calibri"/>
          <w:b/>
          <w:bCs/>
          <w:color w:val="000000"/>
          <w:sz w:val="22"/>
          <w:szCs w:val="22"/>
          <w:highlight w:val="green"/>
          <w:lang w:val="fr-CA"/>
        </w:rPr>
        <w:t xml:space="preserve"> DM, DL and VOH are considered as product cost</w:t>
      </w:r>
      <w:r>
        <w:rPr>
          <w:rFonts w:ascii="Calibri" w:hAnsi="Calibri"/>
          <w:color w:val="000000"/>
          <w:sz w:val="22"/>
          <w:szCs w:val="22"/>
          <w:lang w:val="fr-CA"/>
        </w:rPr>
        <w:t xml:space="preserve">. </w:t>
      </w:r>
      <w:r>
        <w:rPr>
          <w:rFonts w:ascii="Calibri" w:hAnsi="Calibri"/>
          <w:b/>
          <w:bCs/>
          <w:color w:val="000000"/>
          <w:sz w:val="22"/>
          <w:szCs w:val="22"/>
          <w:lang w:val="fr-CA"/>
        </w:rPr>
        <w:t xml:space="preserve">FOH is considered as a period cost and </w:t>
      </w:r>
      <w:r>
        <w:rPr>
          <w:rFonts w:ascii="Calibri" w:hAnsi="Calibri"/>
          <w:b/>
          <w:bCs/>
          <w:color w:val="000000"/>
          <w:sz w:val="22"/>
          <w:szCs w:val="22"/>
          <w:lang w:val="fr-CA"/>
        </w:rPr>
        <w:t>is expensed when incurred (expense in the same period)</w:t>
      </w:r>
      <w:r>
        <w:rPr>
          <w:rFonts w:ascii="Calibri" w:hAnsi="Calibri"/>
          <w:color w:val="000000"/>
          <w:sz w:val="22"/>
          <w:szCs w:val="22"/>
          <w:lang w:val="fr-CA"/>
        </w:rPr>
        <w:t>. Used for internal purpose anddecision making process.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b/>
          <w:bCs/>
          <w:color w:val="000000"/>
          <w:sz w:val="22"/>
          <w:szCs w:val="22"/>
          <w:lang w:val="fr-CA"/>
        </w:rPr>
        <w:t xml:space="preserve">We use CVP income statement under VC which mean , we calculate the Variable COGS+ V. sell/Admin. and CONTIBUTION MARGIN </w:t>
      </w:r>
      <w:r>
        <w:rPr>
          <w:rFonts w:ascii="Calibri" w:hAnsi="Calibri"/>
          <w:color w:val="000000"/>
          <w:sz w:val="22"/>
          <w:szCs w:val="22"/>
          <w:lang w:val="fr-CA"/>
        </w:rPr>
        <w:t>.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b/>
          <w:bCs/>
          <w:color w:val="000000"/>
          <w:sz w:val="22"/>
          <w:szCs w:val="22"/>
          <w:lang w:val="fr-CA"/>
        </w:rPr>
        <w:t>*Net Income is not a</w:t>
      </w:r>
      <w:r>
        <w:rPr>
          <w:rFonts w:ascii="Calibri" w:hAnsi="Calibri"/>
          <w:b/>
          <w:bCs/>
          <w:color w:val="000000"/>
          <w:sz w:val="22"/>
          <w:szCs w:val="22"/>
          <w:lang w:val="fr-CA"/>
        </w:rPr>
        <w:t>ffected by change in production level.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315075" cy="723900"/>
            <wp:effectExtent l="0" t="0" r="9525" b="0"/>
            <wp:docPr id="1" name="Image 1" descr="Texte de remplacement généré par une machine :&#10;Absorption Costing &#10;product Cost &#10;Fixed Manufacturing Overhead &#10;Variable Costing &#10;period Cost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xte de remplacement généré par une machine :&#10;Absorption Costing &#10;product Cost &#10;Fixed Manufacturing Overhead &#10;Variable Costing &#10;period Cost 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b/>
          <w:bCs/>
          <w:color w:val="000000"/>
          <w:sz w:val="22"/>
          <w:szCs w:val="22"/>
          <w:shd w:val="clear" w:color="auto" w:fill="FFFFFF"/>
          <w:lang w:val="fr-CA"/>
        </w:rPr>
        <w:t>Illustration  comparing absorption costing ans variable costing: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7810500" cy="1238250"/>
            <wp:effectExtent l="0" t="0" r="0" b="0"/>
            <wp:docPr id="2" name="Image 2" descr="Texte de remplacement généré par une machine :&#10;Fix-it selling price: $20 per unit &#10;Units: produced 30,000; sold 20,000; beginning inventory zero &#10;Variable unit costs: manufacturing $9 (direct materials $5, direct labour $3, and variable overhead $1); &#10;selling and administrative expenses $2 &#10;Fixed costs: manufacturing overhead Sl 20,000; selling and administrative expenses $15,000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exte de remplacement généré par une machine :&#10;Fix-it selling price: $20 per unit &#10;Units: produced 30,000; sold 20,000; beginning inventory zero &#10;Variable unit costs: manufacturing $9 (direct materials $5, direct labour $3, and variable overhead $1); &#10;selling and administrative expenses $2 &#10;Fixed costs: manufacturing overhead Sl 20,000; selling and administrative expenses $15,000 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7762875" cy="1695450"/>
            <wp:effectExtent l="0" t="0" r="9525" b="0"/>
            <wp:docPr id="3" name="Image 3" descr="Texte de remplacement généré par une machine :&#10;Type of cost &#10;Direct materials &#10;Direct labour &#10;Var iable manufacturing overhead &#10;Fixed manufacturing overhead (S 120,000 4 30,000 units produced) &#10;Manufacturing cost per unit &#10;Absorption &#10;costing &#10;4 &#10;S13 &#10;Variable &#10;costing &#10;$5 &#10;$9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exte de remplacement généré par une machine :&#10;Type of cost &#10;Direct materials &#10;Direct labour &#10;Var iable manufacturing overhead &#10;Fixed manufacturing overhead (S 120,000 4 30,000 units produced) &#10;Manufacturing cost per unit &#10;Absorption &#10;costing &#10;4 &#10;S13 &#10;Variable &#10;costing &#10;$5 &#10;$9 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287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b/>
          <w:bCs/>
          <w:color w:val="000000"/>
          <w:sz w:val="22"/>
          <w:szCs w:val="22"/>
          <w:lang w:val="fr-CA"/>
        </w:rPr>
        <w:t>Absorption costing illustration: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7610475" cy="3381375"/>
            <wp:effectExtent l="0" t="0" r="9525" b="9525"/>
            <wp:docPr id="4" name="Image 4" descr="Texte de remplacement généré par une machine :&#10;PREMIUM PRODUCTS CORPORATION &#10;Income Statement &#10;Month Ended January 31, 2012 &#10;Absorption Costing &#10;sales (20,000 units x S20) &#10;Cost of goods sold &#10;Inventory, January I &#10;Cost of goods manufactured (30,000 units X $13) &#10;Cost of goods available for sale &#10;Inventory, January 31 (10,000 units x $13) &#10;Cost of goods sold (20,000 units x $13) &#10;Gross profit &#10;Variable selling and administrative expenses &#10;Fixed selling and administrative expenses &#10;Net income &#10;$400,000 &#10;260,000 &#10;140,000 &#10;40,000 &#10;15,000 &#10;$ 85,000 &#10;390,000 &#10;390,000 &#10;130,000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exte de remplacement généré par une machine :&#10;PREMIUM PRODUCTS CORPORATION &#10;Income Statement &#10;Month Ended January 31, 2012 &#10;Absorption Costing &#10;sales (20,000 units x S20) &#10;Cost of goods sold &#10;Inventory, January I &#10;Cost of goods manufactured (30,000 units X $13) &#10;Cost of goods available for sale &#10;Inventory, January 31 (10,000 units x $13) &#10;Cost of goods sold (20,000 units x $13) &#10;Gross profit &#10;Variable selling and administrative expenses &#10;Fixed selling and administrative expenses &#10;Net income &#10;$400,000 &#10;260,000 &#10;140,000 &#10;40,000 &#10;15,000 &#10;$ 85,000 &#10;390,000 &#10;390,000 &#10;130,000 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0475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Variable costing Illustratio</w:t>
      </w:r>
      <w:r>
        <w:rPr>
          <w:rFonts w:ascii="Calibri" w:hAnsi="Calibri"/>
          <w:b/>
          <w:bCs/>
          <w:color w:val="000000"/>
          <w:sz w:val="22"/>
          <w:szCs w:val="22"/>
        </w:rPr>
        <w:t>n :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7791450" cy="3933825"/>
            <wp:effectExtent l="0" t="0" r="0" b="9525"/>
            <wp:docPr id="5" name="Image 5" descr="Texte de remplacement généré par une machine :&#10;PREMIUM PRODUCTS CORPORATION &#10;Income Statement &#10;Month Ended January 31, 2012 &#10;Variable Cos &#10;Sales (20,000 units x $20) &#10;Variable costs &#10;Inventory, January I &#10;Variable manufacturing COSIS (30,000 units x $9) &#10;Cost of goods available for sale &#10;Inventory, January 31 (10,000 units X $9) &#10;Variable cost of goods sold &#10;Variable selling and administrative expenses &#10;(20,000 units x $2) &#10;Contribution margin &#10;Fixed manufacturing overhead &#10;Fixed selling and administrative expenses &#10;Net income &#10;$400,000 &#10;220,000 &#10;180,000 &#10;120,000 &#10;15,000 &#10;s 45,000 &#10;o &#10;270,000 &#10;270,000 &#10;90,000 &#10;180,000 &#10;40,000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exte de remplacement généré par une machine :&#10;PREMIUM PRODUCTS CORPORATION &#10;Income Statement &#10;Month Ended January 31, 2012 &#10;Variable Cos &#10;Sales (20,000 units x $20) &#10;Variable costs &#10;Inventory, January I &#10;Variable manufacturing COSIS (30,000 units x $9) &#10;Cost of goods available for sale &#10;Inventory, January 31 (10,000 units X $9) &#10;Variable cost of goods sold &#10;Variable selling and administrative expenses &#10;(20,000 units x $2) &#10;Contribution margin &#10;Fixed manufacturing overhead &#10;Fixed selling and administrative expenses &#10;Net income &#10;$400,000 &#10;220,000 &#10;180,000 &#10;120,000 &#10;15,000 &#10;s 45,000 &#10;o &#10;270,000 &#10;270,000 &#10;90,000 &#10;180,000 &#10;40,000 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1450" cy="393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b/>
          <w:bCs/>
          <w:color w:val="000000"/>
          <w:sz w:val="22"/>
          <w:szCs w:val="22"/>
          <w:lang w:val="fr-CA"/>
        </w:rPr>
        <w:t>**There is one primary difference between variable and absorption costing: under VC the FOH is charged as an e</w:t>
      </w:r>
      <w:r>
        <w:rPr>
          <w:rFonts w:ascii="Calibri" w:hAnsi="Calibri"/>
          <w:b/>
          <w:bCs/>
          <w:color w:val="000000"/>
          <w:sz w:val="22"/>
          <w:szCs w:val="22"/>
          <w:lang w:val="fr-CA"/>
        </w:rPr>
        <w:t>xpense in the CURRENT PERIOD.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b/>
          <w:bCs/>
          <w:color w:val="000000"/>
          <w:sz w:val="22"/>
          <w:szCs w:val="22"/>
          <w:lang w:val="fr-CA"/>
        </w:rPr>
        <w:t>Illustration of production level vs sell level and their impact on Income under Both method: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7486650" cy="1676400"/>
            <wp:effectExtent l="0" t="0" r="0" b="0"/>
            <wp:docPr id="6" name="Image 6" descr="Texte de remplacement généré par une machine :&#10;Absorption costing &#10;Variable costing &#10;Difference &#10;Net Income under Both Costing Approaches &#10;2012 &#10;Production — Sales &#10;S870,ooo &#10;870,000 &#10;2013 &#10;Production Sales &#10;$680,000 &#10;560,000 &#10;$120,000 &#10;2014 &#10;Production Sales &#10;s (120,000)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exte de remplacement généré par une machine :&#10;Absorption costing &#10;Variable costing &#10;Difference &#10;Net Income under Both Costing Approaches &#10;2012 &#10;Production — Sales &#10;S870,ooo &#10;870,000 &#10;2013 &#10;Production Sales &#10;$680,000 &#10;560,000 &#10;$120,000 &#10;2014 &#10;Production Sales &#10;s (120,000) 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665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7458075" cy="2667000"/>
            <wp:effectExtent l="0" t="0" r="9525" b="0"/>
            <wp:docPr id="7" name="Image 7" descr="Texte de remplacement généré par une machine :&#10;Circumstances &#10;Income &#10;Absorption Costing &#10;Variable Costing &#10;Units Produced &#10;Units Produced &#10;— Units Sold &#10;Units Sold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exte de remplacement généré par une machine :&#10;Circumstances &#10;Income &#10;Absorption Costing &#10;Variable Costing &#10;Units Produced &#10;Units Produced &#10;— Units Sold &#10;Units Sold 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807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** The difference is the cost of ending inventory. Because under absorption costing  we use the FOH as product cost which increase the value of en</w:t>
      </w:r>
      <w:r>
        <w:rPr>
          <w:rFonts w:ascii="Calibri" w:hAnsi="Calibri"/>
          <w:color w:val="000000"/>
          <w:sz w:val="22"/>
          <w:szCs w:val="22"/>
        </w:rPr>
        <w:t>ding inventory . ( all about Fixed cost and ending inventory ).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Book Antiqua" w:hAnsi="Book Antiqua"/>
          <w:color w:val="000000"/>
          <w:sz w:val="52"/>
          <w:szCs w:val="52"/>
        </w:rPr>
      </w:pPr>
      <w:r>
        <w:rPr>
          <w:rFonts w:ascii="Book Antiqua" w:hAnsi="Book Antiqua"/>
          <w:b/>
          <w:bCs/>
          <w:color w:val="000000"/>
          <w:sz w:val="52"/>
          <w:szCs w:val="52"/>
        </w:rPr>
        <w:t>Decision-Making concerns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Performance evaluation</w:t>
      </w:r>
      <w:r>
        <w:rPr>
          <w:rFonts w:ascii="Calibri" w:hAnsi="Calibri"/>
          <w:color w:val="000000"/>
          <w:sz w:val="22"/>
          <w:szCs w:val="22"/>
        </w:rPr>
        <w:t xml:space="preserve">: 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Under absorption</w:t>
      </w:r>
      <w:r>
        <w:rPr>
          <w:rFonts w:ascii="Calibri" w:hAnsi="Calibri"/>
          <w:color w:val="000000"/>
          <w:sz w:val="22"/>
          <w:szCs w:val="22"/>
        </w:rPr>
        <w:t xml:space="preserve"> since not all the FOH are expensed in the period in which they are incurred some management could be</w:t>
      </w:r>
      <w:r>
        <w:rPr>
          <w:rFonts w:ascii="Calibri" w:hAnsi="Calibri"/>
          <w:b/>
          <w:bCs/>
          <w:color w:val="000000"/>
          <w:sz w:val="22"/>
          <w:szCs w:val="22"/>
        </w:rPr>
        <w:t xml:space="preserve"> </w:t>
      </w:r>
      <w:r>
        <w:rPr>
          <w:rFonts w:ascii="Calibri" w:hAnsi="Calibri"/>
          <w:b/>
          <w:bCs/>
          <w:color w:val="000000"/>
          <w:sz w:val="22"/>
          <w:szCs w:val="22"/>
        </w:rPr>
        <w:t>tempted to over produce in order to show an Higher  net income</w:t>
      </w:r>
      <w:r>
        <w:rPr>
          <w:rFonts w:ascii="Calibri" w:hAnsi="Calibri"/>
          <w:color w:val="000000"/>
          <w:sz w:val="22"/>
          <w:szCs w:val="22"/>
        </w:rPr>
        <w:t>. Since the FOH not expensed during the period are differed as a part of ending inventory , it  reduce cost of good sold and therefore virtually increase net income.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 xml:space="preserve">But sometime what is good </w:t>
      </w:r>
      <w:r>
        <w:rPr>
          <w:rFonts w:ascii="Calibri" w:hAnsi="Calibri"/>
          <w:b/>
          <w:bCs/>
          <w:color w:val="000000"/>
          <w:sz w:val="22"/>
          <w:szCs w:val="22"/>
        </w:rPr>
        <w:t>for the management is not good for the company. As a cie. over-produced the build up of inventory cost more money to the company</w:t>
      </w:r>
      <w:r>
        <w:rPr>
          <w:rFonts w:ascii="Calibri" w:hAnsi="Calibri"/>
          <w:color w:val="000000"/>
          <w:sz w:val="22"/>
          <w:szCs w:val="22"/>
        </w:rPr>
        <w:t>. Manager may make more money because the net income is increasing but at the end it cost more money  to the company.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Under Va</w:t>
      </w:r>
      <w:r>
        <w:rPr>
          <w:rFonts w:ascii="Calibri" w:hAnsi="Calibri"/>
          <w:color w:val="000000"/>
          <w:sz w:val="22"/>
          <w:szCs w:val="22"/>
        </w:rPr>
        <w:t>riable costing the</w:t>
      </w:r>
      <w:r>
        <w:rPr>
          <w:rFonts w:ascii="Calibri" w:hAnsi="Calibri"/>
          <w:b/>
          <w:bCs/>
          <w:color w:val="000000"/>
          <w:sz w:val="22"/>
          <w:szCs w:val="22"/>
        </w:rPr>
        <w:t xml:space="preserve"> company would avoid this situation because net income</w:t>
      </w:r>
      <w:r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Fonts w:ascii="Calibri" w:hAnsi="Calibri"/>
          <w:b/>
          <w:bCs/>
          <w:color w:val="000000"/>
          <w:sz w:val="22"/>
          <w:szCs w:val="22"/>
        </w:rPr>
        <w:t xml:space="preserve">under Variable costing is not affected by changed in 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production level.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220" w:afterAutospacing="0"/>
        <w:rPr>
          <w:rFonts w:ascii="Times" w:hAnsi="Times" w:cs="Times"/>
          <w:color w:val="A74246"/>
          <w:sz w:val="36"/>
          <w:szCs w:val="36"/>
          <w:lang w:val="fr-CA"/>
        </w:rPr>
      </w:pPr>
      <w:r>
        <w:rPr>
          <w:rFonts w:ascii="Times" w:hAnsi="Times" w:cs="Times"/>
          <w:color w:val="A74246"/>
          <w:sz w:val="36"/>
          <w:szCs w:val="36"/>
          <w:lang w:val="fr-CA"/>
        </w:rPr>
        <w:t>Potential Advantages of Variable Costing</w:t>
      </w:r>
    </w:p>
    <w:p w:rsidR="00000000" w:rsidRDefault="00AD2700">
      <w:pPr>
        <w:pStyle w:val="NormalWeb"/>
        <w:spacing w:before="0" w:beforeAutospacing="0" w:after="60" w:afterAutospacing="0"/>
        <w:rPr>
          <w:rFonts w:ascii="Calibri" w:hAnsi="Calibri"/>
          <w:color w:val="000000"/>
          <w:sz w:val="21"/>
          <w:szCs w:val="21"/>
          <w:lang w:val="fr-CA"/>
        </w:rPr>
      </w:pPr>
      <w:r>
        <w:rPr>
          <w:rFonts w:ascii="Calibri" w:hAnsi="Calibri"/>
          <w:color w:val="000000"/>
          <w:sz w:val="21"/>
          <w:szCs w:val="21"/>
          <w:lang w:val="fr-CA"/>
        </w:rPr>
        <w:t xml:space="preserve">                  </w:t>
      </w:r>
      <w:r>
        <w:rPr>
          <w:rFonts w:ascii="Calibri" w:hAnsi="Calibri"/>
          <w:color w:val="000000"/>
          <w:sz w:val="21"/>
          <w:szCs w:val="21"/>
          <w:lang w:val="fr-CA"/>
        </w:rPr>
        <w:t>Variable costing has the following potential advantages compared with absorption costing:</w:t>
      </w:r>
    </w:p>
    <w:tbl>
      <w:tblPr>
        <w:tblW w:w="0" w:type="auto"/>
        <w:tblBorders>
          <w:top w:val="single" w:sz="2" w:space="0" w:color="A3A3A3"/>
          <w:left w:val="single" w:sz="2" w:space="0" w:color="A3A3A3"/>
          <w:bottom w:val="single" w:sz="2" w:space="0" w:color="A3A3A3"/>
          <w:right w:val="single" w:sz="2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"/>
        <w:gridCol w:w="12027"/>
      </w:tblGrid>
      <w:tr w:rsidR="00000000">
        <w:trPr>
          <w:divId w:val="112323166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AD2700">
            <w:pPr>
              <w:pStyle w:val="NormalWeb"/>
              <w:spacing w:before="0" w:beforeAutospacing="0" w:after="60" w:afterAutospacing="0"/>
              <w:rPr>
                <w:rFonts w:ascii="Calibri" w:hAnsi="Calibri"/>
                <w:color w:val="000000"/>
                <w:sz w:val="21"/>
                <w:szCs w:val="21"/>
                <w:lang w:val="fr-CA"/>
              </w:rPr>
            </w:pPr>
            <w:r>
              <w:rPr>
                <w:rFonts w:ascii="Calibri" w:hAnsi="Calibri"/>
                <w:b/>
                <w:bCs/>
                <w:color w:val="000000"/>
                <w:sz w:val="21"/>
                <w:szCs w:val="21"/>
                <w:lang w:val="fr-CA"/>
              </w:rPr>
              <w:t>1.   </w:t>
            </w:r>
          </w:p>
        </w:tc>
        <w:tc>
          <w:tcPr>
            <w:tcW w:w="12027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AD2700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b/>
                <w:bCs/>
                <w:sz w:val="21"/>
                <w:szCs w:val="21"/>
                <w:lang w:val="fr-CA"/>
              </w:rPr>
              <w:t>The use of variable costing is consistent with the cost-volume-profit</w:t>
            </w:r>
            <w:r>
              <w:rPr>
                <w:rFonts w:ascii="Calibri" w:hAnsi="Calibri"/>
                <w:sz w:val="21"/>
                <w:szCs w:val="21"/>
                <w:lang w:val="fr-CA"/>
              </w:rPr>
              <w:t xml:space="preserve"> material presented in Chapter </w:t>
            </w:r>
            <w:hyperlink r:id="rId12" w:history="1">
              <w:r>
                <w:rPr>
                  <w:rStyle w:val="Lienhypertexte"/>
                  <w:rFonts w:ascii="Calibri" w:hAnsi="Calibri"/>
                  <w:sz w:val="21"/>
                  <w:szCs w:val="21"/>
                </w:rPr>
                <w:t>6</w:t>
              </w:r>
            </w:hyperlink>
            <w:r>
              <w:rPr>
                <w:rFonts w:ascii="Calibri" w:hAnsi="Calibri"/>
                <w:sz w:val="21"/>
                <w:szCs w:val="21"/>
                <w:lang w:val="fr-CA"/>
              </w:rPr>
              <w:t xml:space="preserve"> and the</w:t>
            </w:r>
            <w:r>
              <w:rPr>
                <w:rFonts w:ascii="Calibri" w:hAnsi="Calibri"/>
                <w:b/>
                <w:bCs/>
                <w:sz w:val="21"/>
                <w:szCs w:val="21"/>
                <w:lang w:val="fr-CA"/>
              </w:rPr>
              <w:t xml:space="preserve"> incremental analysis</w:t>
            </w:r>
            <w:r>
              <w:rPr>
                <w:rFonts w:ascii="Calibri" w:hAnsi="Calibri"/>
                <w:sz w:val="21"/>
                <w:szCs w:val="21"/>
                <w:lang w:val="fr-CA"/>
              </w:rPr>
              <w:t xml:space="preserve"> </w:t>
            </w:r>
            <w:r>
              <w:rPr>
                <w:rFonts w:ascii="Calibri" w:hAnsi="Calibri"/>
                <w:b/>
                <w:bCs/>
                <w:sz w:val="21"/>
                <w:szCs w:val="21"/>
                <w:lang w:val="fr-CA"/>
              </w:rPr>
              <w:t>material presented</w:t>
            </w:r>
            <w:r>
              <w:rPr>
                <w:rFonts w:ascii="Calibri" w:hAnsi="Calibri"/>
                <w:sz w:val="21"/>
                <w:szCs w:val="21"/>
                <w:lang w:val="fr-CA"/>
              </w:rPr>
              <w:t xml:space="preserve"> in Chapter </w:t>
            </w:r>
            <w:hyperlink r:id="rId13" w:history="1">
              <w:r>
                <w:rPr>
                  <w:rStyle w:val="Lienhypertexte"/>
                  <w:rFonts w:ascii="Calibri" w:hAnsi="Calibri"/>
                  <w:sz w:val="21"/>
                  <w:szCs w:val="21"/>
                </w:rPr>
                <w:t>7</w:t>
              </w:r>
            </w:hyperlink>
            <w:r>
              <w:rPr>
                <w:rFonts w:ascii="Calibri" w:hAnsi="Calibri"/>
                <w:sz w:val="21"/>
                <w:szCs w:val="21"/>
                <w:lang w:val="fr-CA"/>
              </w:rPr>
              <w:t>.</w:t>
            </w:r>
          </w:p>
          <w:p w:rsidR="00000000" w:rsidRDefault="00AD2700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1"/>
                <w:szCs w:val="21"/>
                <w:lang w:val="fr-CA"/>
              </w:rPr>
            </w:pPr>
            <w:r>
              <w:rPr>
                <w:rFonts w:ascii="Calibri" w:hAnsi="Calibri"/>
                <w:sz w:val="21"/>
                <w:szCs w:val="21"/>
                <w:lang w:val="fr-CA"/>
              </w:rPr>
              <w:t> </w:t>
            </w:r>
          </w:p>
        </w:tc>
      </w:tr>
      <w:tr w:rsidR="00000000">
        <w:trPr>
          <w:divId w:val="112323166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AD2700">
            <w:pPr>
              <w:pStyle w:val="NormalWeb"/>
              <w:spacing w:before="0" w:beforeAutospacing="0" w:after="60" w:afterAutospacing="0"/>
              <w:rPr>
                <w:rFonts w:ascii="Calibri" w:hAnsi="Calibri"/>
                <w:color w:val="000000"/>
                <w:sz w:val="21"/>
                <w:szCs w:val="21"/>
                <w:lang w:val="fr-CA"/>
              </w:rPr>
            </w:pPr>
            <w:r>
              <w:rPr>
                <w:rFonts w:ascii="Calibri" w:hAnsi="Calibri"/>
                <w:b/>
                <w:bCs/>
                <w:color w:val="000000"/>
                <w:sz w:val="21"/>
                <w:szCs w:val="21"/>
                <w:lang w:val="fr-CA"/>
              </w:rPr>
              <w:t>2.   </w:t>
            </w:r>
          </w:p>
        </w:tc>
        <w:tc>
          <w:tcPr>
            <w:tcW w:w="12027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AD2700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1"/>
                <w:szCs w:val="21"/>
                <w:lang w:val="fr-CA"/>
              </w:rPr>
            </w:pPr>
            <w:r>
              <w:rPr>
                <w:rFonts w:ascii="Calibri" w:hAnsi="Calibri"/>
                <w:b/>
                <w:bCs/>
                <w:sz w:val="21"/>
                <w:szCs w:val="21"/>
                <w:lang w:val="fr-CA"/>
              </w:rPr>
              <w:t>Net income calculated under variable costing is not affected by changes in production levels</w:t>
            </w:r>
            <w:r>
              <w:rPr>
                <w:rFonts w:ascii="Calibri" w:hAnsi="Calibri"/>
                <w:sz w:val="21"/>
                <w:szCs w:val="21"/>
                <w:lang w:val="fr-CA"/>
              </w:rPr>
              <w:t>. As a result, it is much easier to und</w:t>
            </w:r>
            <w:r>
              <w:rPr>
                <w:rFonts w:ascii="Calibri" w:hAnsi="Calibri"/>
                <w:sz w:val="21"/>
                <w:szCs w:val="21"/>
                <w:lang w:val="fr-CA"/>
              </w:rPr>
              <w:t>erstand the impact of fixed and variable costs on the calculation of net income when variable costing is used.</w:t>
            </w:r>
          </w:p>
          <w:p w:rsidR="00000000" w:rsidRDefault="00AD2700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1"/>
                <w:szCs w:val="21"/>
                <w:lang w:val="fr-CA"/>
              </w:rPr>
            </w:pPr>
            <w:r>
              <w:rPr>
                <w:rFonts w:ascii="Calibri" w:hAnsi="Calibri"/>
                <w:sz w:val="21"/>
                <w:szCs w:val="21"/>
                <w:lang w:val="fr-CA"/>
              </w:rPr>
              <w:t> </w:t>
            </w:r>
          </w:p>
        </w:tc>
      </w:tr>
      <w:tr w:rsidR="00000000">
        <w:trPr>
          <w:divId w:val="112323166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AD2700">
            <w:pPr>
              <w:pStyle w:val="NormalWeb"/>
              <w:spacing w:before="0" w:beforeAutospacing="0" w:after="60" w:afterAutospacing="0"/>
              <w:rPr>
                <w:rFonts w:ascii="Calibri" w:hAnsi="Calibri"/>
                <w:color w:val="000000"/>
                <w:sz w:val="21"/>
                <w:szCs w:val="21"/>
                <w:lang w:val="fr-CA"/>
              </w:rPr>
            </w:pPr>
            <w:r>
              <w:rPr>
                <w:rFonts w:ascii="Calibri" w:hAnsi="Calibri"/>
                <w:b/>
                <w:bCs/>
                <w:color w:val="000000"/>
                <w:sz w:val="21"/>
                <w:szCs w:val="21"/>
                <w:lang w:val="fr-CA"/>
              </w:rPr>
              <w:t>3.   </w:t>
            </w:r>
          </w:p>
        </w:tc>
        <w:tc>
          <w:tcPr>
            <w:tcW w:w="12027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AD2700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1"/>
                <w:szCs w:val="21"/>
                <w:lang w:val="fr-CA"/>
              </w:rPr>
            </w:pPr>
            <w:r>
              <w:rPr>
                <w:rFonts w:ascii="Calibri" w:hAnsi="Calibri"/>
                <w:b/>
                <w:bCs/>
                <w:sz w:val="21"/>
                <w:szCs w:val="21"/>
                <w:lang w:val="fr-CA"/>
              </w:rPr>
              <w:t>Net income calculated under variable costing is greatly affected by changes in sales levels (not production levels</w:t>
            </w:r>
            <w:r>
              <w:rPr>
                <w:rFonts w:ascii="Calibri" w:hAnsi="Calibri"/>
                <w:sz w:val="21"/>
                <w:szCs w:val="21"/>
                <w:lang w:val="fr-CA"/>
              </w:rPr>
              <w:t xml:space="preserve">), </w:t>
            </w:r>
            <w:r>
              <w:rPr>
                <w:rFonts w:ascii="Calibri" w:hAnsi="Calibri"/>
                <w:sz w:val="21"/>
                <w:szCs w:val="21"/>
                <w:lang w:val="fr-CA"/>
              </w:rPr>
              <w:t>and it therefore provides a more realistic assessment of the company's success or failure during a period.</w:t>
            </w:r>
          </w:p>
          <w:p w:rsidR="00000000" w:rsidRDefault="00AD2700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1"/>
                <w:szCs w:val="21"/>
                <w:lang w:val="fr-CA"/>
              </w:rPr>
            </w:pPr>
            <w:r>
              <w:rPr>
                <w:rFonts w:ascii="Calibri" w:hAnsi="Calibri"/>
                <w:sz w:val="21"/>
                <w:szCs w:val="21"/>
                <w:lang w:val="fr-CA"/>
              </w:rPr>
              <w:t> </w:t>
            </w:r>
          </w:p>
        </w:tc>
      </w:tr>
      <w:tr w:rsidR="00000000">
        <w:trPr>
          <w:divId w:val="112323166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AD2700">
            <w:pPr>
              <w:pStyle w:val="NormalWeb"/>
              <w:spacing w:before="0" w:beforeAutospacing="0" w:after="60" w:afterAutospacing="0"/>
              <w:rPr>
                <w:rFonts w:ascii="Calibri" w:hAnsi="Calibri"/>
                <w:color w:val="000000"/>
                <w:sz w:val="21"/>
                <w:szCs w:val="21"/>
                <w:lang w:val="fr-CA"/>
              </w:rPr>
            </w:pPr>
            <w:r>
              <w:rPr>
                <w:rFonts w:ascii="Calibri" w:hAnsi="Calibri"/>
                <w:b/>
                <w:bCs/>
                <w:color w:val="000000"/>
                <w:sz w:val="21"/>
                <w:szCs w:val="21"/>
                <w:lang w:val="fr-CA"/>
              </w:rPr>
              <w:t>4.   </w:t>
            </w:r>
          </w:p>
        </w:tc>
        <w:tc>
          <w:tcPr>
            <w:tcW w:w="12027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AD2700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1"/>
                <w:szCs w:val="21"/>
                <w:lang w:val="fr-CA"/>
              </w:rPr>
            </w:pPr>
            <w:r>
              <w:rPr>
                <w:rFonts w:ascii="Calibri" w:hAnsi="Calibri"/>
                <w:b/>
                <w:bCs/>
                <w:sz w:val="21"/>
                <w:szCs w:val="21"/>
                <w:lang w:val="fr-CA"/>
              </w:rPr>
              <w:t>Because the fixed and variable cost components are shown in the variable-costing income statement, it is</w:t>
            </w:r>
            <w:r>
              <w:rPr>
                <w:rFonts w:ascii="Calibri" w:hAnsi="Calibri"/>
                <w:sz w:val="21"/>
                <w:szCs w:val="21"/>
                <w:lang w:val="fr-CA"/>
              </w:rPr>
              <w:t xml:space="preserve"> e</w:t>
            </w:r>
            <w:r>
              <w:rPr>
                <w:rFonts w:ascii="Calibri" w:hAnsi="Calibri"/>
                <w:b/>
                <w:bCs/>
                <w:sz w:val="21"/>
                <w:szCs w:val="21"/>
                <w:lang w:val="fr-CA"/>
              </w:rPr>
              <w:t xml:space="preserve">asier to identify these costs and </w:t>
            </w:r>
            <w:r>
              <w:rPr>
                <w:rFonts w:ascii="Calibri" w:hAnsi="Calibri"/>
                <w:b/>
                <w:bCs/>
                <w:sz w:val="21"/>
                <w:szCs w:val="21"/>
                <w:lang w:val="fr-CA"/>
              </w:rPr>
              <w:t>understand their effect on the business.</w:t>
            </w:r>
            <w:r>
              <w:rPr>
                <w:rFonts w:ascii="Calibri" w:hAnsi="Calibri"/>
                <w:sz w:val="21"/>
                <w:szCs w:val="21"/>
                <w:lang w:val="fr-CA"/>
              </w:rPr>
              <w:t xml:space="preserve"> Under absorption costing, the allocation of fixed costs to inventory makes it difficult to evaluate the impact of fixed costs on the company's results.</w:t>
            </w:r>
          </w:p>
        </w:tc>
      </w:tr>
    </w:tbl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595959"/>
          <w:sz w:val="18"/>
          <w:szCs w:val="18"/>
          <w:lang w:val="fr-CA"/>
        </w:rPr>
      </w:pPr>
      <w:r>
        <w:rPr>
          <w:rFonts w:ascii="Calibri" w:hAnsi="Calibri"/>
          <w:color w:val="595959"/>
          <w:sz w:val="18"/>
          <w:szCs w:val="18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972300" cy="2647950"/>
            <wp:effectExtent l="0" t="0" r="0" b="0"/>
            <wp:docPr id="8" name="Image 8" descr="Texte de remplacement généré par une machine :&#10;Beginning inventory &#10;Expected sales in units &#10;Selling price per unit &#10;Variable manufacturing costs per unit &#10;Fixed manufacturing costs (total) &#10;Fixed manufacturing costs per unit &#10;Based on 20,000 units produced &#10;Based on 30,000 units produced &#10;Manufacturing costs per unit &#10;Based on 20,000 units produced &#10;Based on 30,000 units produced &#10;Variable selling and administrative expenses per unit &#10;Fixed selling and administrative expenses &#10;20,000 &#10;$15 &#10;$6 &#10;$60,000 &#10;$3 per unit ($60,000 + 20,000) &#10;$2 per unit ($60,000 + 30,000) &#10;$9 per unit ($6 variable + $3 fixed) &#10;$8 per unit ($6 variable + $2 fixed) &#10;$1 &#10;$15,000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exte de remplacement généré par une machine :&#10;Beginning inventory &#10;Expected sales in units &#10;Selling price per unit &#10;Variable manufacturing costs per unit &#10;Fixed manufacturing costs (total) &#10;Fixed manufacturing costs per unit &#10;Based on 20,000 units produced &#10;Based on 30,000 units produced &#10;Manufacturing costs per unit &#10;Based on 20,000 units produced &#10;Based on 30,000 units produced &#10;Variable selling and administrative expenses per unit &#10;Fixed selling and administrative expenses &#10;20,000 &#10;$15 &#10;$6 &#10;$60,000 &#10;$3 per unit ($60,000 + 20,000) &#10;$2 per unit ($60,000 + 30,000) &#10;$9 per unit ($6 variable + $3 fixed) &#10;$8 per unit ($6 variable + $2 fixed) &#10;$1 &#10;$15,000 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7010400" cy="2924175"/>
            <wp:effectExtent l="0" t="0" r="0" b="9525"/>
            <wp:docPr id="9" name="Image 9" descr="Texte de remplacement généré par une machine :&#10;LIGHTING DIVISION &#10;Income Statement &#10;Year Ended January 31, 2012 &#10;Variable Costing &#10;Sales (20,000 X $15) &#10;Less: Variable cost of goods sold (20,000 x S6) &#10;Variable selling and administrative expenses &#10;(20,000 x $1) &#10;Contribution margin &#10;Less: Fixed manufacturing overhead &#10;Fixed selling and administrative expenses &#10;Net income &#10;20,000 &#10;Produced &#10;s 300,000 &#10;120,000 &#10;20,000 &#10;160,000 &#10;60,000 &#10;15,000 &#10;$ 85,000 &#10;30,000 &#10;Produced &#10;$300,000 &#10;120,000 &#10;20,000 &#10;160,000 &#10;60,000 &#10;15,000 &#10;$ 85,000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exte de remplacement généré par une machine :&#10;LIGHTING DIVISION &#10;Income Statement &#10;Year Ended January 31, 2012 &#10;Variable Costing &#10;Sales (20,000 X $15) &#10;Less: Variable cost of goods sold (20,000 x S6) &#10;Variable selling and administrative expenses &#10;(20,000 x $1) &#10;Contribution margin &#10;Less: Fixed manufacturing overhead &#10;Fixed selling and administrative expenses &#10;Net income &#10;20,000 &#10;Produced &#10;s 300,000 &#10;120,000 &#10;20,000 &#10;160,000 &#10;60,000 &#10;15,000 &#10;$ 85,000 &#10;30,000 &#10;Produced &#10;$300,000 &#10;120,000 &#10;20,000 &#10;160,000 &#10;60,000 &#10;15,000 &#10;$ 85,000 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7172325" cy="2819400"/>
            <wp:effectExtent l="0" t="0" r="9525" b="0"/>
            <wp:docPr id="10" name="Image 10" descr="Texte de remplacement généré par une machine :&#10;LIGHTING DIVISION &#10;Income Statement &#10;Year Ended January 31, 2012 &#10;Absorption Costin &#10;30,000 &#10;Produced &#10;$ 300,000 &#10;160,000 &#10;140,000 &#10;20,000 &#10;15,000 &#10;s 105,000 &#10;(20,000 x SS) &#10;Sales (20,000 units X $15) &#10;Cost of goods sold &#10;Gross profit &#10;Variable selling and administrative expenses &#10;(20,000 x $1) &#10;Fixed selling and administrative expenses &#10;Net income &#10;20,000 &#10;Produced &#10;s 300,000 &#10;180,000 &#10;120,000 &#10;20,000 &#10;15,000 &#10;85,000 &#10;(20,000 x $9)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Texte de remplacement généré par une machine :&#10;LIGHTING DIVISION &#10;Income Statement &#10;Year Ended January 31, 2012 &#10;Absorption Costin &#10;30,000 &#10;Produced &#10;$ 300,000 &#10;160,000 &#10;140,000 &#10;20,000 &#10;15,000 &#10;s 105,000 &#10;(20,000 x SS) &#10;Sales (20,000 units X $15) &#10;Cost of goods sold &#10;Gross profit &#10;Variable selling and administrative expenses &#10;(20,000 x $1) &#10;Fixed selling and administrative expenses &#10;Net income &#10;20,000 &#10;Produced &#10;s 300,000 &#10;180,000 &#10;120,000 &#10;20,000 &#10;15,000 &#10;85,000 &#10;(20,000 x $9) 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2325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6"/>
          <w:szCs w:val="26"/>
          <w:lang w:val="fr-CA"/>
        </w:rPr>
      </w:pPr>
      <w:r>
        <w:rPr>
          <w:rFonts w:ascii="Calibri" w:hAnsi="Calibri"/>
          <w:b/>
          <w:bCs/>
          <w:color w:val="000000"/>
          <w:sz w:val="26"/>
          <w:szCs w:val="26"/>
          <w:u w:val="single"/>
          <w:lang w:val="fr-CA"/>
        </w:rPr>
        <w:t>Normal costing: (absorbtion costing family)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b/>
          <w:bCs/>
          <w:color w:val="000000"/>
          <w:sz w:val="22"/>
          <w:szCs w:val="22"/>
          <w:lang w:val="fr-CA"/>
        </w:rPr>
        <w:t>Allocate overhead Using actual direct manufacturing cost and actual production units with a predetermined overhead rate. Using predetermined overhead rate is more pratical than assigning FOH  cost to production.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7477125" cy="1762125"/>
            <wp:effectExtent l="0" t="0" r="9525" b="9525"/>
            <wp:docPr id="11" name="Image 11" descr="Texte de remplacement généré par une machine :&#10;Fix-it selling price: &#10;Units: &#10;Variable unit costs: &#10;Fixed costs: &#10;$20 per unit &#10;produced 30,000; sold 20,000; beginning inventory zero &#10;manufacturing $9 (direct materials $5, direct labour $3, and variable &#10;overhead $1); selling and administrative expenses $2 &#10;manufacturing overhead S 120,000; based on a budgeted volume Of &#10;40,000 units, selling and administrative expenses S15,000 &#10;Premium Products expenses production volume variance to cost of goods sold in the accounting period &#10;in which it occurs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exte de remplacement généré par une machine :&#10;Fix-it selling price: &#10;Units: &#10;Variable unit costs: &#10;Fixed costs: &#10;$20 per unit &#10;produced 30,000; sold 20,000; beginning inventory zero &#10;manufacturing $9 (direct materials $5, direct labour $3, and variable &#10;overhead $1); selling and administrative expenses $2 &#10;manufacturing overhead S 120,000; based on a budgeted volume Of &#10;40,000 units, selling and administrative expenses S15,000 &#10;Premium Products expenses production volume variance to cost of goods sold in the accounting period &#10;in which it occurs. 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712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7419975" cy="1590675"/>
            <wp:effectExtent l="0" t="0" r="9525" b="9525"/>
            <wp:docPr id="12" name="Image 12" descr="Texte de remplacement généré par une machine :&#10;Type of cost &#10;Direct materials &#10;Direct lab our &#10;Variable manufacturing overhead &#10;Fixed manufacturing overhead &#10;(S120,OOO + 40,000 units produced) &#10;Manufacturing cost per unit &#10;Absorption costing &#10;55 &#10;$12 &#10;Variable costing &#10;$5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Texte de remplacement généré par une machine :&#10;Type of cost &#10;Direct materials &#10;Direct lab our &#10;Variable manufacturing overhead &#10;Fixed manufacturing overhead &#10;(S120,OOO + 40,000 units produced) &#10;Manufacturing cost per unit &#10;Absorption costing &#10;55 &#10;$12 &#10;Variable costing &#10;$5 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997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b/>
          <w:bCs/>
          <w:color w:val="000000"/>
          <w:sz w:val="22"/>
          <w:szCs w:val="22"/>
          <w:lang w:val="fr-CA"/>
        </w:rPr>
        <w:t>*per unit manufacturing cost.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Absorption and normal costing illustration: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7172325" cy="3400425"/>
            <wp:effectExtent l="0" t="0" r="9525" b="9525"/>
            <wp:docPr id="13" name="Image 13" descr="Texte de remplacement généré par une machine :&#10;PREMIUM PRODUCTS CORPORATION &#10;Income Statement &#10;Month Ended January 31, 2012 &#10;Absorption Costing Using Normal Costing Approach &#10;$400,000 &#10;240,000 &#10;30,000 &#10;130,000 &#10;40,000 &#10;15,000 &#10;s 75,000 &#10;sales (20,000 x $20) &#10;Cost of goods sold &#10;Inventory, January I &#10;Cost of goods manufactured (30,000 units X S12) &#10;Cost of goods available for sale &#10;Inventory, January 31 (10,000 units X $12) &#10;Cost of goods sold (20,000 units x $12) &#10;Unfavourable volume variance (Sl 20,000 &#10;- $90,000) &#10;Grmss profit &#10;Variable selling and administrative expenses &#10;Fixed selling and administrative expenses &#10;Net income &#10;360,000 &#10;360,000 &#10;120,000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exte de remplacement généré par une machine :&#10;PREMIUM PRODUCTS CORPORATION &#10;Income Statement &#10;Month Ended January 31, 2012 &#10;Absorption Costing Using Normal Costing Approach &#10;$400,000 &#10;240,000 &#10;30,000 &#10;130,000 &#10;40,000 &#10;15,000 &#10;s 75,000 &#10;sales (20,000 x $20) &#10;Cost of goods sold &#10;Inventory, January I &#10;Cost of goods manufactured (30,000 units X S12) &#10;Cost of goods available for sale &#10;Inventory, January 31 (10,000 units X $12) &#10;Cost of goods sold (20,000 units x $12) &#10;Unfavourable volume variance (Sl 20,000 &#10;- $90,000) &#10;Grmss profit &#10;Variable selling and administrative expenses &#10;Fixed selling and administrative expenses &#10;Net income &#10;360,000 &#10;360,000 &#10;120,000 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2325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*</w:t>
      </w:r>
      <w:r>
        <w:rPr>
          <w:rFonts w:ascii="Calibri" w:hAnsi="Calibri"/>
          <w:b/>
          <w:bCs/>
          <w:color w:val="000000"/>
          <w:sz w:val="22"/>
          <w:szCs w:val="22"/>
        </w:rPr>
        <w:t>Volume Variance</w:t>
      </w:r>
      <w:r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Fonts w:ascii="Calibri" w:hAnsi="Calibri"/>
          <w:b/>
          <w:bCs/>
          <w:color w:val="000000"/>
          <w:sz w:val="22"/>
          <w:szCs w:val="22"/>
        </w:rPr>
        <w:t>is the amount of fixe</w:t>
      </w:r>
      <w:r>
        <w:rPr>
          <w:rFonts w:ascii="Calibri" w:hAnsi="Calibri"/>
          <w:b/>
          <w:bCs/>
          <w:color w:val="000000"/>
          <w:sz w:val="22"/>
          <w:szCs w:val="22"/>
        </w:rPr>
        <w:t>d overhead costs that are not allocated to a product</w:t>
      </w:r>
      <w:r>
        <w:rPr>
          <w:rFonts w:ascii="Calibri" w:hAnsi="Calibri"/>
          <w:color w:val="000000"/>
          <w:sz w:val="22"/>
          <w:szCs w:val="22"/>
        </w:rPr>
        <w:t xml:space="preserve"> because actual production varies from budgeted production. It's also known as fixed overhead volume Variance.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</w:rPr>
        <w:t>Formula</w:t>
      </w:r>
      <w:r>
        <w:rPr>
          <w:rFonts w:ascii="Calibri" w:hAnsi="Calibri"/>
          <w:color w:val="000000"/>
          <w:sz w:val="22"/>
          <w:szCs w:val="22"/>
        </w:rPr>
        <w:t>: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  <w:highlight w:val="yellow"/>
        </w:rPr>
        <w:t>( Actual Production - Budgeted production ) X Budgeted overhead rate = Volume Va</w:t>
      </w:r>
      <w:r>
        <w:rPr>
          <w:rFonts w:ascii="Calibri" w:hAnsi="Calibri"/>
          <w:color w:val="000000"/>
          <w:sz w:val="22"/>
          <w:szCs w:val="22"/>
          <w:highlight w:val="yellow"/>
        </w:rPr>
        <w:t>riance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*Fixed component of overhead rate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Reconciliation of absorption costing net income to Variable costing net income: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66"/>
        <w:gridCol w:w="1168"/>
      </w:tblGrid>
      <w:tr w:rsidR="00000000">
        <w:trPr>
          <w:divId w:val="2118599173"/>
        </w:trPr>
        <w:tc>
          <w:tcPr>
            <w:tcW w:w="476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CD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AD2700">
            <w:pPr>
              <w:pStyle w:val="NormalWeb"/>
              <w:spacing w:before="0" w:beforeAutospacing="0" w:after="0" w:afterAutospacing="0"/>
              <w:rPr>
                <w:rFonts w:ascii="Times" w:hAnsi="Times" w:cs="Times"/>
                <w:sz w:val="21"/>
                <w:szCs w:val="21"/>
              </w:rPr>
            </w:pPr>
            <w:r>
              <w:rPr>
                <w:rFonts w:ascii="Times" w:hAnsi="Times" w:cs="Times"/>
                <w:sz w:val="21"/>
                <w:szCs w:val="21"/>
                <w:lang w:val="fr-CA"/>
              </w:rPr>
              <w:t xml:space="preserve">Absorption costing net income (Illustration </w:t>
            </w:r>
            <w:hyperlink r:id="rId20" w:history="1">
              <w:r>
                <w:rPr>
                  <w:rStyle w:val="Lienhypertexte"/>
                  <w:rFonts w:ascii="Times" w:hAnsi="Times" w:cs="Times"/>
                  <w:sz w:val="21"/>
                  <w:szCs w:val="21"/>
                </w:rPr>
                <w:t>8A-3</w:t>
              </w:r>
            </w:hyperlink>
            <w:r>
              <w:rPr>
                <w:rFonts w:ascii="Times" w:hAnsi="Times" w:cs="Times"/>
                <w:sz w:val="21"/>
                <w:szCs w:val="21"/>
                <w:lang w:val="fr-CA"/>
              </w:rPr>
              <w:t>)</w:t>
            </w:r>
          </w:p>
        </w:tc>
        <w:tc>
          <w:tcPr>
            <w:tcW w:w="116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CD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AD2700">
            <w:pPr>
              <w:pStyle w:val="NormalWeb"/>
              <w:spacing w:before="0" w:beforeAutospacing="0" w:after="0" w:afterAutospacing="0"/>
              <w:jc w:val="right"/>
              <w:rPr>
                <w:rFonts w:ascii="Times" w:hAnsi="Times" w:cs="Times"/>
                <w:sz w:val="21"/>
                <w:szCs w:val="21"/>
                <w:lang w:val="fr-CA"/>
              </w:rPr>
            </w:pPr>
            <w:r>
              <w:rPr>
                <w:rFonts w:ascii="Times" w:hAnsi="Times" w:cs="Times"/>
                <w:sz w:val="21"/>
                <w:szCs w:val="21"/>
                <w:lang w:val="fr-CA"/>
              </w:rPr>
              <w:t>$75,000</w:t>
            </w:r>
          </w:p>
        </w:tc>
      </w:tr>
      <w:tr w:rsidR="00000000">
        <w:trPr>
          <w:divId w:val="2118599173"/>
        </w:trPr>
        <w:tc>
          <w:tcPr>
            <w:tcW w:w="476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CD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AD2700">
            <w:pPr>
              <w:pStyle w:val="NormalWeb"/>
              <w:spacing w:before="0" w:beforeAutospacing="0" w:after="0" w:afterAutospacing="0"/>
              <w:rPr>
                <w:rFonts w:ascii="Times" w:hAnsi="Times" w:cs="Times"/>
                <w:sz w:val="21"/>
                <w:szCs w:val="21"/>
                <w:lang w:val="fr-CA"/>
              </w:rPr>
            </w:pPr>
            <w:r>
              <w:rPr>
                <w:rFonts w:ascii="Times" w:hAnsi="Times" w:cs="Times"/>
                <w:sz w:val="21"/>
                <w:szCs w:val="21"/>
                <w:lang w:val="fr-CA"/>
              </w:rPr>
              <w:t xml:space="preserve">Less: Ending inventory fixed manufacturing overhead </w:t>
            </w:r>
          </w:p>
          <w:p w:rsidR="00000000" w:rsidRDefault="00AD2700">
            <w:pPr>
              <w:pStyle w:val="NormalWeb"/>
              <w:spacing w:before="0" w:beforeAutospacing="0" w:after="0" w:afterAutospacing="0"/>
            </w:pPr>
            <w:r>
              <w:rPr>
                <w:noProof/>
              </w:rPr>
              <w:drawing>
                <wp:inline distT="0" distB="0" distL="0" distR="0">
                  <wp:extent cx="914400" cy="190500"/>
                  <wp:effectExtent l="0" t="0" r="0" b="0"/>
                  <wp:docPr id="14" name="Image 14" descr="C:\A521DCA5\59BE0F52-A554-466C-B567-26033C110B5D_fichiers\image01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A521DCA5\59BE0F52-A554-466C-B567-26033C110B5D_fichiers\image01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CD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AD2700">
            <w:pPr>
              <w:pStyle w:val="NormalWeb"/>
              <w:spacing w:before="0" w:beforeAutospacing="0" w:after="0" w:afterAutospacing="0"/>
              <w:jc w:val="right"/>
              <w:rPr>
                <w:rFonts w:ascii="Times" w:hAnsi="Times" w:cs="Times"/>
                <w:sz w:val="21"/>
                <w:szCs w:val="21"/>
                <w:lang w:val="fr-CA"/>
              </w:rPr>
            </w:pPr>
            <w:r>
              <w:rPr>
                <w:rFonts w:ascii="Times" w:hAnsi="Times" w:cs="Times"/>
                <w:sz w:val="21"/>
                <w:szCs w:val="21"/>
                <w:lang w:val="fr-CA"/>
              </w:rPr>
              <w:t>$30,000</w:t>
            </w:r>
          </w:p>
        </w:tc>
      </w:tr>
      <w:tr w:rsidR="00000000">
        <w:trPr>
          <w:divId w:val="2118599173"/>
        </w:trPr>
        <w:tc>
          <w:tcPr>
            <w:tcW w:w="476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CD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AD2700">
            <w:pPr>
              <w:pStyle w:val="NormalWeb"/>
              <w:spacing w:before="0" w:beforeAutospacing="0" w:after="0" w:afterAutospacing="0"/>
              <w:rPr>
                <w:rFonts w:ascii="Times" w:hAnsi="Times" w:cs="Times"/>
                <w:sz w:val="21"/>
                <w:szCs w:val="21"/>
              </w:rPr>
            </w:pPr>
            <w:r>
              <w:rPr>
                <w:rFonts w:ascii="Times" w:hAnsi="Times" w:cs="Times"/>
                <w:sz w:val="21"/>
                <w:szCs w:val="21"/>
                <w:lang w:val="fr-CA"/>
              </w:rPr>
              <w:t>Variable costing net inco</w:t>
            </w:r>
            <w:r>
              <w:rPr>
                <w:rFonts w:ascii="Times" w:hAnsi="Times" w:cs="Times"/>
                <w:sz w:val="21"/>
                <w:szCs w:val="21"/>
                <w:lang w:val="fr-CA"/>
              </w:rPr>
              <w:t xml:space="preserve">me (Illustration </w:t>
            </w:r>
            <w:hyperlink r:id="rId22" w:history="1">
              <w:r>
                <w:rPr>
                  <w:rStyle w:val="Lienhypertexte"/>
                  <w:rFonts w:ascii="Times" w:hAnsi="Times" w:cs="Times"/>
                  <w:sz w:val="21"/>
                  <w:szCs w:val="21"/>
                </w:rPr>
                <w:t>8A-5</w:t>
              </w:r>
            </w:hyperlink>
            <w:r>
              <w:rPr>
                <w:rFonts w:ascii="Times" w:hAnsi="Times" w:cs="Times"/>
                <w:sz w:val="21"/>
                <w:szCs w:val="21"/>
                <w:lang w:val="fr-CA"/>
              </w:rPr>
              <w:t>)</w:t>
            </w:r>
          </w:p>
        </w:tc>
        <w:tc>
          <w:tcPr>
            <w:tcW w:w="116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CD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AD2700">
            <w:pPr>
              <w:pStyle w:val="NormalWeb"/>
              <w:spacing w:before="0" w:beforeAutospacing="0" w:after="0" w:afterAutospacing="0"/>
              <w:jc w:val="right"/>
              <w:rPr>
                <w:rFonts w:ascii="Times" w:hAnsi="Times" w:cs="Times"/>
                <w:sz w:val="21"/>
                <w:szCs w:val="21"/>
                <w:lang w:val="fr-CA"/>
              </w:rPr>
            </w:pPr>
            <w:r>
              <w:rPr>
                <w:rFonts w:ascii="Times" w:hAnsi="Times" w:cs="Times"/>
                <w:sz w:val="21"/>
                <w:szCs w:val="21"/>
                <w:lang w:val="fr-CA"/>
              </w:rPr>
              <w:t>$45,000</w:t>
            </w:r>
          </w:p>
        </w:tc>
      </w:tr>
    </w:tbl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595959"/>
          <w:sz w:val="18"/>
          <w:szCs w:val="18"/>
          <w:lang w:val="fr-CA"/>
        </w:rPr>
      </w:pPr>
      <w:r>
        <w:rPr>
          <w:rFonts w:ascii="Calibri" w:hAnsi="Calibri"/>
          <w:color w:val="595959"/>
          <w:sz w:val="18"/>
          <w:szCs w:val="18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595959"/>
          <w:sz w:val="18"/>
          <w:szCs w:val="18"/>
          <w:lang w:val="fr-CA"/>
        </w:rPr>
      </w:pPr>
      <w:r>
        <w:rPr>
          <w:rFonts w:ascii="Calibri" w:hAnsi="Calibri"/>
          <w:color w:val="595959"/>
          <w:sz w:val="18"/>
          <w:szCs w:val="18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595959"/>
          <w:sz w:val="18"/>
          <w:szCs w:val="18"/>
          <w:lang w:val="fr-CA"/>
        </w:rPr>
      </w:pPr>
      <w:r>
        <w:rPr>
          <w:rFonts w:ascii="Calibri" w:hAnsi="Calibri"/>
          <w:color w:val="595959"/>
          <w:sz w:val="18"/>
          <w:szCs w:val="18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595959"/>
          <w:sz w:val="18"/>
          <w:szCs w:val="18"/>
          <w:lang w:val="fr-CA"/>
        </w:rPr>
      </w:pPr>
      <w:r>
        <w:rPr>
          <w:rFonts w:ascii="Calibri" w:hAnsi="Calibri"/>
          <w:color w:val="595959"/>
          <w:sz w:val="18"/>
          <w:szCs w:val="18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595959"/>
          <w:sz w:val="18"/>
          <w:szCs w:val="18"/>
          <w:lang w:val="fr-CA"/>
        </w:rPr>
      </w:pPr>
      <w:r>
        <w:rPr>
          <w:rFonts w:ascii="Calibri" w:hAnsi="Calibri"/>
          <w:color w:val="595959"/>
          <w:sz w:val="18"/>
          <w:szCs w:val="18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595959"/>
          <w:sz w:val="18"/>
          <w:szCs w:val="18"/>
          <w:lang w:val="fr-CA"/>
        </w:rPr>
      </w:pPr>
      <w:r>
        <w:rPr>
          <w:rFonts w:ascii="Calibri" w:hAnsi="Calibri"/>
          <w:color w:val="595959"/>
          <w:sz w:val="18"/>
          <w:szCs w:val="18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595959"/>
          <w:sz w:val="18"/>
          <w:szCs w:val="18"/>
          <w:lang w:val="fr-CA"/>
        </w:rPr>
      </w:pPr>
      <w:r>
        <w:rPr>
          <w:rFonts w:ascii="Calibri" w:hAnsi="Calibri"/>
          <w:color w:val="595959"/>
          <w:sz w:val="18"/>
          <w:szCs w:val="18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b/>
          <w:bCs/>
          <w:color w:val="000000"/>
          <w:sz w:val="22"/>
          <w:szCs w:val="22"/>
          <w:lang w:val="fr-CA"/>
        </w:rPr>
        <w:t>Throughput costing/ super-variable cos</w:t>
      </w:r>
      <w:r>
        <w:rPr>
          <w:rFonts w:ascii="Calibri" w:hAnsi="Calibri"/>
          <w:b/>
          <w:bCs/>
          <w:color w:val="000000"/>
          <w:sz w:val="22"/>
          <w:szCs w:val="22"/>
          <w:lang w:val="fr-CA"/>
        </w:rPr>
        <w:t>ting</w:t>
      </w:r>
      <w:r>
        <w:rPr>
          <w:rFonts w:ascii="Calibri" w:hAnsi="Calibri"/>
          <w:color w:val="595959"/>
          <w:sz w:val="22"/>
          <w:szCs w:val="22"/>
          <w:lang w:val="fr-CA"/>
        </w:rPr>
        <w:t>: (</w:t>
      </w:r>
      <w:r>
        <w:rPr>
          <w:rFonts w:ascii="Calibri" w:hAnsi="Calibri"/>
          <w:b/>
          <w:bCs/>
          <w:color w:val="595959"/>
          <w:sz w:val="22"/>
          <w:szCs w:val="22"/>
          <w:lang w:val="fr-CA"/>
        </w:rPr>
        <w:t>Variable costing family</w:t>
      </w:r>
      <w:r>
        <w:rPr>
          <w:rFonts w:ascii="Calibri" w:hAnsi="Calibri"/>
          <w:color w:val="595959"/>
          <w:sz w:val="22"/>
          <w:szCs w:val="22"/>
          <w:lang w:val="fr-CA"/>
        </w:rPr>
        <w:t>)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Under throughput costing</w:t>
      </w:r>
      <w:r>
        <w:rPr>
          <w:rFonts w:ascii="Calibri" w:hAnsi="Calibri"/>
          <w:b/>
          <w:bCs/>
          <w:color w:val="000000"/>
          <w:sz w:val="22"/>
          <w:szCs w:val="22"/>
          <w:lang w:val="fr-CA"/>
        </w:rPr>
        <w:t xml:space="preserve"> all costs are treated as period expenses except for DM</w:t>
      </w:r>
      <w:r>
        <w:rPr>
          <w:rFonts w:ascii="Calibri" w:hAnsi="Calibri"/>
          <w:color w:val="000000"/>
          <w:sz w:val="22"/>
          <w:szCs w:val="22"/>
          <w:lang w:val="fr-CA"/>
        </w:rPr>
        <w:t>.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 xml:space="preserve">Its based on lean manufacturing principles. According to this principles , cost can be </w:t>
      </w:r>
      <w:r>
        <w:rPr>
          <w:rFonts w:ascii="Calibri" w:hAnsi="Calibri"/>
          <w:color w:val="000000"/>
          <w:sz w:val="22"/>
          <w:szCs w:val="22"/>
          <w:lang w:val="fr-CA"/>
        </w:rPr>
        <w:t xml:space="preserve">reducedand profitability increased by improvement in manufacturing workflow. </w:t>
      </w:r>
      <w:r>
        <w:rPr>
          <w:rFonts w:ascii="Calibri" w:hAnsi="Calibri"/>
          <w:b/>
          <w:bCs/>
          <w:color w:val="000000"/>
          <w:sz w:val="22"/>
          <w:szCs w:val="22"/>
          <w:lang w:val="fr-CA"/>
        </w:rPr>
        <w:t>Help manage operation more efficiently and with more controle as it eliminate waste and focuses more accurately on customer's needs.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This method is suitable only for</w:t>
      </w:r>
      <w:r>
        <w:rPr>
          <w:rFonts w:ascii="Calibri" w:hAnsi="Calibri"/>
          <w:b/>
          <w:bCs/>
          <w:color w:val="000000"/>
          <w:sz w:val="22"/>
          <w:szCs w:val="22"/>
          <w:lang w:val="fr-CA"/>
        </w:rPr>
        <w:t xml:space="preserve"> 1st compani</w:t>
      </w:r>
      <w:r>
        <w:rPr>
          <w:rFonts w:ascii="Calibri" w:hAnsi="Calibri"/>
          <w:b/>
          <w:bCs/>
          <w:color w:val="000000"/>
          <w:sz w:val="22"/>
          <w:szCs w:val="22"/>
          <w:lang w:val="fr-CA"/>
        </w:rPr>
        <w:t>es that engaged in manufacturing proces in which conversion cost such as direct labour and manufacturing overhead are fixed cost and do not vary proportionaly with the units of production</w:t>
      </w:r>
      <w:r>
        <w:rPr>
          <w:rFonts w:ascii="Calibri" w:hAnsi="Calibri"/>
          <w:color w:val="000000"/>
          <w:sz w:val="22"/>
          <w:szCs w:val="22"/>
          <w:lang w:val="fr-CA"/>
        </w:rPr>
        <w:t>. Assembly line and continous process tat are highely automated are m</w:t>
      </w:r>
      <w:r>
        <w:rPr>
          <w:rFonts w:ascii="Calibri" w:hAnsi="Calibri"/>
          <w:color w:val="000000"/>
          <w:sz w:val="22"/>
          <w:szCs w:val="22"/>
          <w:lang w:val="fr-CA"/>
        </w:rPr>
        <w:t xml:space="preserve">ost likely to meet these craterion . </w:t>
      </w:r>
      <w:r>
        <w:rPr>
          <w:rFonts w:ascii="Calibri" w:hAnsi="Calibri"/>
          <w:b/>
          <w:bCs/>
          <w:color w:val="000000"/>
          <w:sz w:val="22"/>
          <w:szCs w:val="22"/>
          <w:lang w:val="fr-CA"/>
        </w:rPr>
        <w:t>2nd craterion is the management favour cost accouting information that is helpful for short-term incremental analysis</w:t>
      </w:r>
      <w:r>
        <w:rPr>
          <w:rFonts w:ascii="Calibri" w:hAnsi="Calibri"/>
          <w:color w:val="000000"/>
          <w:sz w:val="22"/>
          <w:szCs w:val="22"/>
          <w:lang w:val="fr-CA"/>
        </w:rPr>
        <w:t>.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b/>
          <w:bCs/>
          <w:color w:val="000000"/>
          <w:sz w:val="22"/>
          <w:szCs w:val="22"/>
          <w:lang w:val="fr-CA"/>
        </w:rPr>
        <w:t>Through put vs variable</w:t>
      </w:r>
      <w:r>
        <w:rPr>
          <w:rFonts w:ascii="Calibri" w:hAnsi="Calibri"/>
          <w:color w:val="000000"/>
          <w:sz w:val="22"/>
          <w:szCs w:val="22"/>
          <w:lang w:val="fr-CA"/>
        </w:rPr>
        <w:t>: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924675" cy="1276350"/>
            <wp:effectExtent l="0" t="0" r="9525" b="0"/>
            <wp:docPr id="15" name="Image 15" descr="Texte de remplacement généré par une machine :&#10;Fix-it selling price: &#10;Units: &#10;Variable unit costs: &#10;Fixed costs: &#10;$20 per unit &#10;produced 30,000; sold 20,000; beginning inventory zero &#10;manufacturing $9 (direct materials $5, direct labour $3, and variable &#10;overhead S l); selling and administrative expenses $2 &#10;manufacturing overhead $ 120,000; selling and administrative expenses &#10;$15,000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Texte de remplacement généré par une machine :&#10;Fix-it selling price: &#10;Units: &#10;Variable unit costs: &#10;Fixed costs: &#10;$20 per unit &#10;produced 30,000; sold 20,000; beginning inventory zero &#10;manufacturing $9 (direct materials $5, direct labour $3, and variable &#10;overhead S l); selling and administrative expenses $2 &#10;manufacturing overhead $ 120,000; selling and administrative expenses &#10;$15,000 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934200" cy="1285875"/>
            <wp:effectExtent l="0" t="0" r="0" b="9525"/>
            <wp:docPr id="16" name="Image 16" descr="Texte de remplacement généré par une machine :&#10;Type Of COSI &#10;Direct materials &#10;Direct labour &#10;Variable manufacturing overhead &#10;Fixed manufacturing overhead &#10;Manufacturing cost per unit &#10;Throughput costing &#10;$5 &#10;Variable costing &#10;$5 &#10;59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Texte de remplacement généré par une machine :&#10;Type Of COSI &#10;Direct materials &#10;Direct labour &#10;Variable manufacturing overhead &#10;Fixed manufacturing overhead &#10;Manufacturing cost per unit &#10;Throughput costing &#10;$5 &#10;Variable costing &#10;$5 &#10;59 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*The manufacturing cost per unit</w:t>
      </w:r>
      <w:r>
        <w:rPr>
          <w:rFonts w:ascii="Calibri" w:hAnsi="Calibri"/>
          <w:color w:val="000000"/>
          <w:sz w:val="22"/>
          <w:szCs w:val="22"/>
        </w:rPr>
        <w:t xml:space="preserve"> is $4 (9-5). Lower under throughput because we are only taking care on Direct Material cost.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6"/>
          <w:szCs w:val="26"/>
        </w:rPr>
      </w:pPr>
      <w:r>
        <w:rPr>
          <w:rFonts w:ascii="Calibri" w:hAnsi="Calibri"/>
          <w:b/>
          <w:bCs/>
          <w:color w:val="000000"/>
          <w:sz w:val="26"/>
          <w:szCs w:val="26"/>
          <w:u w:val="single"/>
        </w:rPr>
        <w:t>Throughput Costing illustration</w:t>
      </w:r>
      <w:r>
        <w:rPr>
          <w:rFonts w:ascii="Calibri" w:hAnsi="Calibri"/>
          <w:color w:val="000000"/>
          <w:sz w:val="26"/>
          <w:szCs w:val="26"/>
          <w:u w:val="single"/>
        </w:rPr>
        <w:t>: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610350" cy="3867150"/>
            <wp:effectExtent l="0" t="0" r="0" b="0"/>
            <wp:docPr id="17" name="Image 17" descr="Texte de remplacement généré par une machine :&#10;PREMIUM PRODUCTS CORPORATION &#10;Income Statement &#10;Month Ended January 31, 2012 &#10;Throughput Costing &#10;sales (20,000 x $20) &#10;Variable cost Of goods sold &#10;Inventory, January I &#10;Direct material costs (30,000 units X $5) &#10;Cost of goods available for sale &#10;Inventory, January 31 (10,000 units x $5) &#10;Variable cost Of goods sold &#10;Throughput contribution margin &#10;Other operating costs &#10;Direct labour costs (30,000 X $3) &#10;Variable overhead costs (30,000 X $1) &#10;Variable selling and administrative costs (20,000 X $2) &#10;Fixed manufacturing overhead &#10;Fixed selling and administrative expenses &#10;Total other operating costs &#10;Net income &#10;S400,ooo &#10;100,000 &#10;300,000 &#10;S295,ooo &#10;s 5,000 &#10;150,000 &#10;150,000 &#10;50,000 &#10;$ 90,000 &#10;30,000 &#10;40,000 &#10;120,000 &#10;15,000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Texte de remplacement généré par une machine :&#10;PREMIUM PRODUCTS CORPORATION &#10;Income Statement &#10;Month Ended January 31, 2012 &#10;Throughput Costing &#10;sales (20,000 x $20) &#10;Variable cost Of goods sold &#10;Inventory, January I &#10;Direct material costs (30,000 units X $5) &#10;Cost of goods available for sale &#10;Inventory, January 31 (10,000 units x $5) &#10;Variable cost Of goods sold &#10;Throughput contribution margin &#10;Other operating costs &#10;Direct labour costs (30,000 X $3) &#10;Variable overhead costs (30,000 X $1) &#10;Variable selling and administrative costs (20,000 X $2) &#10;Fixed manufacturing overhead &#10;Fixed selling and administrative expenses &#10;Total other operating costs &#10;Net income &#10;S400,ooo &#10;100,000 &#10;300,000 &#10;S295,ooo &#10;s 5,000 &#10;150,000 &#10;150,000 &#10;50,000 &#10;$ 90,000 &#10;30,000 &#10;40,000 &#10;120,000 &#10;15,000 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0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*Throughput Contribution Margin: Diffe</w:t>
      </w:r>
      <w:r>
        <w:rPr>
          <w:rFonts w:ascii="Calibri" w:hAnsi="Calibri"/>
          <w:b/>
          <w:bCs/>
          <w:color w:val="000000"/>
          <w:sz w:val="22"/>
          <w:szCs w:val="22"/>
        </w:rPr>
        <w:t>rence between  Revenues and Material cost for the unit sold</w:t>
      </w:r>
      <w:r>
        <w:rPr>
          <w:rFonts w:ascii="Calibri" w:hAnsi="Calibri"/>
          <w:color w:val="000000"/>
          <w:sz w:val="22"/>
          <w:szCs w:val="22"/>
        </w:rPr>
        <w:t>.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696075" cy="3305175"/>
            <wp:effectExtent l="0" t="0" r="9525" b="9525"/>
            <wp:docPr id="18" name="Image 18" descr="Texte de remplacement généré par une machine :&#10;PREMIUM PRODUCTS CORPORATION &#10;Income Statement &#10;Month Ended January 31, 2012 &#10;Variable Costing &#10;Sales (20,000 $20) &#10;Variable cost of goods sold &#10;Inventory, January I &#10;Variable manufacturing costs (30,000 units x $9) &#10;Cost of goods available for sale &#10;Inventory, January 31 (10,000 units x $9) &#10;Variable cost of goods sold &#10;Variable selling and administrative expenses &#10;(20,000 units x $2) &#10;Contribution margin &#10;Fixed manufacturing overhead &#10;Fixed selling and administrative expenses &#10;Net income &#10;$400,000 &#10;220,000 &#10;180,000 &#10;120,000 &#10;15,000 &#10;s 45,000 &#10;270,000 &#10;270,000 &#10;90,000 &#10;180,000 &#10;40,000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Texte de remplacement généré par une machine :&#10;PREMIUM PRODUCTS CORPORATION &#10;Income Statement &#10;Month Ended January 31, 2012 &#10;Variable Costing &#10;Sales (20,000 $20) &#10;Variable cost of goods sold &#10;Inventory, January I &#10;Variable manufacturing costs (30,000 units x $9) &#10;Cost of goods available for sale &#10;Inventory, January 31 (10,000 units x $9) &#10;Variable cost of goods sold &#10;Variable selling and administrative expenses &#10;(20,000 units x $2) &#10;Contribution margin &#10;Fixed manufacturing overhead &#10;Fixed selling and administrative expenses &#10;Net income &#10;$400,000 &#10;220,000 &#10;180,000 &#10;120,000 &#10;15,000 &#10;s 45,000 &#10;270,000 &#10;270,000 &#10;90,000 &#10;180,000 &#10;40,000 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**Conceptually, there is </w:t>
      </w:r>
      <w:r>
        <w:rPr>
          <w:rFonts w:ascii="Calibri" w:hAnsi="Calibri"/>
          <w:b/>
          <w:bCs/>
          <w:color w:val="000000"/>
          <w:sz w:val="22"/>
          <w:szCs w:val="22"/>
        </w:rPr>
        <w:t xml:space="preserve">one major difference between throughput and variable costing; under throughput, the direct labour and variable manufacturing overhead are charged as an expensed in the current period. </w:t>
      </w:r>
      <w:r>
        <w:rPr>
          <w:rFonts w:ascii="Calibri" w:hAnsi="Calibri"/>
          <w:b/>
          <w:bCs/>
          <w:color w:val="000000"/>
          <w:sz w:val="22"/>
          <w:szCs w:val="22"/>
        </w:rPr>
        <w:t>Therefore, they are not differed to future periods</w:t>
      </w:r>
      <w:r>
        <w:rPr>
          <w:rFonts w:ascii="Calibri" w:hAnsi="Calibri"/>
          <w:color w:val="000000"/>
          <w:sz w:val="22"/>
          <w:szCs w:val="22"/>
        </w:rPr>
        <w:t xml:space="preserve"> through ending inventory. As a result</w:t>
      </w:r>
      <w:r>
        <w:rPr>
          <w:rFonts w:ascii="Calibri" w:hAnsi="Calibri"/>
          <w:b/>
          <w:bCs/>
          <w:color w:val="000000"/>
          <w:sz w:val="22"/>
          <w:szCs w:val="22"/>
        </w:rPr>
        <w:t xml:space="preserve"> variable cost will show a higher net income then throughput costing where ever there are more unit produced than sold.                                                 </w:t>
      </w:r>
      <w:r>
        <w:rPr>
          <w:rFonts w:ascii="Calibri" w:hAnsi="Calibri"/>
          <w:b/>
          <w:bCs/>
          <w:color w:val="000000"/>
          <w:sz w:val="22"/>
          <w:szCs w:val="22"/>
        </w:rPr>
        <w:t xml:space="preserve">                                        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                                                                                                               </w:t>
      </w:r>
      <w:r>
        <w:rPr>
          <w:rFonts w:ascii="Calibri" w:hAnsi="Calibri"/>
          <w:b/>
          <w:bCs/>
          <w:color w:val="000000"/>
          <w:sz w:val="26"/>
          <w:szCs w:val="26"/>
        </w:rPr>
        <w:t xml:space="preserve"> Variable Costing                Throughput Costing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6562725" cy="3305175"/>
            <wp:effectExtent l="0" t="0" r="9525" b="9525"/>
            <wp:docPr id="19" name="Image 19" descr="Texte de remplacement généré par une machine :&#10;Circumstances &#10;Income &#10;Absorption Costing &#10;Variable Costing &#10;Units Produced &#10;Units Produced &#10;— Units Sold &#10;Units Sold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Texte de remplacement généré par une machine :&#10;Circumstances &#10;Income &#10;Absorption Costing &#10;Variable Costing &#10;Units Produced &#10;Units Produced &#10;— Units Sold &#10;Units Sold 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2725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                                                                                    </w:t>
      </w:r>
      <w:r>
        <w:rPr>
          <w:rFonts w:ascii="Calibri" w:hAnsi="Calibri"/>
          <w:color w:val="000000"/>
          <w:sz w:val="22"/>
          <w:szCs w:val="22"/>
        </w:rPr>
        <w:t xml:space="preserve">                      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Advantage of throughput costing</w:t>
      </w:r>
      <w:r>
        <w:rPr>
          <w:rFonts w:ascii="Calibri" w:hAnsi="Calibri"/>
          <w:color w:val="000000"/>
          <w:sz w:val="22"/>
          <w:szCs w:val="22"/>
        </w:rPr>
        <w:t>: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Reduce incentive for management to build excess inventories in order to spread fix manufacturing cost over a larger number of units produced.</w:t>
      </w:r>
    </w:p>
    <w:p w:rsidR="00000000" w:rsidRDefault="00AD2700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Encourage management to </w:t>
      </w:r>
      <w:r>
        <w:rPr>
          <w:rFonts w:ascii="Calibri" w:eastAsia="Times New Roman" w:hAnsi="Calibri"/>
          <w:color w:val="000000"/>
          <w:sz w:val="22"/>
          <w:szCs w:val="22"/>
        </w:rPr>
        <w:t>reduce operating cost such as DL and VOH which are treated as period cost NOT product costs.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  <w:shd w:val="clear" w:color="auto" w:fill="92D050"/>
        </w:rPr>
        <w:t>**** When ask to reconcile throughput to variable costing or normal to absorption costing. It's always about the amount differed in ending inventory.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Throughput and VC</w:t>
      </w:r>
      <w:r>
        <w:rPr>
          <w:rFonts w:ascii="Calibri" w:hAnsi="Calibri"/>
          <w:color w:val="000000"/>
          <w:sz w:val="22"/>
          <w:szCs w:val="22"/>
        </w:rPr>
        <w:t>: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(Ending inventory) X (VOH/unit+ DL/unit ) = Cost differed in ending inventory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Normal and Absorption</w:t>
      </w:r>
      <w:r>
        <w:rPr>
          <w:rFonts w:ascii="Calibri" w:hAnsi="Calibri"/>
          <w:color w:val="000000"/>
          <w:sz w:val="22"/>
          <w:szCs w:val="22"/>
        </w:rPr>
        <w:t>: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(Ending inventory) X (actual FOH/unit - budgeted FOH/unit) = Cost differed in ending inventory</w:t>
      </w:r>
    </w:p>
    <w:p w:rsidR="00000000" w:rsidRDefault="00AD270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fr-CA"/>
        </w:rPr>
      </w:pPr>
      <w:r>
        <w:rPr>
          <w:rFonts w:ascii="Calibri" w:hAnsi="Calibri"/>
          <w:color w:val="000000"/>
          <w:sz w:val="22"/>
          <w:szCs w:val="22"/>
          <w:lang w:val="fr-CA"/>
        </w:rPr>
        <w:t>vox -</w:t>
      </w:r>
    </w:p>
    <w:sectPr w:rsidR="0000000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4B379F"/>
    <w:multiLevelType w:val="multilevel"/>
    <w:tmpl w:val="06BA8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AD2700"/>
    <w:rsid w:val="00AD2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0B96D0-BFFA-445F-BAFB-7AB0818F5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  <w:style w:type="character" w:styleId="Lienhypertexte">
    <w:name w:val="Hyperlink"/>
    <w:basedOn w:val="Policepardfaut"/>
    <w:uiPriority w:val="99"/>
    <w:semiHidden/>
    <w:unhideWhenUsed/>
    <w:rPr>
      <w:color w:val="0000FF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3231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9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hyperlink" Target="http://edugen.wileyplus.com/edugen/courses/crs6454/weygandt9781118033890/c08/weygandt9781118033890/c07/weygandt9781118033890c07xlinks.xform?id=weygandt9781118033890c07" TargetMode="External"/><Relationship Id="rId18" Type="http://schemas.openxmlformats.org/officeDocument/2006/relationships/image" Target="media/image12.gif"/><Relationship Id="rId26" Type="http://schemas.openxmlformats.org/officeDocument/2006/relationships/image" Target="media/image18.gif"/><Relationship Id="rId3" Type="http://schemas.openxmlformats.org/officeDocument/2006/relationships/settings" Target="settings.xml"/><Relationship Id="rId21" Type="http://schemas.openxmlformats.org/officeDocument/2006/relationships/image" Target="media/image14.gif"/><Relationship Id="rId7" Type="http://schemas.openxmlformats.org/officeDocument/2006/relationships/image" Target="media/image3.gif"/><Relationship Id="rId12" Type="http://schemas.openxmlformats.org/officeDocument/2006/relationships/hyperlink" Target="http://edugen.wileyplus.com/edugen/courses/crs6454/weygandt9781118033890/c08/weygandt9781118033890/c06/weygandt9781118033890c06xlinks.xform?id=weygandt9781118033890c06" TargetMode="External"/><Relationship Id="rId17" Type="http://schemas.openxmlformats.org/officeDocument/2006/relationships/image" Target="media/image11.gif"/><Relationship Id="rId25" Type="http://schemas.openxmlformats.org/officeDocument/2006/relationships/image" Target="media/image17.gif"/><Relationship Id="rId2" Type="http://schemas.openxmlformats.org/officeDocument/2006/relationships/styles" Target="styles.xml"/><Relationship Id="rId16" Type="http://schemas.openxmlformats.org/officeDocument/2006/relationships/image" Target="media/image10.gif"/><Relationship Id="rId20" Type="http://schemas.openxmlformats.org/officeDocument/2006/relationships/hyperlink" Target="http://edugen.wileyplus.com/edugen/courses/crs6454/weygandt9781118033890/c08/weygandt9781118033890/c08/weygandt9781118033890c08xlinks.xform?id=c08-fig-0020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24" Type="http://schemas.openxmlformats.org/officeDocument/2006/relationships/image" Target="media/image16.gif"/><Relationship Id="rId5" Type="http://schemas.openxmlformats.org/officeDocument/2006/relationships/image" Target="media/image1.gif"/><Relationship Id="rId15" Type="http://schemas.openxmlformats.org/officeDocument/2006/relationships/image" Target="media/image9.gif"/><Relationship Id="rId23" Type="http://schemas.openxmlformats.org/officeDocument/2006/relationships/image" Target="media/image15.gif"/><Relationship Id="rId28" Type="http://schemas.openxmlformats.org/officeDocument/2006/relationships/theme" Target="theme/theme1.xml"/><Relationship Id="rId10" Type="http://schemas.openxmlformats.org/officeDocument/2006/relationships/image" Target="media/image6.gif"/><Relationship Id="rId19" Type="http://schemas.openxmlformats.org/officeDocument/2006/relationships/image" Target="media/image13.gif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8.gif"/><Relationship Id="rId22" Type="http://schemas.openxmlformats.org/officeDocument/2006/relationships/hyperlink" Target="http://edugen.wileyplus.com/edugen/courses/crs6454/weygandt9781118033890/c08/weygandt9781118033890/c08/weygandt9781118033890c08xlinks.xform?id=c08-fig-0022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1205</Words>
  <Characters>6874</Characters>
  <Application>Microsoft Office Word</Application>
  <DocSecurity>0</DocSecurity>
  <Lines>57</Lines>
  <Paragraphs>16</Paragraphs>
  <ScaleCrop>false</ScaleCrop>
  <Company/>
  <LinksUpToDate>false</LinksUpToDate>
  <CharactersWithSpaces>8063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Barriault</dc:creator>
  <cp:keywords/>
  <dc:description/>
  <cp:lastModifiedBy>Jeremy Barriault</cp:lastModifiedBy>
  <cp:revision>2</cp:revision>
  <dcterms:created xsi:type="dcterms:W3CDTF">2015-10-23T02:55:00Z</dcterms:created>
  <dcterms:modified xsi:type="dcterms:W3CDTF">2015-10-23T02:55:00Z</dcterms:modified>
</cp:coreProperties>
</file>