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FDB16C" w14:textId="77777777" w:rsidR="003D4E15" w:rsidRDefault="00195E9D">
      <w:pPr>
        <w:rPr>
          <w:lang w:val="en-US"/>
        </w:rPr>
      </w:pPr>
      <w:r>
        <w:rPr>
          <w:lang w:val="en-US"/>
        </w:rPr>
        <w:t xml:space="preserve">Hanna </w:t>
      </w:r>
      <w:proofErr w:type="spellStart"/>
      <w:r>
        <w:rPr>
          <w:lang w:val="en-US"/>
        </w:rPr>
        <w:t>Georgi</w:t>
      </w:r>
      <w:proofErr w:type="spellEnd"/>
      <w:r>
        <w:rPr>
          <w:lang w:val="en-US"/>
        </w:rPr>
        <w:t xml:space="preserve"> Hanna</w:t>
      </w:r>
      <w:r w:rsidR="00E74D82">
        <w:rPr>
          <w:lang w:val="en-US"/>
        </w:rPr>
        <w:t>—</w:t>
      </w:r>
      <w:r>
        <w:rPr>
          <w:lang w:val="en-US"/>
        </w:rPr>
        <w:t>26966489</w:t>
      </w:r>
    </w:p>
    <w:p w14:paraId="788C51B9" w14:textId="77777777" w:rsidR="00E74D82" w:rsidRDefault="00E74D82">
      <w:pPr>
        <w:rPr>
          <w:lang w:val="en-US"/>
        </w:rPr>
      </w:pPr>
      <w:r>
        <w:rPr>
          <w:lang w:val="en-US"/>
        </w:rPr>
        <w:t>ENGR</w:t>
      </w:r>
      <w:r w:rsidR="00195E9D">
        <w:rPr>
          <w:lang w:val="en-US"/>
        </w:rPr>
        <w:t xml:space="preserve"> -</w:t>
      </w:r>
      <w:r>
        <w:rPr>
          <w:lang w:val="en-US"/>
        </w:rPr>
        <w:t xml:space="preserve"> 202</w:t>
      </w:r>
      <w:bookmarkStart w:id="0" w:name="_GoBack"/>
      <w:bookmarkEnd w:id="0"/>
    </w:p>
    <w:p w14:paraId="3A283013" w14:textId="77777777" w:rsidR="00E74D82" w:rsidRDefault="00E74D82">
      <w:pPr>
        <w:rPr>
          <w:lang w:val="en-US"/>
        </w:rPr>
      </w:pPr>
      <w:r>
        <w:rPr>
          <w:lang w:val="en-US"/>
        </w:rPr>
        <w:t xml:space="preserve">October </w:t>
      </w:r>
      <w:r w:rsidR="00195E9D">
        <w:rPr>
          <w:lang w:val="en-US"/>
        </w:rPr>
        <w:t>15</w:t>
      </w:r>
      <w:r>
        <w:rPr>
          <w:lang w:val="en-US"/>
        </w:rPr>
        <w:t>, 20</w:t>
      </w:r>
      <w:r w:rsidR="00195E9D">
        <w:rPr>
          <w:lang w:val="en-US"/>
        </w:rPr>
        <w:t>15</w:t>
      </w:r>
    </w:p>
    <w:p w14:paraId="32C92B22" w14:textId="77777777" w:rsidR="00E74D82" w:rsidRPr="007B1295" w:rsidRDefault="00195E9D" w:rsidP="007B1295">
      <w:pPr>
        <w:jc w:val="center"/>
        <w:rPr>
          <w:b/>
          <w:lang w:val="en-US"/>
        </w:rPr>
      </w:pPr>
      <w:r>
        <w:rPr>
          <w:b/>
          <w:lang w:val="en-US"/>
        </w:rPr>
        <w:t xml:space="preserve">Assignment </w:t>
      </w:r>
      <w:r w:rsidR="00E74D82" w:rsidRPr="007B1295">
        <w:rPr>
          <w:b/>
          <w:lang w:val="en-US"/>
        </w:rPr>
        <w:t>1</w:t>
      </w:r>
    </w:p>
    <w:p w14:paraId="6A889635" w14:textId="77777777" w:rsidR="007B1295" w:rsidRPr="007B1295" w:rsidRDefault="007B1295" w:rsidP="00302C75">
      <w:pPr>
        <w:jc w:val="both"/>
        <w:rPr>
          <w:b/>
          <w:lang w:val="en-US"/>
        </w:rPr>
      </w:pPr>
      <w:r w:rsidRPr="007B1295">
        <w:rPr>
          <w:b/>
          <w:lang w:val="en-US"/>
        </w:rPr>
        <w:t>QUESTION 1:</w:t>
      </w:r>
    </w:p>
    <w:p w14:paraId="14F76DD0" w14:textId="77777777" w:rsidR="00ED5178" w:rsidRDefault="00C62F45" w:rsidP="007B1295">
      <w:pPr>
        <w:ind w:firstLine="720"/>
        <w:jc w:val="both"/>
        <w:rPr>
          <w:lang w:val="en-US"/>
        </w:rPr>
      </w:pPr>
      <w:r>
        <w:rPr>
          <w:lang w:val="en-US"/>
        </w:rPr>
        <w:t>Recently, e</w:t>
      </w:r>
      <w:r w:rsidR="00E74D82">
        <w:rPr>
          <w:lang w:val="en-US"/>
        </w:rPr>
        <w:t xml:space="preserve">ngineering </w:t>
      </w:r>
      <w:r>
        <w:rPr>
          <w:lang w:val="en-US"/>
        </w:rPr>
        <w:t>approaches the</w:t>
      </w:r>
      <w:r w:rsidR="00E74D82">
        <w:rPr>
          <w:lang w:val="en-US"/>
        </w:rPr>
        <w:t xml:space="preserve"> concepts of green design, industrial economy and sustainable development very differently than </w:t>
      </w:r>
      <w:r>
        <w:rPr>
          <w:lang w:val="en-US"/>
        </w:rPr>
        <w:t>it had in past decades.  Foremost, past approaches to engineering design emphasized the importance of environmental studies that focused on water po</w:t>
      </w:r>
      <w:r w:rsidR="00CE5CE8">
        <w:rPr>
          <w:lang w:val="en-US"/>
        </w:rPr>
        <w:t>ll</w:t>
      </w:r>
      <w:r w:rsidR="00FA0C34">
        <w:rPr>
          <w:lang w:val="en-US"/>
        </w:rPr>
        <w:t xml:space="preserve">ution and solid waste disposal </w:t>
      </w:r>
      <w:r>
        <w:rPr>
          <w:lang w:val="en-US"/>
        </w:rPr>
        <w:t xml:space="preserve">(Rubin, 5).  </w:t>
      </w:r>
      <w:r w:rsidR="00302C75">
        <w:rPr>
          <w:lang w:val="en-US"/>
        </w:rPr>
        <w:t xml:space="preserve">In relation to water pollution, it is said that gaseous sulfur dioxide that is emitted from chimneys of coal burning power plants converted into fine sulfate particles by chemical processes in the atmosphere and the mix of particles and gases lead to acid rain which damages the whole environment such as, lakes, forests, infrastructure and organisms (5).  An example of solid waste disposal is </w:t>
      </w:r>
      <w:r w:rsidR="001A7AAC">
        <w:rPr>
          <w:lang w:val="en-US"/>
        </w:rPr>
        <w:t>demonstrated</w:t>
      </w:r>
      <w:r w:rsidR="00302C75">
        <w:rPr>
          <w:lang w:val="en-US"/>
        </w:rPr>
        <w:t xml:space="preserve"> when </w:t>
      </w:r>
      <w:r w:rsidR="001A7AAC">
        <w:rPr>
          <w:lang w:val="en-US"/>
        </w:rPr>
        <w:t>different</w:t>
      </w:r>
      <w:r w:rsidR="00302C75">
        <w:rPr>
          <w:lang w:val="en-US"/>
        </w:rPr>
        <w:t xml:space="preserve"> </w:t>
      </w:r>
      <w:r w:rsidR="001A7AAC">
        <w:rPr>
          <w:lang w:val="en-US"/>
        </w:rPr>
        <w:t>forms</w:t>
      </w:r>
      <w:r w:rsidR="00302C75">
        <w:rPr>
          <w:lang w:val="en-US"/>
        </w:rPr>
        <w:t xml:space="preserve"> of organic wastes</w:t>
      </w:r>
      <w:r w:rsidR="001A7AAC">
        <w:rPr>
          <w:lang w:val="en-US"/>
        </w:rPr>
        <w:t>,</w:t>
      </w:r>
      <w:r w:rsidR="00302C75">
        <w:rPr>
          <w:lang w:val="en-US"/>
        </w:rPr>
        <w:t xml:space="preserve"> from factories and households</w:t>
      </w:r>
      <w:r w:rsidR="001A7AAC">
        <w:rPr>
          <w:lang w:val="en-US"/>
        </w:rPr>
        <w:t>,</w:t>
      </w:r>
      <w:r w:rsidR="00302C75">
        <w:rPr>
          <w:lang w:val="en-US"/>
        </w:rPr>
        <w:t xml:space="preserve"> are discharged into rivers and streams.  They are then transformed by biological reactions that deplet</w:t>
      </w:r>
      <w:r w:rsidR="001A7AAC">
        <w:rPr>
          <w:lang w:val="en-US"/>
        </w:rPr>
        <w:t xml:space="preserve">e the oxygen dissolved in water; thus, this oxygen deficiency destroys the viability of all aquatic species (5).  </w:t>
      </w:r>
    </w:p>
    <w:p w14:paraId="733C7005" w14:textId="77777777" w:rsidR="00ED5178" w:rsidRDefault="001A7AAC" w:rsidP="007B1295">
      <w:pPr>
        <w:ind w:firstLine="720"/>
        <w:jc w:val="both"/>
        <w:rPr>
          <w:lang w:val="en-US"/>
        </w:rPr>
      </w:pPr>
      <w:r>
        <w:rPr>
          <w:lang w:val="en-US"/>
        </w:rPr>
        <w:t>Past engineering techniques have caused environmental changes related to land and water use and emissions or discharges of chemical substances; for example, deforestation, which is the clearing of forests for agricultural use</w:t>
      </w:r>
      <w:r w:rsidR="00FE3765">
        <w:rPr>
          <w:lang w:val="en-US"/>
        </w:rPr>
        <w:t>,</w:t>
      </w:r>
      <w:r>
        <w:rPr>
          <w:lang w:val="en-US"/>
        </w:rPr>
        <w:t xml:space="preserve"> changes vegetation coverage </w:t>
      </w:r>
      <w:r w:rsidR="00FE3765">
        <w:rPr>
          <w:lang w:val="en-US"/>
        </w:rPr>
        <w:t>and drainage of wetlands (5).  Deforestation also produces changes in the chemicals of soil and sediments which is either the increase of acidity and turbidity of waters or the removal of nutrients from soils</w:t>
      </w:r>
      <w:r w:rsidR="00A35125">
        <w:rPr>
          <w:lang w:val="en-US"/>
        </w:rPr>
        <w:t xml:space="preserve"> (5)</w:t>
      </w:r>
      <w:r w:rsidR="00FE3765">
        <w:rPr>
          <w:lang w:val="en-US"/>
        </w:rPr>
        <w:t>.</w:t>
      </w:r>
      <w:r w:rsidR="00A35125">
        <w:rPr>
          <w:lang w:val="en-US"/>
        </w:rPr>
        <w:t xml:space="preserve">  Changes in infrastructure causes emissions such as soot deposits, acid gases and liquid chemicals and, as a result, increases the concentration of such substances into the air, water and soil and causes illnesses to organisms within the environment (5).</w:t>
      </w:r>
      <w:r w:rsidR="00B2164B">
        <w:rPr>
          <w:lang w:val="en-US"/>
        </w:rPr>
        <w:t xml:space="preserve">  As a consequence to all environmental changes, communities disappear and people are forced to migrate to different areas</w:t>
      </w:r>
      <w:r w:rsidR="00A77CCE">
        <w:rPr>
          <w:lang w:val="en-US"/>
        </w:rPr>
        <w:t xml:space="preserve"> (6)</w:t>
      </w:r>
      <w:r w:rsidR="00B2164B">
        <w:rPr>
          <w:lang w:val="en-US"/>
        </w:rPr>
        <w:t xml:space="preserve">.  </w:t>
      </w:r>
    </w:p>
    <w:p w14:paraId="70A25724" w14:textId="77777777" w:rsidR="00ED5178" w:rsidRDefault="00B2164B" w:rsidP="007B1295">
      <w:pPr>
        <w:ind w:firstLine="720"/>
        <w:jc w:val="both"/>
        <w:rPr>
          <w:lang w:val="en-US"/>
        </w:rPr>
      </w:pPr>
      <w:r>
        <w:rPr>
          <w:lang w:val="en-US"/>
        </w:rPr>
        <w:t xml:space="preserve">Green engineering is a concept that has changed as a result to recent engineering </w:t>
      </w:r>
      <w:r w:rsidR="00213F30">
        <w:rPr>
          <w:lang w:val="en-US"/>
        </w:rPr>
        <w:t>designs</w:t>
      </w:r>
      <w:r>
        <w:rPr>
          <w:lang w:val="en-US"/>
        </w:rPr>
        <w:t xml:space="preserve">.  Foremost, </w:t>
      </w:r>
      <w:r w:rsidR="00213F30">
        <w:rPr>
          <w:lang w:val="en-US"/>
        </w:rPr>
        <w:t>green engineering is based on the concept of environmentally safe disposals (9).  An example of this concept is seen when IBM needed to take back all discarded computers, from consumer</w:t>
      </w:r>
      <w:r w:rsidR="00A56D48">
        <w:rPr>
          <w:lang w:val="en-US"/>
        </w:rPr>
        <w:t>s, which contained toxic metals which were</w:t>
      </w:r>
      <w:r w:rsidR="00213F30">
        <w:rPr>
          <w:lang w:val="en-US"/>
        </w:rPr>
        <w:t xml:space="preserve"> used to manufacture circuit boards; hence, they needed to find a way of safely disposing the toxic metals into the environment</w:t>
      </w:r>
      <w:r w:rsidR="00184862">
        <w:rPr>
          <w:lang w:val="en-US"/>
        </w:rPr>
        <w:t xml:space="preserve"> (9)</w:t>
      </w:r>
      <w:r w:rsidR="00213F30">
        <w:rPr>
          <w:lang w:val="en-US"/>
        </w:rPr>
        <w:t>.</w:t>
      </w:r>
      <w:r w:rsidR="00354ED9">
        <w:rPr>
          <w:lang w:val="en-US"/>
        </w:rPr>
        <w:t xml:space="preserve">  </w:t>
      </w:r>
      <w:r w:rsidR="00FA0C34">
        <w:rPr>
          <w:lang w:val="en-US"/>
        </w:rPr>
        <w:t>Prior to environmental awareness, engineers focused solely on small pieces of the overall system which did not take into consideration the environment as a whole</w:t>
      </w:r>
      <w:r w:rsidR="00004201">
        <w:rPr>
          <w:lang w:val="en-US"/>
        </w:rPr>
        <w:t>; thus, engineers, must, “optimize the total materials cycle from virgin material, to finished material, to component, to product, to obsolete product, and to ultimate disposal</w:t>
      </w:r>
      <w:r w:rsidR="00946AE2">
        <w:rPr>
          <w:lang w:val="en-US"/>
        </w:rPr>
        <w:t xml:space="preserve"> (5</w:t>
      </w:r>
      <w:r w:rsidR="00004201">
        <w:rPr>
          <w:lang w:val="en-US"/>
        </w:rPr>
        <w:t>, 12</w:t>
      </w:r>
      <w:r w:rsidR="00946AE2">
        <w:rPr>
          <w:lang w:val="en-US"/>
        </w:rPr>
        <w:t>)</w:t>
      </w:r>
      <w:r w:rsidR="00FA0C34">
        <w:rPr>
          <w:lang w:val="en-US"/>
        </w:rPr>
        <w:t xml:space="preserve">.  However, engineers must, now, consider ways to reduce environmental impacts by implementing pollution prevention and waste minimization with help from </w:t>
      </w:r>
      <w:r w:rsidR="00946AE2">
        <w:rPr>
          <w:lang w:val="en-US"/>
        </w:rPr>
        <w:t xml:space="preserve">the, “environmental life cycle assessment” (LCA) (10).  </w:t>
      </w:r>
      <w:r w:rsidR="001E3F31">
        <w:rPr>
          <w:lang w:val="en-US"/>
        </w:rPr>
        <w:t xml:space="preserve">In order to comply with the LCA, engineers can create, “cleaner, more efficient </w:t>
      </w:r>
      <w:r w:rsidR="001E3F31">
        <w:rPr>
          <w:lang w:val="en-US"/>
        </w:rPr>
        <w:lastRenderedPageBreak/>
        <w:t xml:space="preserve">manufacturing operations [by] reducing the [amount] of energy and materials during waste management” (12).  </w:t>
      </w:r>
    </w:p>
    <w:p w14:paraId="1EF5EC80" w14:textId="77777777" w:rsidR="00ED5178" w:rsidRDefault="00354ED9" w:rsidP="007B1295">
      <w:pPr>
        <w:ind w:firstLine="720"/>
        <w:jc w:val="both"/>
        <w:rPr>
          <w:lang w:val="en-US"/>
        </w:rPr>
      </w:pPr>
      <w:r>
        <w:rPr>
          <w:lang w:val="en-US"/>
        </w:rPr>
        <w:t>Sustainable development requires engineers to meet the needs of the present without compromising the ability of future generations to meet their own needs</w:t>
      </w:r>
      <w:r w:rsidR="00184862">
        <w:rPr>
          <w:lang w:val="en-US"/>
        </w:rPr>
        <w:t xml:space="preserve"> (12)</w:t>
      </w:r>
      <w:r>
        <w:rPr>
          <w:lang w:val="en-US"/>
        </w:rPr>
        <w:t>.  Therefo</w:t>
      </w:r>
      <w:r w:rsidR="00184862">
        <w:rPr>
          <w:lang w:val="en-US"/>
        </w:rPr>
        <w:t xml:space="preserve">re, engineers need to find ways to enable </w:t>
      </w:r>
      <w:r>
        <w:rPr>
          <w:lang w:val="en-US"/>
        </w:rPr>
        <w:t>natural systems</w:t>
      </w:r>
      <w:r w:rsidR="00184862">
        <w:rPr>
          <w:lang w:val="en-US"/>
        </w:rPr>
        <w:t xml:space="preserve"> to </w:t>
      </w:r>
      <w:r>
        <w:rPr>
          <w:lang w:val="en-US"/>
        </w:rPr>
        <w:t>recircul</w:t>
      </w:r>
      <w:r w:rsidR="00184862">
        <w:rPr>
          <w:lang w:val="en-US"/>
        </w:rPr>
        <w:t>ate and reuse materials which</w:t>
      </w:r>
      <w:r>
        <w:rPr>
          <w:lang w:val="en-US"/>
        </w:rPr>
        <w:t xml:space="preserve"> eliminate or minimize the production of wastes and use of energy</w:t>
      </w:r>
      <w:r w:rsidR="00004201">
        <w:rPr>
          <w:lang w:val="en-US"/>
        </w:rPr>
        <w:t>, which, in turn, will create resources, energy an capital</w:t>
      </w:r>
      <w:r w:rsidR="00184862">
        <w:rPr>
          <w:lang w:val="en-US"/>
        </w:rPr>
        <w:t xml:space="preserve"> (12)</w:t>
      </w:r>
      <w:r>
        <w:rPr>
          <w:lang w:val="en-US"/>
        </w:rPr>
        <w:t>.</w:t>
      </w:r>
      <w:r w:rsidR="00004201">
        <w:rPr>
          <w:lang w:val="en-US"/>
        </w:rPr>
        <w:t xml:space="preserve">  Furthermore, industrial economy permits engineers to, “deliberately and rationally approach and maintain a desirable carrying capacity [with help from] economic, cultural, and technological evolution” (12).  </w:t>
      </w:r>
      <w:r w:rsidR="00A47C6F">
        <w:rPr>
          <w:lang w:val="en-US"/>
        </w:rPr>
        <w:t>As stated, throughout past decades, engineers were not so much concerned with environmental consequences; although, the NRC study (1996) stated that engineers could reduce environmental impacts and provide sustainable development by, “circulating and reusing material flows within the system, reducing the amount of materials used in products to achieve a particular function, protecting living organisms by minimizing or eliminating the flow of harmful substances and minimizing t</w:t>
      </w:r>
      <w:r w:rsidR="00A77CCE">
        <w:rPr>
          <w:lang w:val="en-US"/>
        </w:rPr>
        <w:t xml:space="preserve">he use of energy and the flow of waste heat back to the environment” (12, 16).  </w:t>
      </w:r>
    </w:p>
    <w:p w14:paraId="5B7EBE0B" w14:textId="77777777" w:rsidR="00E74D82" w:rsidRDefault="00A77CCE" w:rsidP="007B1295">
      <w:pPr>
        <w:ind w:firstLine="720"/>
        <w:jc w:val="both"/>
        <w:rPr>
          <w:lang w:val="en-US"/>
        </w:rPr>
      </w:pPr>
      <w:r>
        <w:rPr>
          <w:lang w:val="en-US"/>
        </w:rPr>
        <w:t xml:space="preserve">Now, engineers need to follow strict guidelines for the efficient extraction and manufacturing processes as well as improving the recovery, re-use of materials and energy at the end of the product life (11).  Essentially, </w:t>
      </w:r>
      <w:r w:rsidR="00CC2068">
        <w:rPr>
          <w:lang w:val="en-US"/>
        </w:rPr>
        <w:t xml:space="preserve">environmental engineering deals with developing additional technology and methods for cleaning up the problems that were created by primary manufacturing and processing technologies (10).  </w:t>
      </w:r>
    </w:p>
    <w:p w14:paraId="284D9A24" w14:textId="77777777" w:rsidR="00D72649" w:rsidRDefault="00D72649" w:rsidP="00D72649">
      <w:pPr>
        <w:jc w:val="both"/>
        <w:rPr>
          <w:lang w:val="en-US"/>
        </w:rPr>
      </w:pPr>
    </w:p>
    <w:p w14:paraId="441F315E" w14:textId="77777777" w:rsidR="00D72649" w:rsidRDefault="00D72649" w:rsidP="00D72649">
      <w:pPr>
        <w:jc w:val="both"/>
        <w:rPr>
          <w:b/>
          <w:lang w:val="en-US"/>
        </w:rPr>
      </w:pPr>
      <w:r w:rsidRPr="00D72649">
        <w:rPr>
          <w:b/>
          <w:lang w:val="en-US"/>
        </w:rPr>
        <w:t>QUESTIONS 2:</w:t>
      </w:r>
    </w:p>
    <w:p w14:paraId="7BB5B843" w14:textId="77777777" w:rsidR="00ED5178" w:rsidRDefault="00D72649" w:rsidP="00D72649">
      <w:pPr>
        <w:jc w:val="both"/>
        <w:rPr>
          <w:lang w:val="en-US"/>
        </w:rPr>
      </w:pPr>
      <w:r>
        <w:rPr>
          <w:b/>
          <w:lang w:val="en-US"/>
        </w:rPr>
        <w:tab/>
      </w:r>
      <w:r>
        <w:rPr>
          <w:lang w:val="en-US"/>
        </w:rPr>
        <w:t>By using the Canadian National Pollutant Release Inventory, it can be stated that five sectors release large quantities of pollutants into the air, water, and land</w:t>
      </w:r>
      <w:r w:rsidR="00CE047E">
        <w:rPr>
          <w:lang w:val="en-US"/>
        </w:rPr>
        <w:t xml:space="preserve"> (Canadian National Pollutant Release Inventory)</w:t>
      </w:r>
      <w:r>
        <w:rPr>
          <w:lang w:val="en-US"/>
        </w:rPr>
        <w:t>.  The water, sewage and other chemicals sector emitted the largest amount of pollutants into the water</w:t>
      </w:r>
      <w:r w:rsidR="007B7918">
        <w:rPr>
          <w:lang w:val="en-US"/>
        </w:rPr>
        <w:t xml:space="preserve"> (41000 tonnes)</w:t>
      </w:r>
      <w:r w:rsidR="00CE047E" w:rsidRPr="00CE047E">
        <w:rPr>
          <w:lang w:val="en-US"/>
        </w:rPr>
        <w:t xml:space="preserve"> </w:t>
      </w:r>
      <w:r w:rsidR="00CE047E">
        <w:rPr>
          <w:lang w:val="en-US"/>
        </w:rPr>
        <w:t>(Canadian National Pollutant Release Inventory)</w:t>
      </w:r>
      <w:r w:rsidR="007B7918">
        <w:rPr>
          <w:lang w:val="en-US"/>
        </w:rPr>
        <w:t>.  This sector accounted for 77% of reported releases within 2001</w:t>
      </w:r>
      <w:r w:rsidR="00CE047E">
        <w:rPr>
          <w:lang w:val="en-US"/>
        </w:rPr>
        <w:t xml:space="preserve"> (Canadian National Pollutant Release Inventory)</w:t>
      </w:r>
      <w:r w:rsidR="007B7918">
        <w:rPr>
          <w:lang w:val="en-US"/>
        </w:rPr>
        <w:t>.  Fifty two thousand tonnes of pollutants were released into water bodies; these released pollutants were mostly emitted by municipal sewage treatment facilities</w:t>
      </w:r>
      <w:r w:rsidR="00CE047E">
        <w:rPr>
          <w:lang w:val="en-US"/>
        </w:rPr>
        <w:t xml:space="preserve"> (Canadian National Pollutant Release Inventory)</w:t>
      </w:r>
      <w:r w:rsidR="007B7918">
        <w:rPr>
          <w:lang w:val="en-US"/>
        </w:rPr>
        <w:t xml:space="preserve">.  </w:t>
      </w:r>
      <w:r w:rsidR="00463BEC">
        <w:rPr>
          <w:lang w:val="en-US"/>
        </w:rPr>
        <w:t>Chemicals such as a</w:t>
      </w:r>
      <w:r w:rsidR="007B7918">
        <w:rPr>
          <w:lang w:val="en-US"/>
        </w:rPr>
        <w:t xml:space="preserve">mmonia </w:t>
      </w:r>
      <w:r w:rsidR="00463BEC">
        <w:rPr>
          <w:lang w:val="en-US"/>
        </w:rPr>
        <w:t>and nitrate iron were released into water bodies; a</w:t>
      </w:r>
      <w:r w:rsidR="00CE047E">
        <w:rPr>
          <w:lang w:val="en-US"/>
        </w:rPr>
        <w:t>mmonia release increased by 4% whereas</w:t>
      </w:r>
      <w:r w:rsidR="00463BEC">
        <w:rPr>
          <w:lang w:val="en-US"/>
        </w:rPr>
        <w:t xml:space="preserve"> nitrate iron </w:t>
      </w:r>
      <w:r w:rsidR="00CE047E">
        <w:rPr>
          <w:lang w:val="en-US"/>
        </w:rPr>
        <w:t xml:space="preserve">increased by 14% (Canadian National Pollutant Release Inventory).  </w:t>
      </w:r>
    </w:p>
    <w:p w14:paraId="056AEFBC" w14:textId="77777777" w:rsidR="00ED5178" w:rsidRDefault="00CE047E" w:rsidP="00ED5178">
      <w:pPr>
        <w:ind w:firstLine="720"/>
        <w:jc w:val="both"/>
        <w:rPr>
          <w:lang w:val="en-US"/>
        </w:rPr>
      </w:pPr>
      <w:r>
        <w:rPr>
          <w:lang w:val="en-US"/>
        </w:rPr>
        <w:t xml:space="preserve">The pulp, paper and paperboard Mills </w:t>
      </w:r>
      <w:r w:rsidR="00676220">
        <w:rPr>
          <w:lang w:val="en-US"/>
        </w:rPr>
        <w:t>released 32000 tonnes of pollutants into air, water and land and were followed by the electricity generation, transmission and distribution sector which released 21000 tonnes of pollutants (Canadian National Pollutant Release Inventory).  The two sectors which released the same amount of pollutants to air, water and land</w:t>
      </w:r>
      <w:r w:rsidR="002E24FD">
        <w:rPr>
          <w:lang w:val="en-US"/>
        </w:rPr>
        <w:t xml:space="preserve"> by 11000 tonnes</w:t>
      </w:r>
      <w:r w:rsidR="00676220">
        <w:rPr>
          <w:lang w:val="en-US"/>
        </w:rPr>
        <w:t xml:space="preserve"> were the pesticide, fertilizer and other agricultural chemicals manufacturing sector and the oil and gas extraction sector (Canadian National Pollutant Release Inventory).  Pollutants that were released into the air accounted for 68.5 % down by 5% within a year (Canadian National Pollutant Release Inventory).  Moreover, methanol, hydrochloric acid and ammonia were the chemicals released in the largest </w:t>
      </w:r>
      <w:r w:rsidR="00676220">
        <w:rPr>
          <w:lang w:val="en-US"/>
        </w:rPr>
        <w:lastRenderedPageBreak/>
        <w:t xml:space="preserve">amounts predominantly by the pulp and paper manufacturing, electricity generation and manufacturing of agricultural chemicals sectors, as stated by the Canadian National Pollutant Release Inventory.  </w:t>
      </w:r>
      <w:r w:rsidR="0097759A">
        <w:rPr>
          <w:lang w:val="en-US"/>
        </w:rPr>
        <w:t xml:space="preserve">Lastly, pollutants that were released onto land were caused by land spills, land leaks and the distribution of pollutants on land (Canadian National Pollutant Release Inventory).  </w:t>
      </w:r>
    </w:p>
    <w:p w14:paraId="727BA97B" w14:textId="77777777" w:rsidR="00D72649" w:rsidRDefault="0097759A" w:rsidP="00ED5178">
      <w:pPr>
        <w:ind w:firstLine="720"/>
        <w:jc w:val="both"/>
        <w:rPr>
          <w:lang w:val="en-US"/>
        </w:rPr>
      </w:pPr>
      <w:r>
        <w:rPr>
          <w:lang w:val="en-US"/>
        </w:rPr>
        <w:t>Pollutants emitted onto land accounted for 5390 tonnes; the chemicals released onto land were ethylene glycol, zinc and manganese (Canadian National Pollutant Release Inventory).  These pollutants were emitted by air transportation, specifically de-icing operations, iron and steel manufacturing operation and electric power generating facilities and iron and steel manufacturing operations, respectively (Canadian National Pollutant Release Inventory).  Although, there is a pertinent problem with estimating which chemicals posed the most threat to the environment as land releases do not include pollutants and chemicals that are emitted from land disposal, landfilling, underground injection and land treatment (Canadian National Pollutant Release Inventory).</w:t>
      </w:r>
    </w:p>
    <w:p w14:paraId="0D21B7A4" w14:textId="77777777" w:rsidR="00D1763C" w:rsidRDefault="00D1763C" w:rsidP="00D72649">
      <w:pPr>
        <w:jc w:val="both"/>
        <w:rPr>
          <w:lang w:val="en-US"/>
        </w:rPr>
      </w:pPr>
    </w:p>
    <w:p w14:paraId="618ECE0A" w14:textId="77777777" w:rsidR="00CA0C27" w:rsidRDefault="00CA0C27" w:rsidP="00D72649">
      <w:pPr>
        <w:jc w:val="both"/>
        <w:rPr>
          <w:b/>
          <w:lang w:val="en-US"/>
        </w:rPr>
      </w:pPr>
      <w:r w:rsidRPr="00CA0C27">
        <w:rPr>
          <w:b/>
          <w:lang w:val="en-US"/>
        </w:rPr>
        <w:t>QUESTION 3:</w:t>
      </w:r>
    </w:p>
    <w:p w14:paraId="3E835011" w14:textId="77777777" w:rsidR="00627C3C" w:rsidRDefault="00CA0C27" w:rsidP="00D72649">
      <w:pPr>
        <w:jc w:val="both"/>
        <w:rPr>
          <w:lang w:val="en-US"/>
        </w:rPr>
      </w:pPr>
      <w:r>
        <w:rPr>
          <w:b/>
          <w:lang w:val="en-US"/>
        </w:rPr>
        <w:tab/>
      </w:r>
      <w:r w:rsidR="006A0B15">
        <w:rPr>
          <w:lang w:val="en-US"/>
        </w:rPr>
        <w:t>Populations have increased drastically since the mid 1900’s and, as a result, there has been an increase in the amount of natural resources us</w:t>
      </w:r>
      <w:r w:rsidR="0065338D">
        <w:rPr>
          <w:lang w:val="en-US"/>
        </w:rPr>
        <w:t>ed for raw materials and energy</w:t>
      </w:r>
      <w:r w:rsidR="006A0B15">
        <w:rPr>
          <w:lang w:val="en-US"/>
        </w:rPr>
        <w:t xml:space="preserve"> (68)</w:t>
      </w:r>
      <w:r w:rsidR="0065338D">
        <w:rPr>
          <w:lang w:val="en-US"/>
        </w:rPr>
        <w:t>.  In the 20</w:t>
      </w:r>
      <w:r w:rsidR="0065338D" w:rsidRPr="0065338D">
        <w:rPr>
          <w:vertAlign w:val="superscript"/>
          <w:lang w:val="en-US"/>
        </w:rPr>
        <w:t>th</w:t>
      </w:r>
      <w:r w:rsidR="0065338D">
        <w:rPr>
          <w:lang w:val="en-US"/>
        </w:rPr>
        <w:t xml:space="preserve"> century, the US had an enormous increase in the consumption of natural resources, such as fuel use and material consumption; this increase began after the great depression and has continuously increased ever since (68-69</w:t>
      </w:r>
      <w:r w:rsidR="0042435C">
        <w:rPr>
          <w:lang w:val="en-US"/>
        </w:rPr>
        <w:t>—FIGURE 2.27</w:t>
      </w:r>
      <w:r w:rsidR="0065338D">
        <w:rPr>
          <w:lang w:val="en-US"/>
        </w:rPr>
        <w:t xml:space="preserve">).  </w:t>
      </w:r>
      <w:r w:rsidR="0042435C">
        <w:rPr>
          <w:lang w:val="en-US"/>
        </w:rPr>
        <w:t>Due to improvements in energy efficiency, it has allowed for the reduction in the amount of fuels that must be extracted in order for efficient tr</w:t>
      </w:r>
      <w:r w:rsidR="00743310">
        <w:rPr>
          <w:lang w:val="en-US"/>
        </w:rPr>
        <w:t xml:space="preserve">ansportation and lighting (68).  </w:t>
      </w:r>
    </w:p>
    <w:p w14:paraId="4EA36E5F" w14:textId="77777777" w:rsidR="00627C3C" w:rsidRDefault="00743310" w:rsidP="00627C3C">
      <w:pPr>
        <w:ind w:firstLine="720"/>
        <w:jc w:val="both"/>
        <w:rPr>
          <w:lang w:val="en-US"/>
        </w:rPr>
      </w:pPr>
      <w:r>
        <w:rPr>
          <w:lang w:val="en-US"/>
        </w:rPr>
        <w:t>Natural gas is described as the cleanest and safest energy source; it is a colorless, odorless, combustible and releases few emissions</w:t>
      </w:r>
      <w:r w:rsidR="00195E9D">
        <w:rPr>
          <w:lang w:val="en-US"/>
        </w:rPr>
        <w:t>.</w:t>
      </w:r>
      <w:r>
        <w:rPr>
          <w:lang w:val="en-US"/>
        </w:rPr>
        <w:t xml:space="preserve"> Natural gas is composed of many different compositions including, methane, ethane, propane, carbon dioxide, oxygen, </w:t>
      </w:r>
      <w:proofErr w:type="gramStart"/>
      <w:r>
        <w:rPr>
          <w:lang w:val="en-US"/>
        </w:rPr>
        <w:t>nitrogen</w:t>
      </w:r>
      <w:proofErr w:type="gramEnd"/>
      <w:r>
        <w:rPr>
          <w:lang w:val="en-US"/>
        </w:rPr>
        <w:t xml:space="preserve"> and hydrogen </w:t>
      </w:r>
      <w:proofErr w:type="spellStart"/>
      <w:r>
        <w:rPr>
          <w:lang w:val="en-US"/>
        </w:rPr>
        <w:t>sulphide</w:t>
      </w:r>
      <w:proofErr w:type="spellEnd"/>
      <w:r w:rsidR="00195E9D">
        <w:rPr>
          <w:lang w:val="en-US"/>
        </w:rPr>
        <w:t>.</w:t>
      </w:r>
      <w:r w:rsidR="00BF650A">
        <w:rPr>
          <w:lang w:val="en-US"/>
        </w:rPr>
        <w:t xml:space="preserve"> </w:t>
      </w:r>
      <w:r>
        <w:rPr>
          <w:lang w:val="en-US"/>
        </w:rPr>
        <w:t xml:space="preserve">The reason why natural gas is so important to people is because </w:t>
      </w:r>
      <w:r w:rsidR="00C82F4F">
        <w:rPr>
          <w:lang w:val="en-US"/>
        </w:rPr>
        <w:t>it is associated with oil deposits; from these deposits, companies can drill wells in the earth and, sell the oil for money</w:t>
      </w:r>
      <w:r w:rsidR="00195E9D">
        <w:rPr>
          <w:lang w:val="en-US"/>
        </w:rPr>
        <w:t>.</w:t>
      </w:r>
      <w:r w:rsidR="00BF650A">
        <w:rPr>
          <w:lang w:val="en-US"/>
        </w:rPr>
        <w:t xml:space="preserve"> </w:t>
      </w:r>
      <w:r w:rsidR="00C82F4F">
        <w:rPr>
          <w:lang w:val="en-US"/>
        </w:rPr>
        <w:t xml:space="preserve">It is stated that there is an “abundance” of natural gas; however, people do not always realize that this is a non-renewable </w:t>
      </w:r>
      <w:proofErr w:type="gramStart"/>
      <w:r w:rsidR="00C82F4F">
        <w:rPr>
          <w:lang w:val="en-US"/>
        </w:rPr>
        <w:t>resource which</w:t>
      </w:r>
      <w:proofErr w:type="gramEnd"/>
      <w:r w:rsidR="00C82F4F">
        <w:rPr>
          <w:lang w:val="en-US"/>
        </w:rPr>
        <w:t xml:space="preserve"> takes millions of years to form.  Therefore, yes, there is an abundance of natural gas right now; but, if we keep using it to its full potential there will probably not be any left over for future </w:t>
      </w:r>
      <w:proofErr w:type="gramStart"/>
      <w:r w:rsidR="00C82F4F">
        <w:rPr>
          <w:lang w:val="en-US"/>
        </w:rPr>
        <w:t>generations</w:t>
      </w:r>
      <w:r w:rsidR="00BF650A">
        <w:rPr>
          <w:lang w:val="en-US"/>
        </w:rPr>
        <w:t xml:space="preserve"> </w:t>
      </w:r>
      <w:r w:rsidR="00195E9D">
        <w:rPr>
          <w:lang w:val="en-US"/>
        </w:rPr>
        <w:t>.</w:t>
      </w:r>
      <w:proofErr w:type="gramEnd"/>
      <w:r w:rsidR="00C82F4F">
        <w:rPr>
          <w:lang w:val="en-US"/>
        </w:rPr>
        <w:t xml:space="preserve"> </w:t>
      </w:r>
    </w:p>
    <w:p w14:paraId="6ECE1650" w14:textId="77777777" w:rsidR="00627C3C" w:rsidRPr="00627C3C" w:rsidRDefault="00C82F4F" w:rsidP="00627C3C">
      <w:pPr>
        <w:ind w:firstLine="720"/>
        <w:jc w:val="both"/>
        <w:rPr>
          <w:lang w:val="en-US"/>
        </w:rPr>
      </w:pPr>
      <w:r>
        <w:rPr>
          <w:lang w:val="en-US"/>
        </w:rPr>
        <w:t>According to the Energy Information Administration, there is 26.32 trillion cubic feet of natural gas, in the United States alone</w:t>
      </w:r>
      <w:r w:rsidR="00195E9D">
        <w:rPr>
          <w:lang w:val="en-US"/>
        </w:rPr>
        <w:t>.</w:t>
      </w:r>
      <w:r w:rsidR="00BF650A">
        <w:rPr>
          <w:lang w:val="en-US"/>
        </w:rPr>
        <w:t xml:space="preserve"> </w:t>
      </w:r>
      <w:r>
        <w:rPr>
          <w:lang w:val="en-US"/>
        </w:rPr>
        <w:t xml:space="preserve">Furthermore, </w:t>
      </w:r>
      <w:r w:rsidR="00627C3C">
        <w:rPr>
          <w:lang w:val="en-US"/>
        </w:rPr>
        <w:t>it is important to take into consideration natural gas’s relationship with the environment</w:t>
      </w:r>
      <w:r w:rsidR="00195E9D">
        <w:rPr>
          <w:lang w:val="en-US"/>
        </w:rPr>
        <w:t>.</w:t>
      </w:r>
      <w:r w:rsidR="00BF650A">
        <w:rPr>
          <w:lang w:val="en-US"/>
        </w:rPr>
        <w:t xml:space="preserve"> </w:t>
      </w:r>
      <w:r w:rsidR="00627C3C">
        <w:rPr>
          <w:lang w:val="en-US"/>
        </w:rPr>
        <w:t>Natural gas affects the environment through its combustion process and, as a result, creates greenhouse gas emissions, smog and acid rain, decrease of air quality, industrial and electrical generation emissions and, lastly, pollution from the transportation sector</w:t>
      </w:r>
      <w:r w:rsidR="00195E9D">
        <w:rPr>
          <w:lang w:val="en-US"/>
        </w:rPr>
        <w:t>.</w:t>
      </w:r>
      <w:r w:rsidR="00BF650A">
        <w:rPr>
          <w:lang w:val="en-US"/>
        </w:rPr>
        <w:t xml:space="preserve"> </w:t>
      </w:r>
      <w:r w:rsidR="00627C3C">
        <w:rPr>
          <w:lang w:val="en-US"/>
        </w:rPr>
        <w:t>Furthermore, greenhouse gas emissions caused an increase in global warming</w:t>
      </w:r>
      <w:r w:rsidR="00195E9D">
        <w:rPr>
          <w:lang w:val="en-US"/>
        </w:rPr>
        <w:t>.</w:t>
      </w:r>
      <w:r w:rsidR="00BF650A">
        <w:rPr>
          <w:lang w:val="en-US"/>
        </w:rPr>
        <w:t xml:space="preserve"> </w:t>
      </w:r>
      <w:r w:rsidR="00627C3C">
        <w:rPr>
          <w:lang w:val="en-US"/>
        </w:rPr>
        <w:t>Smog, acid rain and air quality is affected by the combustion of natural gas but not significantly enough for it to cause damage</w:t>
      </w:r>
      <w:r w:rsidR="00195E9D">
        <w:rPr>
          <w:lang w:val="en-US"/>
        </w:rPr>
        <w:t>.</w:t>
      </w:r>
      <w:r w:rsidR="00BF650A">
        <w:rPr>
          <w:lang w:val="en-US"/>
        </w:rPr>
        <w:t xml:space="preserve"> </w:t>
      </w:r>
      <w:r w:rsidR="00627C3C">
        <w:rPr>
          <w:lang w:val="en-US"/>
        </w:rPr>
        <w:t>Continuously, the environmental implications of future energy resource extraction could cause some major problems to the environment and all organisms through the technology used to extrac</w:t>
      </w:r>
      <w:r w:rsidR="00BF650A">
        <w:rPr>
          <w:lang w:val="en-US"/>
        </w:rPr>
        <w:t xml:space="preserve">t these </w:t>
      </w:r>
      <w:r w:rsidR="00BF650A">
        <w:rPr>
          <w:lang w:val="en-US"/>
        </w:rPr>
        <w:lastRenderedPageBreak/>
        <w:t>natural gases</w:t>
      </w:r>
      <w:r w:rsidR="00195E9D">
        <w:rPr>
          <w:lang w:val="en-US"/>
        </w:rPr>
        <w:t>.</w:t>
      </w:r>
      <w:r w:rsidR="00BF650A">
        <w:rPr>
          <w:lang w:val="en-US"/>
        </w:rPr>
        <w:t xml:space="preserve"> Natural gas can mostly be found in bodies of water that can affect the water levels, cause oil spills and shift and destroy marine ecosystems and loss of habitat</w:t>
      </w:r>
      <w:r w:rsidR="00195E9D">
        <w:rPr>
          <w:lang w:val="en-US"/>
        </w:rPr>
        <w:t>.</w:t>
      </w:r>
      <w:r w:rsidR="00BF650A">
        <w:rPr>
          <w:lang w:val="en-US"/>
        </w:rPr>
        <w:t xml:space="preserve"> </w:t>
      </w:r>
    </w:p>
    <w:p w14:paraId="733AF92A" w14:textId="77777777" w:rsidR="00C94C2C" w:rsidRDefault="00C82F4F" w:rsidP="00D72649">
      <w:pPr>
        <w:jc w:val="both"/>
        <w:rPr>
          <w:lang w:val="en-US"/>
        </w:rPr>
      </w:pPr>
      <w:r>
        <w:rPr>
          <w:lang w:val="en-US"/>
        </w:rPr>
        <w:t xml:space="preserve"> </w:t>
      </w:r>
    </w:p>
    <w:p w14:paraId="3875B512" w14:textId="77777777" w:rsidR="00F34E2E" w:rsidRDefault="002F757C" w:rsidP="00D72649">
      <w:pPr>
        <w:jc w:val="both"/>
        <w:rPr>
          <w:b/>
          <w:lang w:val="en-US"/>
        </w:rPr>
      </w:pPr>
      <w:r>
        <w:rPr>
          <w:b/>
          <w:lang w:val="en-US"/>
        </w:rPr>
        <w:t>QUESTION 4</w:t>
      </w:r>
      <w:r w:rsidR="00D1763C" w:rsidRPr="00D1763C">
        <w:rPr>
          <w:b/>
          <w:lang w:val="en-US"/>
        </w:rPr>
        <w:t>:</w:t>
      </w:r>
    </w:p>
    <w:p w14:paraId="16B05446" w14:textId="77777777" w:rsidR="00F34E2E" w:rsidRDefault="00F34E2E" w:rsidP="00D72649">
      <w:pPr>
        <w:jc w:val="both"/>
        <w:rPr>
          <w:b/>
          <w:lang w:val="en-US"/>
        </w:rPr>
      </w:pPr>
    </w:p>
    <w:p w14:paraId="059DC804" w14:textId="77777777" w:rsidR="00F34E2E" w:rsidRPr="00F34E2E" w:rsidRDefault="00195E9D" w:rsidP="00D72649">
      <w:pPr>
        <w:jc w:val="both"/>
        <w:rPr>
          <w:b/>
          <w:lang w:val="en-US"/>
        </w:rPr>
      </w:pPr>
      <m:oMath>
        <m:sSub>
          <m:sSubPr>
            <m:ctrlPr>
              <w:rPr>
                <w:rFonts w:ascii="Cambria Math" w:hAnsi="Cambria Math"/>
                <w:i/>
                <w:lang w:val="en-US"/>
              </w:rPr>
            </m:ctrlPr>
          </m:sSubPr>
          <m:e>
            <m:r>
              <w:rPr>
                <w:rFonts w:ascii="Cambria Math" w:hAnsi="Cambria Math"/>
                <w:lang w:val="en-US"/>
              </w:rPr>
              <m:t xml:space="preserve">         CO</m:t>
            </m:r>
          </m:e>
          <m:sub>
            <m:r>
              <w:rPr>
                <w:rFonts w:ascii="Cambria Math" w:hAnsi="Cambria Math"/>
                <w:lang w:val="en-US"/>
              </w:rPr>
              <m:t>2</m:t>
            </m:r>
          </m:sub>
        </m:sSub>
      </m:oMath>
      <w:r w:rsidR="00F34E2E">
        <w:rPr>
          <w:rFonts w:eastAsiaTheme="minorEastAsia"/>
          <w:lang w:val="en-US"/>
        </w:rPr>
        <w:t xml:space="preserve"> Emission Rate for worldwide greenhouse gas emissions follows the solution that actual emission rate of each substance is multiplied by the 20 GWP</w:t>
      </w:r>
      <w:r w:rsidR="006A0B15">
        <w:rPr>
          <w:rFonts w:eastAsiaTheme="minorEastAsia"/>
          <w:lang w:val="en-US"/>
        </w:rPr>
        <w:t xml:space="preserve"> (534)</w:t>
      </w:r>
      <w:r w:rsidR="00F34E2E">
        <w:rPr>
          <w:rFonts w:eastAsiaTheme="minorEastAsia"/>
          <w:lang w:val="en-US"/>
        </w:rPr>
        <w:t>.  Thus, the results give us</w:t>
      </w:r>
    </w:p>
    <w:tbl>
      <w:tblPr>
        <w:tblStyle w:val="TableGrid"/>
        <w:tblW w:w="0" w:type="auto"/>
        <w:tblLook w:val="04A0" w:firstRow="1" w:lastRow="0" w:firstColumn="1" w:lastColumn="0" w:noHBand="0" w:noVBand="1"/>
      </w:tblPr>
      <w:tblGrid>
        <w:gridCol w:w="3192"/>
        <w:gridCol w:w="3192"/>
        <w:gridCol w:w="3192"/>
      </w:tblGrid>
      <w:tr w:rsidR="00F34E2E" w14:paraId="1514DF33" w14:textId="77777777" w:rsidTr="00F34E2E">
        <w:tc>
          <w:tcPr>
            <w:tcW w:w="3192" w:type="dxa"/>
          </w:tcPr>
          <w:p w14:paraId="110EF8FA" w14:textId="77777777" w:rsidR="00F34E2E" w:rsidRDefault="00F34E2E" w:rsidP="00D72649">
            <w:pPr>
              <w:jc w:val="both"/>
              <w:rPr>
                <w:b/>
                <w:lang w:val="en-US"/>
              </w:rPr>
            </w:pPr>
            <w:r>
              <w:rPr>
                <w:b/>
                <w:lang w:val="en-US"/>
              </w:rPr>
              <w:t>GREENHOUSE GAS &amp; 20 YR GWP</w:t>
            </w:r>
          </w:p>
        </w:tc>
        <w:tc>
          <w:tcPr>
            <w:tcW w:w="3192" w:type="dxa"/>
          </w:tcPr>
          <w:p w14:paraId="06725927" w14:textId="77777777" w:rsidR="00F34E2E" w:rsidRDefault="00F34E2E" w:rsidP="00D72649">
            <w:pPr>
              <w:jc w:val="both"/>
              <w:rPr>
                <w:b/>
                <w:lang w:val="en-US"/>
              </w:rPr>
            </w:pPr>
            <w:r>
              <w:rPr>
                <w:b/>
                <w:lang w:val="en-US"/>
              </w:rPr>
              <w:t>EQUATION</w:t>
            </w:r>
          </w:p>
        </w:tc>
        <w:tc>
          <w:tcPr>
            <w:tcW w:w="3192" w:type="dxa"/>
          </w:tcPr>
          <w:p w14:paraId="6BD2E7D6" w14:textId="77777777" w:rsidR="00F34E2E" w:rsidRDefault="00F34E2E" w:rsidP="00D72649">
            <w:pPr>
              <w:jc w:val="both"/>
              <w:rPr>
                <w:b/>
                <w:lang w:val="en-US"/>
              </w:rPr>
            </w:pPr>
            <w:r>
              <w:rPr>
                <w:b/>
                <w:lang w:val="en-US"/>
              </w:rPr>
              <w:t xml:space="preserve">EQUIVALENT </w:t>
            </w:r>
            <m:oMath>
              <m:sSub>
                <m:sSubPr>
                  <m:ctrlPr>
                    <w:rPr>
                      <w:rFonts w:ascii="Cambria Math" w:hAnsi="Cambria Math"/>
                      <w:b/>
                      <w:i/>
                      <w:lang w:val="en-US"/>
                    </w:rPr>
                  </m:ctrlPr>
                </m:sSubPr>
                <m:e>
                  <m:r>
                    <m:rPr>
                      <m:sty m:val="bi"/>
                    </m:rPr>
                    <w:rPr>
                      <w:rFonts w:ascii="Cambria Math" w:hAnsi="Cambria Math"/>
                      <w:lang w:val="en-US"/>
                    </w:rPr>
                    <m:t>C</m:t>
                  </m:r>
                  <m:r>
                    <m:rPr>
                      <m:sty m:val="bi"/>
                    </m:rPr>
                    <w:rPr>
                      <w:rFonts w:ascii="Cambria Math" w:hAnsi="Cambria Math"/>
                      <w:lang w:val="en-US"/>
                    </w:rPr>
                    <m:t>0</m:t>
                  </m:r>
                </m:e>
                <m:sub>
                  <m:r>
                    <m:rPr>
                      <m:sty m:val="bi"/>
                    </m:rPr>
                    <w:rPr>
                      <w:rFonts w:ascii="Cambria Math" w:hAnsi="Cambria Math"/>
                      <w:lang w:val="en-US"/>
                    </w:rPr>
                    <m:t>2</m:t>
                  </m:r>
                </m:sub>
              </m:sSub>
            </m:oMath>
          </w:p>
        </w:tc>
      </w:tr>
      <w:tr w:rsidR="00F34E2E" w14:paraId="4EA6D12F" w14:textId="77777777" w:rsidTr="00F34E2E">
        <w:tc>
          <w:tcPr>
            <w:tcW w:w="3192" w:type="dxa"/>
          </w:tcPr>
          <w:p w14:paraId="5CC37514" w14:textId="77777777" w:rsidR="00F34E2E" w:rsidRPr="002960E6" w:rsidRDefault="00F34E2E" w:rsidP="00D72649">
            <w:pPr>
              <w:jc w:val="both"/>
              <w:rPr>
                <w:i/>
                <w:lang w:val="en-US"/>
              </w:rPr>
            </w:pPr>
            <w:r w:rsidRPr="002960E6">
              <w:rPr>
                <w:i/>
                <w:lang w:val="en-US"/>
              </w:rPr>
              <w:t>CARBON DIOXIDE</w:t>
            </w:r>
          </w:p>
        </w:tc>
        <w:tc>
          <w:tcPr>
            <w:tcW w:w="3192" w:type="dxa"/>
          </w:tcPr>
          <w:p w14:paraId="516F5A07" w14:textId="77777777" w:rsidR="00F34E2E" w:rsidRPr="00F34E2E" w:rsidRDefault="00F34E2E" w:rsidP="00D72649">
            <w:pPr>
              <w:jc w:val="both"/>
              <w:rPr>
                <w:lang w:val="en-US"/>
              </w:rPr>
            </w:pPr>
            <w:r>
              <w:rPr>
                <w:lang w:val="en-US"/>
              </w:rPr>
              <w:t>29800 *1</w:t>
            </w:r>
          </w:p>
        </w:tc>
        <w:tc>
          <w:tcPr>
            <w:tcW w:w="3192" w:type="dxa"/>
          </w:tcPr>
          <w:p w14:paraId="37DDAF9C" w14:textId="77777777" w:rsidR="00F34E2E" w:rsidRPr="002960E6" w:rsidRDefault="00F34E2E" w:rsidP="00D72649">
            <w:pPr>
              <w:jc w:val="both"/>
              <w:rPr>
                <w:lang w:val="en-US"/>
              </w:rPr>
            </w:pPr>
            <w:r w:rsidRPr="002960E6">
              <w:rPr>
                <w:lang w:val="en-US"/>
              </w:rPr>
              <w:t>29800</w:t>
            </w:r>
          </w:p>
        </w:tc>
      </w:tr>
      <w:tr w:rsidR="00F34E2E" w14:paraId="71E0C477" w14:textId="77777777" w:rsidTr="00F34E2E">
        <w:tc>
          <w:tcPr>
            <w:tcW w:w="3192" w:type="dxa"/>
          </w:tcPr>
          <w:p w14:paraId="70B3C5EC" w14:textId="77777777" w:rsidR="00F34E2E" w:rsidRPr="002960E6" w:rsidRDefault="00F34E2E" w:rsidP="00D72649">
            <w:pPr>
              <w:jc w:val="both"/>
              <w:rPr>
                <w:i/>
                <w:lang w:val="en-US"/>
              </w:rPr>
            </w:pPr>
            <w:r w:rsidRPr="002960E6">
              <w:rPr>
                <w:i/>
                <w:lang w:val="en-US"/>
              </w:rPr>
              <w:t xml:space="preserve">METHANE </w:t>
            </w:r>
          </w:p>
        </w:tc>
        <w:tc>
          <w:tcPr>
            <w:tcW w:w="3192" w:type="dxa"/>
          </w:tcPr>
          <w:p w14:paraId="3BBCE45F" w14:textId="77777777" w:rsidR="00F34E2E" w:rsidRPr="002960E6" w:rsidRDefault="00F34E2E" w:rsidP="00D72649">
            <w:pPr>
              <w:jc w:val="both"/>
              <w:rPr>
                <w:lang w:val="en-US"/>
              </w:rPr>
            </w:pPr>
            <w:r w:rsidRPr="002960E6">
              <w:rPr>
                <w:lang w:val="en-US"/>
              </w:rPr>
              <w:t>56* 375</w:t>
            </w:r>
          </w:p>
        </w:tc>
        <w:tc>
          <w:tcPr>
            <w:tcW w:w="3192" w:type="dxa"/>
          </w:tcPr>
          <w:p w14:paraId="5891F13E" w14:textId="77777777" w:rsidR="00F34E2E" w:rsidRPr="002960E6" w:rsidRDefault="00F34E2E" w:rsidP="00D72649">
            <w:pPr>
              <w:jc w:val="both"/>
              <w:rPr>
                <w:lang w:val="en-US"/>
              </w:rPr>
            </w:pPr>
            <w:r w:rsidRPr="002960E6">
              <w:rPr>
                <w:lang w:val="en-US"/>
              </w:rPr>
              <w:t>21000</w:t>
            </w:r>
          </w:p>
        </w:tc>
      </w:tr>
      <w:tr w:rsidR="00F34E2E" w14:paraId="1ABE779C" w14:textId="77777777" w:rsidTr="00F34E2E">
        <w:tc>
          <w:tcPr>
            <w:tcW w:w="3192" w:type="dxa"/>
          </w:tcPr>
          <w:p w14:paraId="56DE0D7A" w14:textId="77777777" w:rsidR="00F34E2E" w:rsidRPr="002960E6" w:rsidRDefault="00F34E2E" w:rsidP="00D72649">
            <w:pPr>
              <w:jc w:val="both"/>
              <w:rPr>
                <w:i/>
                <w:lang w:val="en-US"/>
              </w:rPr>
            </w:pPr>
            <w:r w:rsidRPr="002960E6">
              <w:rPr>
                <w:i/>
                <w:lang w:val="en-US"/>
              </w:rPr>
              <w:t>NITROUS OXIDE</w:t>
            </w:r>
          </w:p>
        </w:tc>
        <w:tc>
          <w:tcPr>
            <w:tcW w:w="3192" w:type="dxa"/>
          </w:tcPr>
          <w:p w14:paraId="1FB7F217" w14:textId="77777777" w:rsidR="00F34E2E" w:rsidRPr="002960E6" w:rsidRDefault="00F34E2E" w:rsidP="00D72649">
            <w:pPr>
              <w:jc w:val="both"/>
              <w:rPr>
                <w:lang w:val="en-US"/>
              </w:rPr>
            </w:pPr>
            <w:r w:rsidRPr="002960E6">
              <w:rPr>
                <w:lang w:val="en-US"/>
              </w:rPr>
              <w:t>5.7*280</w:t>
            </w:r>
          </w:p>
        </w:tc>
        <w:tc>
          <w:tcPr>
            <w:tcW w:w="3192" w:type="dxa"/>
          </w:tcPr>
          <w:p w14:paraId="6ECF1DFD" w14:textId="77777777" w:rsidR="00F34E2E" w:rsidRPr="002960E6" w:rsidRDefault="00F34E2E" w:rsidP="00D72649">
            <w:pPr>
              <w:jc w:val="both"/>
              <w:rPr>
                <w:lang w:val="en-US"/>
              </w:rPr>
            </w:pPr>
            <w:r w:rsidRPr="002960E6">
              <w:rPr>
                <w:lang w:val="en-US"/>
              </w:rPr>
              <w:t>1596</w:t>
            </w:r>
          </w:p>
        </w:tc>
      </w:tr>
      <w:tr w:rsidR="00F34E2E" w14:paraId="513FBEB7" w14:textId="77777777" w:rsidTr="00F34E2E">
        <w:tc>
          <w:tcPr>
            <w:tcW w:w="3192" w:type="dxa"/>
          </w:tcPr>
          <w:p w14:paraId="17FF6986" w14:textId="77777777" w:rsidR="00F34E2E" w:rsidRPr="002960E6" w:rsidRDefault="00F34E2E" w:rsidP="00D72649">
            <w:pPr>
              <w:jc w:val="both"/>
              <w:rPr>
                <w:i/>
                <w:lang w:val="en-US"/>
              </w:rPr>
            </w:pPr>
            <w:r w:rsidRPr="002960E6">
              <w:rPr>
                <w:i/>
                <w:lang w:val="en-US"/>
              </w:rPr>
              <w:t>CFC -11</w:t>
            </w:r>
          </w:p>
        </w:tc>
        <w:tc>
          <w:tcPr>
            <w:tcW w:w="3192" w:type="dxa"/>
          </w:tcPr>
          <w:p w14:paraId="3C8008F4" w14:textId="77777777" w:rsidR="00F34E2E" w:rsidRPr="002960E6" w:rsidRDefault="00C86307" w:rsidP="00D72649">
            <w:pPr>
              <w:jc w:val="both"/>
              <w:rPr>
                <w:lang w:val="en-US"/>
              </w:rPr>
            </w:pPr>
            <w:r>
              <w:rPr>
                <w:lang w:val="en-US"/>
              </w:rPr>
              <w:t>5000*0.23</w:t>
            </w:r>
          </w:p>
        </w:tc>
        <w:tc>
          <w:tcPr>
            <w:tcW w:w="3192" w:type="dxa"/>
          </w:tcPr>
          <w:p w14:paraId="16E4593A" w14:textId="77777777" w:rsidR="00F34E2E" w:rsidRPr="002960E6" w:rsidRDefault="00C86307" w:rsidP="00D72649">
            <w:pPr>
              <w:jc w:val="both"/>
              <w:rPr>
                <w:lang w:val="en-US"/>
              </w:rPr>
            </w:pPr>
            <w:r>
              <w:rPr>
                <w:lang w:val="en-US"/>
              </w:rPr>
              <w:t>1150</w:t>
            </w:r>
          </w:p>
        </w:tc>
      </w:tr>
      <w:tr w:rsidR="00F34E2E" w14:paraId="79DC2A74" w14:textId="77777777" w:rsidTr="00F34E2E">
        <w:tc>
          <w:tcPr>
            <w:tcW w:w="3192" w:type="dxa"/>
          </w:tcPr>
          <w:p w14:paraId="1584589C" w14:textId="77777777" w:rsidR="00F34E2E" w:rsidRPr="002960E6" w:rsidRDefault="00F34E2E" w:rsidP="00D72649">
            <w:pPr>
              <w:jc w:val="both"/>
              <w:rPr>
                <w:i/>
                <w:lang w:val="en-US"/>
              </w:rPr>
            </w:pPr>
            <w:r w:rsidRPr="002960E6">
              <w:rPr>
                <w:i/>
                <w:lang w:val="en-US"/>
              </w:rPr>
              <w:t>CFC -12</w:t>
            </w:r>
          </w:p>
        </w:tc>
        <w:tc>
          <w:tcPr>
            <w:tcW w:w="3192" w:type="dxa"/>
          </w:tcPr>
          <w:p w14:paraId="11482241" w14:textId="77777777" w:rsidR="00F34E2E" w:rsidRPr="002960E6" w:rsidRDefault="00C86307" w:rsidP="00D72649">
            <w:pPr>
              <w:jc w:val="both"/>
              <w:rPr>
                <w:lang w:val="en-US"/>
              </w:rPr>
            </w:pPr>
            <w:r>
              <w:rPr>
                <w:lang w:val="en-US"/>
              </w:rPr>
              <w:t>7900*0.23</w:t>
            </w:r>
          </w:p>
        </w:tc>
        <w:tc>
          <w:tcPr>
            <w:tcW w:w="3192" w:type="dxa"/>
          </w:tcPr>
          <w:p w14:paraId="1756D954" w14:textId="77777777" w:rsidR="00F34E2E" w:rsidRPr="002960E6" w:rsidRDefault="00C86307" w:rsidP="00C86307">
            <w:pPr>
              <w:jc w:val="both"/>
              <w:rPr>
                <w:lang w:val="en-US"/>
              </w:rPr>
            </w:pPr>
            <w:r>
              <w:rPr>
                <w:lang w:val="en-US"/>
              </w:rPr>
              <w:t>1817</w:t>
            </w:r>
          </w:p>
        </w:tc>
      </w:tr>
      <w:tr w:rsidR="00F34E2E" w14:paraId="40A8EF6A" w14:textId="77777777" w:rsidTr="00F34E2E">
        <w:tc>
          <w:tcPr>
            <w:tcW w:w="3192" w:type="dxa"/>
          </w:tcPr>
          <w:p w14:paraId="0E559429" w14:textId="77777777" w:rsidR="00F34E2E" w:rsidRPr="002960E6" w:rsidRDefault="002960E6" w:rsidP="00D72649">
            <w:pPr>
              <w:jc w:val="both"/>
              <w:rPr>
                <w:i/>
                <w:lang w:val="en-US"/>
              </w:rPr>
            </w:pPr>
            <w:r w:rsidRPr="002960E6">
              <w:rPr>
                <w:i/>
                <w:lang w:val="en-US"/>
              </w:rPr>
              <w:t>CFC-113</w:t>
            </w:r>
          </w:p>
        </w:tc>
        <w:tc>
          <w:tcPr>
            <w:tcW w:w="3192" w:type="dxa"/>
          </w:tcPr>
          <w:p w14:paraId="0421B1A7" w14:textId="77777777" w:rsidR="00F34E2E" w:rsidRPr="002960E6" w:rsidRDefault="00C86307" w:rsidP="00D72649">
            <w:pPr>
              <w:jc w:val="both"/>
              <w:rPr>
                <w:lang w:val="en-US"/>
              </w:rPr>
            </w:pPr>
            <w:r>
              <w:rPr>
                <w:lang w:val="en-US"/>
              </w:rPr>
              <w:t>5000*0.23</w:t>
            </w:r>
          </w:p>
        </w:tc>
        <w:tc>
          <w:tcPr>
            <w:tcW w:w="3192" w:type="dxa"/>
          </w:tcPr>
          <w:p w14:paraId="1BA91575" w14:textId="77777777" w:rsidR="00F34E2E" w:rsidRPr="002960E6" w:rsidRDefault="00C86307" w:rsidP="00D72649">
            <w:pPr>
              <w:jc w:val="both"/>
              <w:rPr>
                <w:lang w:val="en-US"/>
              </w:rPr>
            </w:pPr>
            <w:r>
              <w:rPr>
                <w:lang w:val="en-US"/>
              </w:rPr>
              <w:t>1150</w:t>
            </w:r>
          </w:p>
        </w:tc>
      </w:tr>
      <w:tr w:rsidR="002960E6" w14:paraId="5E88A963" w14:textId="77777777" w:rsidTr="00F34E2E">
        <w:tc>
          <w:tcPr>
            <w:tcW w:w="3192" w:type="dxa"/>
          </w:tcPr>
          <w:p w14:paraId="2BF57B0B" w14:textId="77777777" w:rsidR="002960E6" w:rsidRPr="002960E6" w:rsidRDefault="002960E6" w:rsidP="00D72649">
            <w:pPr>
              <w:jc w:val="both"/>
              <w:rPr>
                <w:i/>
                <w:lang w:val="en-US"/>
              </w:rPr>
            </w:pPr>
            <w:r w:rsidRPr="002960E6">
              <w:rPr>
                <w:i/>
                <w:lang w:val="en-US"/>
              </w:rPr>
              <w:t>HCFC -22</w:t>
            </w:r>
          </w:p>
        </w:tc>
        <w:tc>
          <w:tcPr>
            <w:tcW w:w="3192" w:type="dxa"/>
          </w:tcPr>
          <w:p w14:paraId="037E1E0E" w14:textId="77777777" w:rsidR="002960E6" w:rsidRPr="002960E6" w:rsidRDefault="002960E6" w:rsidP="00D72649">
            <w:pPr>
              <w:jc w:val="both"/>
              <w:rPr>
                <w:lang w:val="en-US"/>
              </w:rPr>
            </w:pPr>
            <w:r w:rsidRPr="002960E6">
              <w:rPr>
                <w:lang w:val="en-US"/>
              </w:rPr>
              <w:t>4300*0.2</w:t>
            </w:r>
          </w:p>
        </w:tc>
        <w:tc>
          <w:tcPr>
            <w:tcW w:w="3192" w:type="dxa"/>
          </w:tcPr>
          <w:p w14:paraId="1853B663" w14:textId="77777777" w:rsidR="002960E6" w:rsidRPr="002960E6" w:rsidRDefault="002960E6" w:rsidP="00D72649">
            <w:pPr>
              <w:jc w:val="both"/>
              <w:rPr>
                <w:lang w:val="en-US"/>
              </w:rPr>
            </w:pPr>
            <w:r w:rsidRPr="002960E6">
              <w:rPr>
                <w:lang w:val="en-US"/>
              </w:rPr>
              <w:t>860</w:t>
            </w:r>
          </w:p>
        </w:tc>
      </w:tr>
      <w:tr w:rsidR="00C86307" w14:paraId="3439588C" w14:textId="77777777" w:rsidTr="00F34E2E">
        <w:tc>
          <w:tcPr>
            <w:tcW w:w="3192" w:type="dxa"/>
          </w:tcPr>
          <w:p w14:paraId="3BD7285C" w14:textId="77777777" w:rsidR="00C86307" w:rsidRPr="002960E6" w:rsidRDefault="00C86307" w:rsidP="00D72649">
            <w:pPr>
              <w:jc w:val="both"/>
              <w:rPr>
                <w:i/>
                <w:lang w:val="en-US"/>
              </w:rPr>
            </w:pPr>
            <w:r>
              <w:rPr>
                <w:i/>
                <w:lang w:val="en-US"/>
              </w:rPr>
              <w:t>TOTAL</w:t>
            </w:r>
          </w:p>
        </w:tc>
        <w:tc>
          <w:tcPr>
            <w:tcW w:w="3192" w:type="dxa"/>
          </w:tcPr>
          <w:p w14:paraId="483432C1" w14:textId="77777777" w:rsidR="00C86307" w:rsidRPr="002960E6" w:rsidRDefault="00C86307" w:rsidP="00D72649">
            <w:pPr>
              <w:jc w:val="both"/>
              <w:rPr>
                <w:lang w:val="en-US"/>
              </w:rPr>
            </w:pPr>
            <w:r>
              <w:rPr>
                <w:lang w:val="en-US"/>
              </w:rPr>
              <w:t>---</w:t>
            </w:r>
          </w:p>
        </w:tc>
        <w:tc>
          <w:tcPr>
            <w:tcW w:w="3192" w:type="dxa"/>
          </w:tcPr>
          <w:p w14:paraId="158BEE15" w14:textId="77777777" w:rsidR="00C86307" w:rsidRPr="002960E6" w:rsidRDefault="00C86307" w:rsidP="00D72649">
            <w:pPr>
              <w:jc w:val="both"/>
              <w:rPr>
                <w:lang w:val="en-US"/>
              </w:rPr>
            </w:pPr>
            <w:r>
              <w:rPr>
                <w:lang w:val="en-US"/>
              </w:rPr>
              <w:t>57373</w:t>
            </w:r>
          </w:p>
        </w:tc>
      </w:tr>
    </w:tbl>
    <w:p w14:paraId="1706C030" w14:textId="77777777" w:rsidR="00D1763C" w:rsidRDefault="00D1763C" w:rsidP="00D72649">
      <w:pPr>
        <w:jc w:val="both"/>
        <w:rPr>
          <w:b/>
          <w:lang w:val="en-US"/>
        </w:rPr>
      </w:pPr>
    </w:p>
    <w:p w14:paraId="7907B64B" w14:textId="77777777" w:rsidR="002960E6" w:rsidRDefault="002960E6" w:rsidP="00D72649">
      <w:pPr>
        <w:jc w:val="both"/>
        <w:rPr>
          <w:rFonts w:eastAsiaTheme="minorEastAsia"/>
          <w:lang w:val="en-US"/>
        </w:rPr>
      </w:pPr>
      <w:r>
        <w:rPr>
          <w:lang w:val="en-US"/>
        </w:rPr>
        <w:t xml:space="preserve">Therefore, the percent contribution of actual </w:t>
      </w:r>
      <m:oMath>
        <m:sSub>
          <m:sSubPr>
            <m:ctrlPr>
              <w:rPr>
                <w:rFonts w:ascii="Cambria Math" w:hAnsi="Cambria Math"/>
                <w:i/>
                <w:lang w:val="en-US"/>
              </w:rPr>
            </m:ctrlPr>
          </m:sSubPr>
          <m:e>
            <m:r>
              <w:rPr>
                <w:rFonts w:ascii="Cambria Math" w:hAnsi="Cambria Math"/>
                <w:lang w:val="en-US"/>
              </w:rPr>
              <m:t>CO</m:t>
            </m:r>
          </m:e>
          <m:sub>
            <m:r>
              <w:rPr>
                <w:rFonts w:ascii="Cambria Math" w:hAnsi="Cambria Math"/>
                <w:lang w:val="en-US"/>
              </w:rPr>
              <m:t>2</m:t>
            </m:r>
          </m:sub>
        </m:sSub>
      </m:oMath>
      <w:r>
        <w:rPr>
          <w:rFonts w:eastAsiaTheme="minorEastAsia"/>
          <w:lang w:val="en-US"/>
        </w:rPr>
        <w:t xml:space="preserve"> emissions is 29.8% (or 29800) to the total equivalent </w:t>
      </w:r>
      <m:oMath>
        <m:sSub>
          <m:sSubPr>
            <m:ctrlPr>
              <w:rPr>
                <w:rFonts w:ascii="Cambria Math" w:eastAsiaTheme="minorEastAsia" w:hAnsi="Cambria Math"/>
                <w:i/>
                <w:lang w:val="en-US"/>
              </w:rPr>
            </m:ctrlPr>
          </m:sSubPr>
          <m:e>
            <m:r>
              <w:rPr>
                <w:rFonts w:ascii="Cambria Math" w:eastAsiaTheme="minorEastAsia" w:hAnsi="Cambria Math"/>
                <w:lang w:val="en-US"/>
              </w:rPr>
              <m:t>CO</m:t>
            </m:r>
          </m:e>
          <m:sub>
            <m:r>
              <w:rPr>
                <w:rFonts w:ascii="Cambria Math" w:eastAsiaTheme="minorEastAsia" w:hAnsi="Cambria Math"/>
                <w:lang w:val="en-US"/>
              </w:rPr>
              <m:t>2</m:t>
            </m:r>
          </m:sub>
        </m:sSub>
      </m:oMath>
      <w:r>
        <w:rPr>
          <w:rFonts w:eastAsiaTheme="minorEastAsia"/>
          <w:lang w:val="en-US"/>
        </w:rPr>
        <w:t xml:space="preserve"> is </w:t>
      </w:r>
      <w:r w:rsidR="00743310">
        <w:rPr>
          <w:rFonts w:eastAsiaTheme="minorEastAsia"/>
          <w:lang w:val="en-US"/>
        </w:rPr>
        <w:t>53.966%</w:t>
      </w:r>
      <w:r w:rsidR="006A0B15">
        <w:rPr>
          <w:rFonts w:eastAsiaTheme="minorEastAsia"/>
          <w:lang w:val="en-US"/>
        </w:rPr>
        <w:t xml:space="preserve"> (470, 534)</w:t>
      </w:r>
      <w:r>
        <w:rPr>
          <w:rFonts w:eastAsiaTheme="minorEastAsia"/>
          <w:lang w:val="en-US"/>
        </w:rPr>
        <w:t xml:space="preserve">.  Methane is the next most important greenhouse gas emission based on this analysis because </w:t>
      </w:r>
      <w:r w:rsidR="00C538C9">
        <w:rPr>
          <w:rFonts w:eastAsiaTheme="minorEastAsia"/>
          <w:lang w:val="en-US"/>
        </w:rPr>
        <w:t>it comes to 21.0%</w:t>
      </w:r>
      <w:r>
        <w:rPr>
          <w:rFonts w:eastAsiaTheme="minorEastAsia"/>
          <w:lang w:val="en-US"/>
        </w:rPr>
        <w:t xml:space="preserve"> as the total </w:t>
      </w:r>
      <w:r w:rsidR="002F757C">
        <w:rPr>
          <w:rFonts w:eastAsiaTheme="minorEastAsia"/>
          <w:lang w:val="en-US"/>
        </w:rPr>
        <w:t>equivalent</w:t>
      </w:r>
      <m:oMath>
        <m:sSub>
          <m:sSubPr>
            <m:ctrlPr>
              <w:rPr>
                <w:rFonts w:ascii="Cambria Math" w:eastAsiaTheme="minorEastAsia" w:hAnsi="Cambria Math"/>
                <w:i/>
                <w:lang w:val="en-US"/>
              </w:rPr>
            </m:ctrlPr>
          </m:sSubPr>
          <m:e>
            <m:r>
              <w:rPr>
                <w:rFonts w:ascii="Cambria Math" w:eastAsiaTheme="minorEastAsia" w:hAnsi="Cambria Math"/>
                <w:lang w:val="en-US"/>
              </w:rPr>
              <m:t>CO</m:t>
            </m:r>
          </m:e>
          <m:sub>
            <m:r>
              <w:rPr>
                <w:rFonts w:ascii="Cambria Math" w:eastAsiaTheme="minorEastAsia" w:hAnsi="Cambria Math"/>
                <w:lang w:val="en-US"/>
              </w:rPr>
              <m:t>2</m:t>
            </m:r>
          </m:sub>
        </m:sSub>
      </m:oMath>
      <w:r w:rsidR="006A0B15">
        <w:rPr>
          <w:rFonts w:eastAsiaTheme="minorEastAsia"/>
          <w:lang w:val="en-US"/>
        </w:rPr>
        <w:t xml:space="preserve"> (470, 534)</w:t>
      </w:r>
      <w:r w:rsidR="002F757C">
        <w:rPr>
          <w:rFonts w:eastAsiaTheme="minorEastAsia"/>
          <w:lang w:val="en-US"/>
        </w:rPr>
        <w:t>.</w:t>
      </w:r>
      <w:r w:rsidR="00C538C9">
        <w:rPr>
          <w:rFonts w:eastAsiaTheme="minorEastAsia"/>
          <w:lang w:val="en-US"/>
        </w:rPr>
        <w:t xml:space="preserve">  These results for the 20 year GWP prove that actual </w:t>
      </w:r>
      <m:oMath>
        <m:sSub>
          <m:sSubPr>
            <m:ctrlPr>
              <w:rPr>
                <w:rFonts w:ascii="Cambria Math" w:eastAsiaTheme="minorEastAsia" w:hAnsi="Cambria Math"/>
                <w:i/>
                <w:lang w:val="en-US"/>
              </w:rPr>
            </m:ctrlPr>
          </m:sSubPr>
          <m:e>
            <m:r>
              <w:rPr>
                <w:rFonts w:ascii="Cambria Math" w:eastAsiaTheme="minorEastAsia" w:hAnsi="Cambria Math"/>
                <w:lang w:val="en-US"/>
              </w:rPr>
              <m:t>CO</m:t>
            </m:r>
          </m:e>
          <m:sub>
            <m:r>
              <w:rPr>
                <w:rFonts w:ascii="Cambria Math" w:eastAsiaTheme="minorEastAsia" w:hAnsi="Cambria Math"/>
                <w:lang w:val="en-US"/>
              </w:rPr>
              <m:t>2</m:t>
            </m:r>
          </m:sub>
        </m:sSub>
      </m:oMath>
      <w:r w:rsidR="00CE025B">
        <w:rPr>
          <w:rFonts w:eastAsiaTheme="minorEastAsia"/>
          <w:lang w:val="en-US"/>
        </w:rPr>
        <w:t xml:space="preserve"> </w:t>
      </w:r>
      <w:r w:rsidR="00C538C9">
        <w:rPr>
          <w:rFonts w:eastAsiaTheme="minorEastAsia"/>
          <w:lang w:val="en-US"/>
        </w:rPr>
        <w:t>emissions were the same for the 100 year GWP</w:t>
      </w:r>
      <w:r w:rsidR="00CE025B">
        <w:rPr>
          <w:rFonts w:eastAsiaTheme="minorEastAsia"/>
          <w:lang w:val="en-US"/>
        </w:rPr>
        <w:t>; however, methane, CFC-11 AND HCFC-22 increased by 35, 1000, and 2600, respectively</w:t>
      </w:r>
      <w:r w:rsidR="006A0B15">
        <w:rPr>
          <w:rFonts w:eastAsiaTheme="minorEastAsia"/>
          <w:lang w:val="en-US"/>
        </w:rPr>
        <w:t xml:space="preserve"> (470, 534)</w:t>
      </w:r>
      <w:r w:rsidR="00CE025B">
        <w:rPr>
          <w:rFonts w:eastAsiaTheme="minorEastAsia"/>
          <w:lang w:val="en-US"/>
        </w:rPr>
        <w:t>.  Meanwhile, nitrous oxide and HCFC-12 decreased by 30 and 600, respectively</w:t>
      </w:r>
      <w:r w:rsidR="006A0B15">
        <w:rPr>
          <w:rFonts w:eastAsiaTheme="minorEastAsia"/>
          <w:lang w:val="en-US"/>
        </w:rPr>
        <w:t xml:space="preserve"> (470, 534)</w:t>
      </w:r>
      <w:r w:rsidR="00CE025B">
        <w:rPr>
          <w:rFonts w:eastAsiaTheme="minorEastAsia"/>
          <w:lang w:val="en-US"/>
        </w:rPr>
        <w:t xml:space="preserve">.  Although, </w:t>
      </w:r>
      <w:r w:rsidR="005653C7">
        <w:rPr>
          <w:rFonts w:eastAsiaTheme="minorEastAsia"/>
          <w:lang w:val="en-US"/>
        </w:rPr>
        <w:t xml:space="preserve">the greenhouse gas </w:t>
      </w:r>
      <w:r w:rsidR="00CE025B">
        <w:rPr>
          <w:rFonts w:eastAsiaTheme="minorEastAsia"/>
          <w:lang w:val="en-US"/>
        </w:rPr>
        <w:t>CFC-113 remained unchanged between the 20 year GWP and the 100 year GWP</w:t>
      </w:r>
      <w:r w:rsidR="006A0B15">
        <w:rPr>
          <w:rFonts w:eastAsiaTheme="minorEastAsia"/>
          <w:lang w:val="en-US"/>
        </w:rPr>
        <w:t xml:space="preserve"> (470, 534)</w:t>
      </w:r>
      <w:r w:rsidR="00CE025B">
        <w:rPr>
          <w:rFonts w:eastAsiaTheme="minorEastAsia"/>
          <w:lang w:val="en-US"/>
        </w:rPr>
        <w:t xml:space="preserve">.  </w:t>
      </w:r>
    </w:p>
    <w:p w14:paraId="37E958AD" w14:textId="77777777" w:rsidR="00C94C2C" w:rsidRDefault="00C94C2C" w:rsidP="00D72649">
      <w:pPr>
        <w:jc w:val="both"/>
        <w:rPr>
          <w:rFonts w:eastAsiaTheme="minorEastAsia"/>
          <w:lang w:val="en-US"/>
        </w:rPr>
      </w:pPr>
    </w:p>
    <w:sectPr w:rsidR="00C94C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D82"/>
    <w:rsid w:val="00004201"/>
    <w:rsid w:val="00184862"/>
    <w:rsid w:val="00195E9D"/>
    <w:rsid w:val="001A7AAC"/>
    <w:rsid w:val="001E3F31"/>
    <w:rsid w:val="00213F30"/>
    <w:rsid w:val="002960E6"/>
    <w:rsid w:val="002E24FD"/>
    <w:rsid w:val="002F757C"/>
    <w:rsid w:val="00302C75"/>
    <w:rsid w:val="00354ED9"/>
    <w:rsid w:val="003D4E15"/>
    <w:rsid w:val="00404680"/>
    <w:rsid w:val="0042435C"/>
    <w:rsid w:val="00463BEC"/>
    <w:rsid w:val="005653C7"/>
    <w:rsid w:val="00627C3C"/>
    <w:rsid w:val="0065338D"/>
    <w:rsid w:val="00676220"/>
    <w:rsid w:val="006A0B15"/>
    <w:rsid w:val="00743310"/>
    <w:rsid w:val="007B1295"/>
    <w:rsid w:val="007B7918"/>
    <w:rsid w:val="00946AE2"/>
    <w:rsid w:val="0097759A"/>
    <w:rsid w:val="00A35125"/>
    <w:rsid w:val="00A47C6F"/>
    <w:rsid w:val="00A56D48"/>
    <w:rsid w:val="00A77CCE"/>
    <w:rsid w:val="00B2164B"/>
    <w:rsid w:val="00BF650A"/>
    <w:rsid w:val="00C538C9"/>
    <w:rsid w:val="00C62F45"/>
    <w:rsid w:val="00C82F4F"/>
    <w:rsid w:val="00C86307"/>
    <w:rsid w:val="00C94C2C"/>
    <w:rsid w:val="00CA0C27"/>
    <w:rsid w:val="00CC2068"/>
    <w:rsid w:val="00CE025B"/>
    <w:rsid w:val="00CE047E"/>
    <w:rsid w:val="00CE5CE8"/>
    <w:rsid w:val="00D1763C"/>
    <w:rsid w:val="00D72649"/>
    <w:rsid w:val="00E74D82"/>
    <w:rsid w:val="00ED5178"/>
    <w:rsid w:val="00F34E2E"/>
    <w:rsid w:val="00FA0C34"/>
    <w:rsid w:val="00FE376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E36B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34E2E"/>
    <w:rPr>
      <w:color w:val="808080"/>
    </w:rPr>
  </w:style>
  <w:style w:type="paragraph" w:styleId="BalloonText">
    <w:name w:val="Balloon Text"/>
    <w:basedOn w:val="Normal"/>
    <w:link w:val="BalloonTextChar"/>
    <w:uiPriority w:val="99"/>
    <w:semiHidden/>
    <w:unhideWhenUsed/>
    <w:rsid w:val="00F34E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E2E"/>
    <w:rPr>
      <w:rFonts w:ascii="Tahoma" w:hAnsi="Tahoma" w:cs="Tahoma"/>
      <w:sz w:val="16"/>
      <w:szCs w:val="16"/>
    </w:rPr>
  </w:style>
  <w:style w:type="table" w:styleId="TableGrid">
    <w:name w:val="Table Grid"/>
    <w:basedOn w:val="TableNormal"/>
    <w:uiPriority w:val="59"/>
    <w:rsid w:val="00F34E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BF650A"/>
    <w:rPr>
      <w:color w:val="0000FF"/>
      <w:u w:val="single"/>
    </w:rPr>
  </w:style>
  <w:style w:type="character" w:styleId="FollowedHyperlink">
    <w:name w:val="FollowedHyperlink"/>
    <w:basedOn w:val="DefaultParagraphFont"/>
    <w:uiPriority w:val="99"/>
    <w:semiHidden/>
    <w:unhideWhenUsed/>
    <w:rsid w:val="00195E9D"/>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34E2E"/>
    <w:rPr>
      <w:color w:val="808080"/>
    </w:rPr>
  </w:style>
  <w:style w:type="paragraph" w:styleId="BalloonText">
    <w:name w:val="Balloon Text"/>
    <w:basedOn w:val="Normal"/>
    <w:link w:val="BalloonTextChar"/>
    <w:uiPriority w:val="99"/>
    <w:semiHidden/>
    <w:unhideWhenUsed/>
    <w:rsid w:val="00F34E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E2E"/>
    <w:rPr>
      <w:rFonts w:ascii="Tahoma" w:hAnsi="Tahoma" w:cs="Tahoma"/>
      <w:sz w:val="16"/>
      <w:szCs w:val="16"/>
    </w:rPr>
  </w:style>
  <w:style w:type="table" w:styleId="TableGrid">
    <w:name w:val="Table Grid"/>
    <w:basedOn w:val="TableNormal"/>
    <w:uiPriority w:val="59"/>
    <w:rsid w:val="00F34E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BF650A"/>
    <w:rPr>
      <w:color w:val="0000FF"/>
      <w:u w:val="single"/>
    </w:rPr>
  </w:style>
  <w:style w:type="character" w:styleId="FollowedHyperlink">
    <w:name w:val="FollowedHyperlink"/>
    <w:basedOn w:val="DefaultParagraphFont"/>
    <w:uiPriority w:val="99"/>
    <w:semiHidden/>
    <w:unhideWhenUsed/>
    <w:rsid w:val="00195E9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581</TotalTime>
  <Pages>4</Pages>
  <Words>1684</Words>
  <Characters>9599</Characters>
  <Application>Microsoft Macintosh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dc:creator>
  <cp:lastModifiedBy>sergio hask</cp:lastModifiedBy>
  <cp:revision>23</cp:revision>
  <dcterms:created xsi:type="dcterms:W3CDTF">2011-10-10T18:37:00Z</dcterms:created>
  <dcterms:modified xsi:type="dcterms:W3CDTF">2015-10-15T18:15:00Z</dcterms:modified>
</cp:coreProperties>
</file>