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06A2" w:rsidRPr="00CC1A47" w:rsidRDefault="001106A2">
      <w:pPr>
        <w:rPr>
          <w:rFonts w:cs="Times"/>
        </w:rPr>
      </w:pPr>
      <w:r w:rsidRPr="00CC1A47">
        <w:rPr>
          <w:rFonts w:cs="Times"/>
        </w:rPr>
        <w:t>FOUCAULT</w:t>
      </w:r>
    </w:p>
    <w:p w:rsidR="00DA5C62" w:rsidRPr="00CC1A47" w:rsidRDefault="001106A2">
      <w:pPr>
        <w:rPr>
          <w:rFonts w:cs="Times"/>
        </w:rPr>
      </w:pPr>
      <w:r w:rsidRPr="00CC1A47">
        <w:rPr>
          <w:rFonts w:cs="Times"/>
        </w:rPr>
        <w:t>~Of central importance to critical considerations of sexuality has been the work of Michel Foucault. This has brought a historical understanding to constructions of sexuality and thus persistent social and theoretical norms. Foucault adopted a thoroughly anti- essentialist notion of sexual drives and identity and saw sexuality as being organized along the binaries of 'normal' and 'deviant' behaviors through the regulative discourses of modern societies. His belief that 'sexuality ... is a name that can be given to a historical construct' (1979: 105) encouraged in some the view that sexuality can be redefined or re-constructed.</w:t>
      </w:r>
    </w:p>
    <w:p w:rsidR="001106A2" w:rsidRPr="00CC1A47" w:rsidRDefault="001106A2">
      <w:r w:rsidRPr="00CC1A47">
        <w:t>~According to Foucault, sexuality is a means of focusing, channeling, and transmitting power, and power is a creative force that determines the relationships between people, institutions, and concepts.</w:t>
      </w:r>
    </w:p>
    <w:p w:rsidR="001106A2" w:rsidRPr="00CC1A47" w:rsidRDefault="001106A2" w:rsidP="001106A2">
      <w:r w:rsidRPr="00CC1A47">
        <w:t>~Foucault explores the "repressive hypothesis", the idea that western society suppressed sexuality from the 17th to the mid-20th century: he argues that this hypothesis is an illusion, and that in actuality, discourse on sexuality proliferated during this period. He goes on to argue that at this time, experts began to examine sexuality in a scientific manner, classifying different types of sexuality and encouraging people to confess their sexual feelings and actions, all in the desire to learn the "truth" of sex. Foucault was interested in the creation of the subject and how the individual was constituted.</w:t>
      </w:r>
    </w:p>
    <w:p w:rsidR="001106A2" w:rsidRPr="00CC1A47" w:rsidRDefault="001106A2" w:rsidP="001106A2"/>
    <w:p w:rsidR="001106A2" w:rsidRPr="00CC1A47" w:rsidRDefault="001106A2" w:rsidP="001106A2">
      <w:pPr>
        <w:rPr>
          <w:bCs/>
        </w:rPr>
      </w:pPr>
      <w:r w:rsidRPr="00CC1A47">
        <w:rPr>
          <w:bCs/>
        </w:rPr>
        <w:t xml:space="preserve">~Foucault wants to question the repressive hypothesis-he does </w:t>
      </w:r>
      <w:r w:rsidRPr="00CC1A47">
        <w:rPr>
          <w:bCs/>
          <w:i/>
          <w:iCs/>
        </w:rPr>
        <w:t>not</w:t>
      </w:r>
      <w:r w:rsidRPr="00CC1A47">
        <w:rPr>
          <w:bCs/>
        </w:rPr>
        <w:t xml:space="preserve"> want the reader to think of sex and power as separate; he does </w:t>
      </w:r>
      <w:r w:rsidRPr="00CC1A47">
        <w:rPr>
          <w:bCs/>
          <w:i/>
          <w:iCs/>
        </w:rPr>
        <w:t>not</w:t>
      </w:r>
      <w:r w:rsidRPr="00CC1A47">
        <w:rPr>
          <w:bCs/>
        </w:rPr>
        <w:t xml:space="preserve"> want the reader to equate sexuality with freedom and nature; he wants the reader to rethink sexual repression and what that means exactly.</w:t>
      </w:r>
    </w:p>
    <w:p w:rsidR="001106A2" w:rsidRPr="00CC1A47" w:rsidRDefault="001106A2" w:rsidP="001106A2">
      <w:r w:rsidRPr="00CC1A47">
        <w:t>~Sexuality isn't a "thing" that is then repressed by power, or that must be discovered through careful investigation. Sexuality is a social construct that channels a variety of different power relations. Our concept of sexuality is built by the strategies that make use of it: it serves as a network that joins together physical sensations and pleasure, the incitement to discourse, the formation of specialized knowledge, and political controls and resistance.</w:t>
      </w:r>
    </w:p>
    <w:p w:rsidR="001106A2" w:rsidRPr="00CC1A47" w:rsidRDefault="001106A2" w:rsidP="001106A2">
      <w:pPr>
        <w:rPr>
          <w:rFonts w:cs="Times"/>
        </w:rPr>
      </w:pPr>
      <w:r w:rsidRPr="00CC1A47">
        <w:t>~</w:t>
      </w:r>
      <w:r w:rsidRPr="00CC1A47">
        <w:rPr>
          <w:rFonts w:cs="Times"/>
        </w:rPr>
        <w:t xml:space="preserve"> Foucault identifies four centers that have related power and knowledge to sex. First, the "</w:t>
      </w:r>
      <w:proofErr w:type="spellStart"/>
      <w:r w:rsidRPr="00CC1A47">
        <w:rPr>
          <w:rFonts w:cs="Times"/>
        </w:rPr>
        <w:t>hysterization</w:t>
      </w:r>
      <w:proofErr w:type="spellEnd"/>
      <w:r w:rsidRPr="00CC1A47">
        <w:rPr>
          <w:rFonts w:cs="Times"/>
        </w:rPr>
        <w:t xml:space="preserve"> of women's bodies" has led us to think of the female body first as highly sexual and second as an object of medical knowledge. The female body, as a center for reproduction, has also come to be considered a matter of public interest and public control. Second, the "</w:t>
      </w:r>
      <w:proofErr w:type="spellStart"/>
      <w:r w:rsidRPr="00CC1A47">
        <w:rPr>
          <w:rFonts w:cs="Times"/>
        </w:rPr>
        <w:t>pedagogization</w:t>
      </w:r>
      <w:proofErr w:type="spellEnd"/>
      <w:r w:rsidRPr="00CC1A47">
        <w:rPr>
          <w:rFonts w:cs="Times"/>
        </w:rPr>
        <w:t xml:space="preserve"> of children's sex" sees children as highly sexual creatures, and sees this sexuality as something dangerous that needs to be monitored and controlled. Third, the "socialization of procreative behavior" sees reproduction and therefore sex as a matter of public importance, and disapproves of non- procreative sex. Fourth, the "</w:t>
      </w:r>
      <w:proofErr w:type="spellStart"/>
      <w:r w:rsidRPr="00CC1A47">
        <w:rPr>
          <w:rFonts w:cs="Times"/>
        </w:rPr>
        <w:t>psychiatrization</w:t>
      </w:r>
      <w:proofErr w:type="spellEnd"/>
      <w:r w:rsidRPr="00CC1A47">
        <w:rPr>
          <w:rFonts w:cs="Times"/>
        </w:rPr>
        <w:t xml:space="preserve"> of perverse pleasure" is the result of studying sex as a medical and psychiatric phenomenon. It highlights divergences from normal sexual behavior and identifies them as illnesses that need correcting. Foucault emphasizes that these four centers do not "repress" sexuality; the concept of sexuality does not exist except as it is framed by these discourses.</w:t>
      </w:r>
    </w:p>
    <w:p w:rsidR="001106A2" w:rsidRPr="00CC1A47" w:rsidRDefault="001106A2" w:rsidP="001106A2">
      <w:pPr>
        <w:rPr>
          <w:rFonts w:cs="Times"/>
        </w:rPr>
      </w:pPr>
    </w:p>
    <w:p w:rsidR="001106A2" w:rsidRPr="00CC1A47" w:rsidRDefault="001106A2" w:rsidP="001106A2">
      <w:pPr>
        <w:rPr>
          <w:rFonts w:cs="Times"/>
        </w:rPr>
      </w:pPr>
      <w:r w:rsidRPr="00CC1A47">
        <w:rPr>
          <w:rFonts w:cs="Times"/>
        </w:rPr>
        <w:lastRenderedPageBreak/>
        <w:t>DE BEAUVOIR</w:t>
      </w:r>
      <w:r w:rsidR="000A01D8" w:rsidRPr="00CC1A47">
        <w:rPr>
          <w:rFonts w:cs="Times"/>
        </w:rPr>
        <w:t xml:space="preserve"> (Feminist)</w:t>
      </w:r>
    </w:p>
    <w:p w:rsidR="00186F13" w:rsidRPr="00CC1A47" w:rsidRDefault="00186F13" w:rsidP="001106A2">
      <w:pPr>
        <w:rPr>
          <w:rFonts w:cs="Arial"/>
        </w:rPr>
      </w:pPr>
      <w:r w:rsidRPr="00CC1A47">
        <w:rPr>
          <w:rFonts w:cs="Arial"/>
        </w:rPr>
        <w:t>~</w:t>
      </w:r>
      <w:hyperlink r:id="rId5" w:history="1">
        <w:r w:rsidRPr="00CC1A47">
          <w:rPr>
            <w:rFonts w:cs="Arial"/>
          </w:rPr>
          <w:t>Simone de Beauvoir</w:t>
        </w:r>
      </w:hyperlink>
      <w:r w:rsidRPr="00CC1A47">
        <w:rPr>
          <w:rFonts w:cs="Arial"/>
        </w:rPr>
        <w:t xml:space="preserve">'s formulation distinguishes sex from gender and suggests that gender is an aspect of identity gradually acquired. The distinction between sex and gender has been crucial to the long-standing feminist effort to debunk the claim that anatomy is destiny; sex is understood to be the invariant, anatomically distinct, and </w:t>
      </w:r>
      <w:proofErr w:type="spellStart"/>
      <w:r w:rsidRPr="00CC1A47">
        <w:rPr>
          <w:rFonts w:cs="Arial"/>
        </w:rPr>
        <w:t>factic</w:t>
      </w:r>
      <w:proofErr w:type="spellEnd"/>
      <w:r w:rsidRPr="00CC1A47">
        <w:rPr>
          <w:rFonts w:cs="Arial"/>
        </w:rPr>
        <w:t xml:space="preserve"> aspects of the female body, whereas gender is the cultural meaning and form that that body acquires, the variable modes of that body's acculturation. With the distinction intact, it is no longer possible to attribute the values or social functions of women to biological necessity, and neither can we refer meaningfully to natural or unnatural gendered behavior: all gender is, by definition, unnatural. Moreover, if the distinction is consistently applied, it becomes unclear whether being a given sex has any necessary consequence for becoming a given gender. The presumption of a causal or mimetic relation between sex and gender is undermined. If being a woman is one cultural interpretation of being female, and if that interpretation is in no way necessitated by being female, then it appears that the female body is the arbitrary locus of the gender 'woman', and there is no reason to preclude the possibility of that body becoming the locus of other constructions of gender. At its limit, then, the sex gender distinction implies a radical heteronomy of natural bodies and constructed genders with the consequence that 'being' female and 'being' a woman are two very different sorts of being. This last insight, I would suggest, is the distinguished contribution of </w:t>
      </w:r>
      <w:hyperlink r:id="rId6" w:history="1">
        <w:r w:rsidRPr="00CC1A47">
          <w:rPr>
            <w:rFonts w:cs="Arial"/>
          </w:rPr>
          <w:t>Simone de Beauvoir</w:t>
        </w:r>
      </w:hyperlink>
      <w:r w:rsidRPr="00CC1A47">
        <w:rPr>
          <w:rFonts w:cs="Arial"/>
        </w:rPr>
        <w:t>'s formulation, "one is not born, but rather becomes, a woman.”</w:t>
      </w:r>
    </w:p>
    <w:p w:rsidR="001106A2" w:rsidRPr="00CC1A47" w:rsidRDefault="00186F13" w:rsidP="001106A2">
      <w:pPr>
        <w:rPr>
          <w:rFonts w:cs="Times"/>
        </w:rPr>
      </w:pPr>
      <w:proofErr w:type="gramStart"/>
      <w:r w:rsidRPr="00CC1A47">
        <w:rPr>
          <w:rFonts w:cs="Arial"/>
        </w:rPr>
        <w:t>~</w:t>
      </w:r>
      <w:r w:rsidRPr="00CC1A47">
        <w:rPr>
          <w:rFonts w:cs="Times"/>
        </w:rPr>
        <w:t xml:space="preserve"> </w:t>
      </w:r>
      <w:r w:rsidR="000A01D8" w:rsidRPr="00CC1A47">
        <w:rPr>
          <w:rFonts w:cs="Times"/>
        </w:rPr>
        <w:t>Moral revolution.</w:t>
      </w:r>
      <w:proofErr w:type="gramEnd"/>
      <w:r w:rsidR="000A01D8" w:rsidRPr="00CC1A47">
        <w:rPr>
          <w:rFonts w:cs="Times"/>
        </w:rPr>
        <w:t xml:space="preserve"> As an existentialist, de Beauvoir believed that </w:t>
      </w:r>
      <w:hyperlink r:id="rId7" w:history="1">
        <w:r w:rsidR="000A01D8" w:rsidRPr="00CC1A47">
          <w:rPr>
            <w:rStyle w:val="Hyperlink"/>
            <w:rFonts w:cs="Times"/>
            <w:i/>
            <w:iCs/>
            <w:color w:val="auto"/>
            <w:u w:val="none"/>
          </w:rPr>
          <w:t>existence precedes essence</w:t>
        </w:r>
      </w:hyperlink>
      <w:r w:rsidR="000A01D8" w:rsidRPr="00CC1A47">
        <w:rPr>
          <w:rFonts w:cs="Times"/>
        </w:rPr>
        <w:t xml:space="preserve">; hence one is not born a woman, but becomes one. Her analysis focuses on the </w:t>
      </w:r>
      <w:hyperlink r:id="rId8" w:history="1">
        <w:r w:rsidR="000A01D8" w:rsidRPr="00CC1A47">
          <w:rPr>
            <w:rStyle w:val="Hyperlink"/>
            <w:rFonts w:cs="Times"/>
            <w:color w:val="auto"/>
            <w:u w:val="none"/>
          </w:rPr>
          <w:t>Hegelian</w:t>
        </w:r>
      </w:hyperlink>
      <w:r w:rsidR="000A01D8" w:rsidRPr="00CC1A47">
        <w:rPr>
          <w:rFonts w:cs="Times"/>
        </w:rPr>
        <w:t xml:space="preserve"> concept of </w:t>
      </w:r>
      <w:hyperlink r:id="rId9" w:history="1">
        <w:r w:rsidR="000A01D8" w:rsidRPr="00CC1A47">
          <w:rPr>
            <w:rStyle w:val="Hyperlink"/>
            <w:rFonts w:cs="Times"/>
            <w:color w:val="auto"/>
            <w:u w:val="none"/>
          </w:rPr>
          <w:t xml:space="preserve">the </w:t>
        </w:r>
        <w:proofErr w:type="gramStart"/>
        <w:r w:rsidR="000A01D8" w:rsidRPr="00CC1A47">
          <w:rPr>
            <w:rStyle w:val="Hyperlink"/>
            <w:rFonts w:cs="Times"/>
            <w:color w:val="auto"/>
            <w:u w:val="none"/>
          </w:rPr>
          <w:t>Other</w:t>
        </w:r>
        <w:proofErr w:type="gramEnd"/>
      </w:hyperlink>
      <w:r w:rsidR="000A01D8" w:rsidRPr="00CC1A47">
        <w:rPr>
          <w:rFonts w:cs="Times"/>
        </w:rPr>
        <w:t xml:space="preserve">. It is the (social) construction of Woman as the quintessential </w:t>
      </w:r>
      <w:proofErr w:type="gramStart"/>
      <w:r w:rsidR="000A01D8" w:rsidRPr="00CC1A47">
        <w:rPr>
          <w:rFonts w:cs="Times"/>
        </w:rPr>
        <w:t>Other</w:t>
      </w:r>
      <w:proofErr w:type="gramEnd"/>
      <w:r w:rsidR="000A01D8" w:rsidRPr="00CC1A47">
        <w:rPr>
          <w:rFonts w:cs="Times"/>
        </w:rPr>
        <w:t xml:space="preserve"> that de Beauvoir identifies as fundamental to women's oppression. The capitalized 'O' in "other" indicates the wholly other. De Beauvoir asserted that women are as capable of choice as men, and thus can choose to elevate themselves, moving beyond the '</w:t>
      </w:r>
      <w:hyperlink r:id="rId10" w:history="1">
        <w:r w:rsidR="000A01D8" w:rsidRPr="00CC1A47">
          <w:rPr>
            <w:rStyle w:val="Hyperlink"/>
            <w:rFonts w:cs="Times"/>
            <w:color w:val="auto"/>
            <w:u w:val="none"/>
          </w:rPr>
          <w:t>immanence</w:t>
        </w:r>
      </w:hyperlink>
      <w:r w:rsidR="000A01D8" w:rsidRPr="00CC1A47">
        <w:rPr>
          <w:rFonts w:cs="Times"/>
        </w:rPr>
        <w:t>' to which they were previously resigned and reaching '</w:t>
      </w:r>
      <w:hyperlink r:id="rId11" w:history="1">
        <w:r w:rsidR="000A01D8" w:rsidRPr="00CC1A47">
          <w:rPr>
            <w:rStyle w:val="Hyperlink"/>
            <w:rFonts w:cs="Times"/>
            <w:color w:val="auto"/>
            <w:u w:val="none"/>
          </w:rPr>
          <w:t>transcendence</w:t>
        </w:r>
      </w:hyperlink>
      <w:r w:rsidR="000A01D8" w:rsidRPr="00CC1A47">
        <w:rPr>
          <w:rFonts w:cs="Times"/>
        </w:rPr>
        <w:t>', a position in which one takes responsibility for oneself and the world, where one chooses one's freedom.</w:t>
      </w:r>
    </w:p>
    <w:p w:rsidR="000A01D8" w:rsidRPr="00CC1A47" w:rsidRDefault="000A01D8" w:rsidP="000A01D8">
      <w:pPr>
        <w:widowControl w:val="0"/>
        <w:autoSpaceDE w:val="0"/>
        <w:autoSpaceDN w:val="0"/>
        <w:adjustRightInd w:val="0"/>
        <w:rPr>
          <w:rFonts w:cs="Times"/>
        </w:rPr>
      </w:pPr>
      <w:r w:rsidRPr="00CC1A47">
        <w:rPr>
          <w:rFonts w:cs="Times"/>
        </w:rPr>
        <w:t xml:space="preserve">~ De Beauvoir’s primary thesis is that men fundamentally oppress women by characterizing them, on every level, as the </w:t>
      </w:r>
      <w:proofErr w:type="gramStart"/>
      <w:r w:rsidRPr="00CC1A47">
        <w:rPr>
          <w:rFonts w:cs="Times"/>
          <w:i/>
          <w:iCs/>
        </w:rPr>
        <w:t>Other</w:t>
      </w:r>
      <w:proofErr w:type="gramEnd"/>
      <w:r w:rsidRPr="00CC1A47">
        <w:rPr>
          <w:rFonts w:cs="Times"/>
        </w:rPr>
        <w:t>, defined exclusively in opposition to men. Man occupies the role of the self, or subject; woman is the object, the other. He is essential, absolute, and transcendent. She is inessential, incomplete, and mutilated. He extends out into the world to impose his will on it, whereas woman is doomed to immanence, or inwardness. He creates, acts, invents; she waits for him to save her. This distinction is the basis of all de Beauvoir’s later arguments.</w:t>
      </w:r>
    </w:p>
    <w:p w:rsidR="000A01D8" w:rsidRPr="00CC1A47" w:rsidRDefault="000A01D8" w:rsidP="000A01D8">
      <w:pPr>
        <w:widowControl w:val="0"/>
        <w:autoSpaceDE w:val="0"/>
        <w:autoSpaceDN w:val="0"/>
        <w:adjustRightInd w:val="0"/>
        <w:rPr>
          <w:rFonts w:cs="Times"/>
        </w:rPr>
      </w:pPr>
      <w:r w:rsidRPr="00CC1A47">
        <w:rPr>
          <w:rFonts w:cs="Times"/>
        </w:rPr>
        <w:t xml:space="preserve">De Beauvoir states that while it is natural for humans to understand themselves in opposition to others, this process is flawed when applied to the genders. In defining woman exclusively as </w:t>
      </w:r>
      <w:proofErr w:type="gramStart"/>
      <w:r w:rsidRPr="00CC1A47">
        <w:rPr>
          <w:rFonts w:cs="Times"/>
        </w:rPr>
        <w:t>Other</w:t>
      </w:r>
      <w:proofErr w:type="gramEnd"/>
      <w:r w:rsidRPr="00CC1A47">
        <w:rPr>
          <w:rFonts w:cs="Times"/>
        </w:rPr>
        <w:t>, man is effectively denying her humanity.</w:t>
      </w:r>
    </w:p>
    <w:p w:rsidR="000A01D8" w:rsidRPr="00CC1A47" w:rsidRDefault="000A01D8" w:rsidP="000A01D8">
      <w:pPr>
        <w:widowControl w:val="0"/>
        <w:autoSpaceDE w:val="0"/>
        <w:autoSpaceDN w:val="0"/>
        <w:adjustRightInd w:val="0"/>
        <w:rPr>
          <w:rFonts w:cs="Times"/>
        </w:rPr>
      </w:pPr>
      <w:r w:rsidRPr="00CC1A47">
        <w:rPr>
          <w:rFonts w:cs="Times"/>
          <w:i/>
          <w:iCs/>
        </w:rPr>
        <w:t>The Second Sex</w:t>
      </w:r>
      <w:r w:rsidRPr="00CC1A47">
        <w:rPr>
          <w:rFonts w:cs="Times"/>
        </w:rPr>
        <w:t xml:space="preserve"> chronicles de Beauvoir’s effort to locate the source of these profoundly imbalanced gender roles. In Book I, entitled “Facts and Myths,” she asks how “female humans” come to occupy a subordinate position in society. To answer this question—and to better understand her own identity—de Beauvoir first turns to biology, psychoanalysis, and historical materialism. These disciplines reveal indisputable “essential” differences between men and women but provide no justification for woman’s inferiority. They all take woman’s inferior “destiny” for granted.</w:t>
      </w:r>
    </w:p>
    <w:p w:rsidR="000A01D8" w:rsidRPr="00CC1A47" w:rsidRDefault="000A01D8" w:rsidP="001106A2">
      <w:pPr>
        <w:rPr>
          <w:rFonts w:cs="Times"/>
        </w:rPr>
      </w:pPr>
    </w:p>
    <w:p w:rsidR="000A01D8" w:rsidRPr="00CC1A47" w:rsidRDefault="000A01D8" w:rsidP="001106A2">
      <w:pPr>
        <w:rPr>
          <w:rFonts w:cs="Times"/>
        </w:rPr>
      </w:pPr>
      <w:r w:rsidRPr="00CC1A47">
        <w:rPr>
          <w:rFonts w:cs="Times"/>
        </w:rPr>
        <w:t>ENGELS (Marxist)</w:t>
      </w:r>
    </w:p>
    <w:p w:rsidR="00CC1A47" w:rsidRPr="00CC1A47" w:rsidRDefault="00CC1A47" w:rsidP="00CC1A47">
      <w:pPr>
        <w:rPr>
          <w:rFonts w:cs="Times"/>
        </w:rPr>
      </w:pPr>
      <w:r w:rsidRPr="00CC1A47">
        <w:rPr>
          <w:rFonts w:cs="Times"/>
        </w:rPr>
        <w:t>~</w:t>
      </w:r>
      <w:r w:rsidRPr="00CC1A47">
        <w:rPr>
          <w:rFonts w:cs="Helvetica"/>
        </w:rPr>
        <w:t xml:space="preserve"> </w:t>
      </w:r>
      <w:r w:rsidRPr="00CC1A47">
        <w:rPr>
          <w:rFonts w:cs="Times"/>
        </w:rPr>
        <w:t xml:space="preserve">According to Engels (1884), the shift from </w:t>
      </w:r>
      <w:hyperlink r:id="rId12" w:history="1">
        <w:r w:rsidRPr="00CC1A47">
          <w:rPr>
            <w:rStyle w:val="Hyperlink"/>
            <w:rFonts w:cs="Times"/>
            <w:color w:val="auto"/>
            <w:u w:val="none"/>
          </w:rPr>
          <w:t>feudalism</w:t>
        </w:r>
      </w:hyperlink>
      <w:r w:rsidRPr="00CC1A47">
        <w:rPr>
          <w:rFonts w:cs="Times"/>
        </w:rPr>
        <w:t xml:space="preserve"> to private ownership of land has had a huge effect on the status of women. In a private ownership system, individuals who do not own land or other </w:t>
      </w:r>
      <w:hyperlink r:id="rId13" w:history="1">
        <w:r w:rsidRPr="00CC1A47">
          <w:rPr>
            <w:rStyle w:val="Hyperlink"/>
            <w:rFonts w:cs="Times"/>
            <w:color w:val="auto"/>
            <w:u w:val="none"/>
          </w:rPr>
          <w:t>modes of production</w:t>
        </w:r>
      </w:hyperlink>
      <w:r w:rsidRPr="00CC1A47">
        <w:rPr>
          <w:rFonts w:cs="Times"/>
        </w:rPr>
        <w:t xml:space="preserve"> are in a situation that Engels (1884) compares to enslavement - they </w:t>
      </w:r>
      <w:r w:rsidRPr="00CC1A47">
        <w:rPr>
          <w:rFonts w:cs="Times"/>
          <w:i/>
          <w:iCs/>
        </w:rPr>
        <w:t>must</w:t>
      </w:r>
      <w:r w:rsidRPr="00CC1A47">
        <w:rPr>
          <w:rFonts w:cs="Times"/>
        </w:rPr>
        <w:t xml:space="preserve"> work for the owners of the land in order to be able to live within the system of private ownership. Engels (1884) explains that the transition to this type of system resulted in the creation of separate public and private spheres and assigned access to waged labor disproportionately to men.</w:t>
      </w:r>
      <w:r>
        <w:rPr>
          <w:rFonts w:cs="Times"/>
        </w:rPr>
        <w:t xml:space="preserve"> </w:t>
      </w:r>
      <w:bookmarkStart w:id="0" w:name="_GoBack"/>
      <w:bookmarkEnd w:id="0"/>
    </w:p>
    <w:p w:rsidR="00CC1A47" w:rsidRPr="00CC1A47" w:rsidRDefault="00CC1A47" w:rsidP="00CC1A47">
      <w:pPr>
        <w:rPr>
          <w:rFonts w:cs="Times"/>
        </w:rPr>
      </w:pPr>
      <w:r w:rsidRPr="00CC1A47">
        <w:rPr>
          <w:rFonts w:cs="Times"/>
        </w:rPr>
        <w:t xml:space="preserve">Engels (1884) argues that a woman's subordination is not a result of her biological disposition but of social relations, and that men's efforts to achieve their demands for control of women's labor and sexual faculties have gradually become institutionalized in the </w:t>
      </w:r>
      <w:hyperlink r:id="rId14" w:history="1">
        <w:r w:rsidRPr="00CC1A47">
          <w:rPr>
            <w:rStyle w:val="Hyperlink"/>
            <w:rFonts w:cs="Times"/>
            <w:color w:val="auto"/>
            <w:u w:val="none"/>
          </w:rPr>
          <w:t>nuclear family</w:t>
        </w:r>
      </w:hyperlink>
      <w:r w:rsidRPr="00CC1A47">
        <w:rPr>
          <w:rFonts w:cs="Times"/>
        </w:rPr>
        <w:t xml:space="preserve">. Through a Marxist </w:t>
      </w:r>
      <w:hyperlink r:id="rId15" w:history="1">
        <w:r w:rsidRPr="00CC1A47">
          <w:rPr>
            <w:rStyle w:val="Hyperlink"/>
            <w:rFonts w:cs="Times"/>
            <w:color w:val="auto"/>
            <w:u w:val="none"/>
          </w:rPr>
          <w:t>historical</w:t>
        </w:r>
      </w:hyperlink>
      <w:r w:rsidRPr="00CC1A47">
        <w:rPr>
          <w:rFonts w:cs="Times"/>
        </w:rPr>
        <w:t xml:space="preserve"> perspective, Engels (1884) analyzes the widespread social phenomena associated with female sexual morality, such as fixation on </w:t>
      </w:r>
      <w:hyperlink r:id="rId16" w:history="1">
        <w:r w:rsidRPr="00CC1A47">
          <w:rPr>
            <w:rStyle w:val="Hyperlink"/>
            <w:rFonts w:cs="Times"/>
            <w:color w:val="auto"/>
            <w:u w:val="none"/>
          </w:rPr>
          <w:t>virginity</w:t>
        </w:r>
      </w:hyperlink>
      <w:r w:rsidRPr="00CC1A47">
        <w:rPr>
          <w:rFonts w:cs="Times"/>
        </w:rPr>
        <w:t xml:space="preserve"> and sexual purity, incrimination and violent punishment of women who commit </w:t>
      </w:r>
      <w:hyperlink r:id="rId17" w:history="1">
        <w:r w:rsidRPr="00CC1A47">
          <w:rPr>
            <w:rStyle w:val="Hyperlink"/>
            <w:rFonts w:cs="Times"/>
            <w:color w:val="auto"/>
            <w:u w:val="none"/>
          </w:rPr>
          <w:t>adultery</w:t>
        </w:r>
      </w:hyperlink>
      <w:r w:rsidRPr="00CC1A47">
        <w:rPr>
          <w:rFonts w:cs="Times"/>
        </w:rPr>
        <w:t>, and demands that women be submissive to their husbands. Ultimately, Engels traces these phenomena to the recent development of exclusive control of private property by the patriarchs of the rising slave</w:t>
      </w:r>
      <w:r>
        <w:rPr>
          <w:rFonts w:cs="Times"/>
        </w:rPr>
        <w:t xml:space="preserve"> </w:t>
      </w:r>
      <w:r w:rsidRPr="00CC1A47">
        <w:rPr>
          <w:rFonts w:cs="Times"/>
        </w:rPr>
        <w:t xml:space="preserve">owner class in the ancient mode of production, and the attendant desire to ensure that their inheritance is passed only to their own offspring: chastity and fidelity are rewarded, says Engels (1884), because they guarantee exclusive access to the sexual and reproductive faculty of women possessed by men from the property-owning class. </w:t>
      </w:r>
      <w:r w:rsidRPr="00CC1A47">
        <w:rPr>
          <w:rFonts w:cs="Helvetica"/>
        </w:rPr>
        <w:t xml:space="preserve">As such, gender oppression is closely related to class oppression and the relationship between men and women in society is similar to the relations between </w:t>
      </w:r>
      <w:hyperlink r:id="rId18" w:history="1">
        <w:r w:rsidRPr="00CC1A47">
          <w:rPr>
            <w:rFonts w:cs="Helvetica"/>
          </w:rPr>
          <w:t>proletariat</w:t>
        </w:r>
      </w:hyperlink>
      <w:r w:rsidRPr="00CC1A47">
        <w:rPr>
          <w:rFonts w:cs="Helvetica"/>
        </w:rPr>
        <w:t xml:space="preserve"> and </w:t>
      </w:r>
      <w:hyperlink r:id="rId19" w:history="1">
        <w:r w:rsidRPr="00CC1A47">
          <w:rPr>
            <w:rFonts w:cs="Helvetica"/>
          </w:rPr>
          <w:t>bourgeoisie</w:t>
        </w:r>
      </w:hyperlink>
      <w:proofErr w:type="gramStart"/>
      <w:r w:rsidRPr="00CC1A47">
        <w:rPr>
          <w:rFonts w:cs="Helvetica"/>
        </w:rPr>
        <w:t>.</w:t>
      </w:r>
      <w:r w:rsidRPr="00CC1A47">
        <w:rPr>
          <w:rFonts w:cs="Helvetica"/>
          <w:vertAlign w:val="superscript"/>
        </w:rPr>
        <w:t>[</w:t>
      </w:r>
      <w:proofErr w:type="gramEnd"/>
      <w:r w:rsidRPr="00CC1A47">
        <w:rPr>
          <w:rFonts w:cs="Helvetica"/>
          <w:vertAlign w:val="superscript"/>
        </w:rPr>
        <w:t>1]</w:t>
      </w:r>
      <w:r w:rsidRPr="00CC1A47">
        <w:rPr>
          <w:rFonts w:cs="Helvetica"/>
        </w:rPr>
        <w:t xml:space="preserve"> On this account women's subordination is a function of class oppression, maintained (like </w:t>
      </w:r>
      <w:hyperlink r:id="rId20" w:history="1">
        <w:r w:rsidRPr="00CC1A47">
          <w:rPr>
            <w:rFonts w:cs="Helvetica"/>
          </w:rPr>
          <w:t>racism</w:t>
        </w:r>
      </w:hyperlink>
      <w:r w:rsidRPr="00CC1A47">
        <w:rPr>
          <w:rFonts w:cs="Helvetica"/>
        </w:rPr>
        <w:t xml:space="preserve">) because it serves the interests of capital and the </w:t>
      </w:r>
      <w:hyperlink r:id="rId21" w:history="1">
        <w:r w:rsidRPr="00CC1A47">
          <w:rPr>
            <w:rFonts w:cs="Helvetica"/>
          </w:rPr>
          <w:t>ruling class</w:t>
        </w:r>
      </w:hyperlink>
      <w:r w:rsidRPr="00CC1A47">
        <w:rPr>
          <w:rFonts w:cs="Helvetica"/>
        </w:rPr>
        <w:t>; it divides men against women, privileges working class men relatively within the capitalist system in order to secure their support; and legitimates the capitalist class's refusal to pay for the domestic labor assigned, unpaid, to women.</w:t>
      </w:r>
    </w:p>
    <w:sectPr w:rsidR="00CC1A47" w:rsidRPr="00CC1A47" w:rsidSect="00DA5C6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06A2"/>
    <w:rsid w:val="000A01D8"/>
    <w:rsid w:val="001106A2"/>
    <w:rsid w:val="00186F13"/>
    <w:rsid w:val="00CC1A47"/>
    <w:rsid w:val="00DA5C6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6AFB48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A01D8"/>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A01D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en.wikipedia.org/wiki/Other" TargetMode="External"/><Relationship Id="rId20" Type="http://schemas.openxmlformats.org/officeDocument/2006/relationships/hyperlink" Target="http://en.wikipedia.org/wiki/Racism" TargetMode="External"/><Relationship Id="rId21" Type="http://schemas.openxmlformats.org/officeDocument/2006/relationships/hyperlink" Target="http://en.wikipedia.org/wiki/Ruling_class" TargetMode="Externa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http://en.wikipedia.org/wiki/Immanence" TargetMode="External"/><Relationship Id="rId11" Type="http://schemas.openxmlformats.org/officeDocument/2006/relationships/hyperlink" Target="http://en.wikipedia.org/wiki/Transcendence_(philosophy)" TargetMode="External"/><Relationship Id="rId12" Type="http://schemas.openxmlformats.org/officeDocument/2006/relationships/hyperlink" Target="http://en.wikipedia.org/wiki/Feudalism" TargetMode="External"/><Relationship Id="rId13" Type="http://schemas.openxmlformats.org/officeDocument/2006/relationships/hyperlink" Target="http://en.wikipedia.org/wiki/Mode_of_production" TargetMode="External"/><Relationship Id="rId14" Type="http://schemas.openxmlformats.org/officeDocument/2006/relationships/hyperlink" Target="http://en.wikipedia.org/wiki/Nuclear_family" TargetMode="External"/><Relationship Id="rId15" Type="http://schemas.openxmlformats.org/officeDocument/2006/relationships/hyperlink" Target="http://en.wikipedia.org/wiki/Historical_materialism" TargetMode="External"/><Relationship Id="rId16" Type="http://schemas.openxmlformats.org/officeDocument/2006/relationships/hyperlink" Target="http://en.wikipedia.org/wiki/Virginity" TargetMode="External"/><Relationship Id="rId17" Type="http://schemas.openxmlformats.org/officeDocument/2006/relationships/hyperlink" Target="http://en.wikipedia.org/wiki/Infidelity" TargetMode="External"/><Relationship Id="rId18" Type="http://schemas.openxmlformats.org/officeDocument/2006/relationships/hyperlink" Target="http://en.wikipedia.org/wiki/Proletariat" TargetMode="External"/><Relationship Id="rId19" Type="http://schemas.openxmlformats.org/officeDocument/2006/relationships/hyperlink" Target="http://en.wikipedia.org/wiki/Bourgeoisie" TargetMode="Externa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egs.edu/library/simone-de-beauvoir/biography/" TargetMode="External"/><Relationship Id="rId6" Type="http://schemas.openxmlformats.org/officeDocument/2006/relationships/hyperlink" Target="http://www.egs.edu/library/simone-de-beauvoir/biography/" TargetMode="External"/><Relationship Id="rId7" Type="http://schemas.openxmlformats.org/officeDocument/2006/relationships/hyperlink" Target="http://en.wikipedia.org/wiki/Existence_precedes_essence" TargetMode="External"/><Relationship Id="rId8" Type="http://schemas.openxmlformats.org/officeDocument/2006/relationships/hyperlink" Target="http://en.wikipedia.org/wiki/Heg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3</Pages>
  <Words>1549</Words>
  <Characters>8832</Characters>
  <Application>Microsoft Macintosh Word</Application>
  <DocSecurity>0</DocSecurity>
  <Lines>73</Lines>
  <Paragraphs>20</Paragraphs>
  <ScaleCrop>false</ScaleCrop>
  <Company/>
  <LinksUpToDate>false</LinksUpToDate>
  <CharactersWithSpaces>10361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selina richard</dc:creator>
  <cp:keywords/>
  <dc:description/>
  <cp:lastModifiedBy>selina richard</cp:lastModifiedBy>
  <cp:revision>1</cp:revision>
  <dcterms:created xsi:type="dcterms:W3CDTF">2014-10-02T04:36:00Z</dcterms:created>
  <dcterms:modified xsi:type="dcterms:W3CDTF">2014-10-02T05:20:00Z</dcterms:modified>
</cp:coreProperties>
</file>