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Fonts w:ascii="Helvetica" w:cs="Arial Unicode MS" w:hAnsi="Arial Unicode MS" w:eastAsia="Arial Unicode MS"/>
          <w:rtl w:val="0"/>
        </w:rPr>
        <w:t>POL2101 Week 3</w:t>
      </w:r>
    </w:p>
    <w:p>
      <w:pPr>
        <w:pStyle w:val="Subject"/>
        <w:bidi w:val="0"/>
      </w:pPr>
      <w:r>
        <w:rPr>
          <w:rFonts w:ascii="Helvetica Light" w:cs="Arial Unicode MS" w:hAnsi="Arial Unicode MS" w:eastAsia="Arial Unicode MS"/>
          <w:rtl w:val="0"/>
        </w:rPr>
        <w:t>Federalism Policy and Political Dimensions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>fiscal federalism: FG transfer health care and social programs to the PG (nearly unconditional)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>-Equalization program: horizontal transfer; rationale not to address vertical transfer; design to address the issue of interprovincial despair; design to make sure Canadian citizens, wherever they live, have access to the public services that comparable quality, at comparable level of taxation (unconditional)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>-Fiscal capacity (important when determine equalization): the FG determine an average fiscal capacity: everyone below the line get fund and brought up to the line; the ones above the line would not get anything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>-population size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>-Only FG decides how the program is run, creates tension: zero-sum game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>Policy Dimension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 xml:space="preserve">-How policy intercept with federalism 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>-Health care: PG; FG: public health, aboriginal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ab/>
        <w:t>-FG funds for Health Care;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>-Social policy: social protection; unemployment insurance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ab/>
        <w:t>-Establish some programs to provide protection to the Canadians after the WWII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ab/>
        <w:t>-Multilayer, fundamental programs run by FG, unemployment insurance, pensions (except Quebec)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ab/>
        <w:t>-PG run welfare, programs for disability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Helvetica"/>
          <w:rtl w:val="0"/>
          <w:lang w:val="en-US"/>
        </w:rPr>
        <w:tab/>
        <w:t>-Environment: Some policy they compete, some they are not interest; FG did not see profit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tab/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1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t xml:space="preserve"> DATE \@ "dddd, MMMM d, y" </w:t>
    </w:r>
    <w:r>
      <w:rPr/>
      <w:fldChar w:fldCharType="separate" w:fldLock="0"/>
    </w:r>
    <w:r>
      <w:rPr>
        <w:rtl w:val="0"/>
        <w:lang w:val="en-US"/>
      </w:rPr>
      <w:t>Tuesday, January 27, 2015</w:t>
    </w:r>
    <w:r>
      <w:rPr/>
      <w:fldChar w:fldCharType="end" w:fldLock="1"/>
    </w:r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