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11C" w:rsidRDefault="002F28D0">
      <w:r>
        <w:t xml:space="preserve">PHI 1501    20 </w:t>
      </w:r>
      <w:proofErr w:type="spellStart"/>
      <w:r>
        <w:t>ocotbre</w:t>
      </w:r>
      <w:proofErr w:type="spellEnd"/>
      <w:r>
        <w:t xml:space="preserve"> </w:t>
      </w:r>
    </w:p>
    <w:p w:rsidR="002F28D0" w:rsidRDefault="008916C5">
      <w:r>
        <w:t xml:space="preserve">Organisation du syllogisme catégorique </w:t>
      </w:r>
    </w:p>
    <w:p w:rsidR="008916C5" w:rsidRDefault="00C912E1">
      <w:r>
        <w:rPr>
          <w:noProof/>
          <w:lang w:eastAsia="fr-CA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26" type="#_x0000_t85" style="position:absolute;margin-left:51.85pt;margin-top:6.05pt;width:7.15pt;height:30.1pt;z-index:251658240"/>
        </w:pict>
      </w:r>
      <w:r w:rsidR="008916C5">
        <w:t>Prémisses       majeure : T- M</w:t>
      </w:r>
    </w:p>
    <w:p w:rsidR="008916C5" w:rsidRDefault="008916C5">
      <w:r>
        <w:t xml:space="preserve">                          Mineure : M- t </w:t>
      </w:r>
    </w:p>
    <w:p w:rsidR="008916C5" w:rsidRDefault="008916C5">
      <w:r>
        <w:t xml:space="preserve">Conclusion : t -T </w:t>
      </w:r>
    </w:p>
    <w:p w:rsidR="00AF3935" w:rsidRDefault="00AF3935">
      <w:r>
        <w:t xml:space="preserve">Les figures du syllogisme (sur le cahier) </w:t>
      </w:r>
    </w:p>
    <w:tbl>
      <w:tblPr>
        <w:tblStyle w:val="TableGrid"/>
        <w:tblW w:w="0" w:type="auto"/>
        <w:tblLook w:val="04A0"/>
      </w:tblPr>
      <w:tblGrid>
        <w:gridCol w:w="1756"/>
        <w:gridCol w:w="1756"/>
        <w:gridCol w:w="1756"/>
        <w:gridCol w:w="1756"/>
        <w:gridCol w:w="1756"/>
      </w:tblGrid>
      <w:tr w:rsidR="00AC0744" w:rsidTr="00AC0744">
        <w:tc>
          <w:tcPr>
            <w:tcW w:w="1756" w:type="dxa"/>
          </w:tcPr>
          <w:p w:rsidR="00AC0744" w:rsidRDefault="00AC0744">
            <w:r>
              <w:t>Figure</w:t>
            </w:r>
          </w:p>
        </w:tc>
        <w:tc>
          <w:tcPr>
            <w:tcW w:w="1756" w:type="dxa"/>
          </w:tcPr>
          <w:p w:rsidR="00AC0744" w:rsidRDefault="00AC0744">
            <w:r>
              <w:t>1</w:t>
            </w:r>
            <w:r w:rsidRPr="00AC0744">
              <w:rPr>
                <w:vertAlign w:val="superscript"/>
              </w:rPr>
              <w:t>ère</w:t>
            </w:r>
            <w:r>
              <w:t xml:space="preserve"> figure </w:t>
            </w:r>
          </w:p>
          <w:p w:rsidR="00AC0744" w:rsidRDefault="00AC0744">
            <w:proofErr w:type="spellStart"/>
            <w:r>
              <w:t>Sub</w:t>
            </w:r>
            <w:proofErr w:type="spellEnd"/>
            <w:r>
              <w:t>-</w:t>
            </w:r>
            <w:proofErr w:type="spellStart"/>
            <w:r>
              <w:t>prae</w:t>
            </w:r>
            <w:proofErr w:type="spellEnd"/>
          </w:p>
        </w:tc>
        <w:tc>
          <w:tcPr>
            <w:tcW w:w="1756" w:type="dxa"/>
          </w:tcPr>
          <w:p w:rsidR="00AC0744" w:rsidRDefault="00AC0744">
            <w:r>
              <w:t>2</w:t>
            </w:r>
            <w:r w:rsidRPr="00AC0744">
              <w:rPr>
                <w:vertAlign w:val="superscript"/>
              </w:rPr>
              <w:t>ème</w:t>
            </w:r>
            <w:r>
              <w:t xml:space="preserve"> figure </w:t>
            </w:r>
          </w:p>
          <w:p w:rsidR="00AC0744" w:rsidRDefault="00AC0744">
            <w:proofErr w:type="spellStart"/>
            <w:r>
              <w:t>Prae</w:t>
            </w:r>
            <w:proofErr w:type="spellEnd"/>
            <w:r>
              <w:t>-</w:t>
            </w:r>
            <w:proofErr w:type="spellStart"/>
            <w:r>
              <w:t>prae</w:t>
            </w:r>
            <w:proofErr w:type="spellEnd"/>
          </w:p>
        </w:tc>
        <w:tc>
          <w:tcPr>
            <w:tcW w:w="1756" w:type="dxa"/>
          </w:tcPr>
          <w:p w:rsidR="00AC0744" w:rsidRDefault="00AC0744">
            <w:r>
              <w:t>3</w:t>
            </w:r>
            <w:r w:rsidRPr="00AC0744">
              <w:rPr>
                <w:vertAlign w:val="superscript"/>
              </w:rPr>
              <w:t>ème</w:t>
            </w:r>
            <w:r>
              <w:t xml:space="preserve"> figure</w:t>
            </w:r>
          </w:p>
          <w:p w:rsidR="00AC0744" w:rsidRDefault="00AC0744">
            <w:proofErr w:type="spellStart"/>
            <w:r>
              <w:t>Sub</w:t>
            </w:r>
            <w:proofErr w:type="spellEnd"/>
            <w:r>
              <w:t>-</w:t>
            </w:r>
            <w:proofErr w:type="spellStart"/>
            <w:r>
              <w:t>sub</w:t>
            </w:r>
            <w:proofErr w:type="spellEnd"/>
          </w:p>
        </w:tc>
        <w:tc>
          <w:tcPr>
            <w:tcW w:w="1756" w:type="dxa"/>
          </w:tcPr>
          <w:p w:rsidR="00AC0744" w:rsidRDefault="00AC0744">
            <w:r>
              <w:t>4</w:t>
            </w:r>
            <w:r w:rsidRPr="00AC0744">
              <w:rPr>
                <w:vertAlign w:val="superscript"/>
              </w:rPr>
              <w:t>ème</w:t>
            </w:r>
            <w:r>
              <w:t xml:space="preserve"> figure</w:t>
            </w:r>
          </w:p>
          <w:p w:rsidR="00AC0744" w:rsidRDefault="00AC0744">
            <w:proofErr w:type="spellStart"/>
            <w:r>
              <w:t>Prae</w:t>
            </w:r>
            <w:proofErr w:type="spellEnd"/>
            <w:r>
              <w:t>-</w:t>
            </w:r>
            <w:proofErr w:type="spellStart"/>
            <w:r>
              <w:t>sub</w:t>
            </w:r>
            <w:proofErr w:type="spellEnd"/>
          </w:p>
        </w:tc>
      </w:tr>
      <w:tr w:rsidR="00AC0744" w:rsidTr="00895DE2">
        <w:trPr>
          <w:trHeight w:val="353"/>
        </w:trPr>
        <w:tc>
          <w:tcPr>
            <w:tcW w:w="1756" w:type="dxa"/>
          </w:tcPr>
          <w:p w:rsidR="00AC0744" w:rsidRDefault="00AC0744">
            <w:r>
              <w:t>majeure</w:t>
            </w:r>
          </w:p>
        </w:tc>
        <w:tc>
          <w:tcPr>
            <w:tcW w:w="1756" w:type="dxa"/>
          </w:tcPr>
          <w:p w:rsidR="00AC0744" w:rsidRDefault="00AC0744">
            <w:r>
              <w:t xml:space="preserve">M-T </w:t>
            </w:r>
          </w:p>
        </w:tc>
        <w:tc>
          <w:tcPr>
            <w:tcW w:w="1756" w:type="dxa"/>
          </w:tcPr>
          <w:p w:rsidR="00AC0744" w:rsidRDefault="00AC0744">
            <w:r>
              <w:t>T-M</w:t>
            </w:r>
          </w:p>
        </w:tc>
        <w:tc>
          <w:tcPr>
            <w:tcW w:w="1756" w:type="dxa"/>
          </w:tcPr>
          <w:p w:rsidR="00AC0744" w:rsidRDefault="00AC0744">
            <w:r>
              <w:t>M-T</w:t>
            </w:r>
          </w:p>
        </w:tc>
        <w:tc>
          <w:tcPr>
            <w:tcW w:w="1756" w:type="dxa"/>
          </w:tcPr>
          <w:p w:rsidR="00AC0744" w:rsidRDefault="00AC0744">
            <w:r>
              <w:t>T-M</w:t>
            </w:r>
          </w:p>
        </w:tc>
      </w:tr>
      <w:tr w:rsidR="00AC0744" w:rsidTr="00AC0744">
        <w:tc>
          <w:tcPr>
            <w:tcW w:w="1756" w:type="dxa"/>
          </w:tcPr>
          <w:p w:rsidR="00AC0744" w:rsidRDefault="00AC0744">
            <w:r>
              <w:t>mineure</w:t>
            </w:r>
          </w:p>
        </w:tc>
        <w:tc>
          <w:tcPr>
            <w:tcW w:w="1756" w:type="dxa"/>
          </w:tcPr>
          <w:p w:rsidR="00AC0744" w:rsidRDefault="00AC0744">
            <w:r>
              <w:t>t-M</w:t>
            </w:r>
          </w:p>
        </w:tc>
        <w:tc>
          <w:tcPr>
            <w:tcW w:w="1756" w:type="dxa"/>
          </w:tcPr>
          <w:p w:rsidR="00AC0744" w:rsidRDefault="00AC0744">
            <w:r>
              <w:t>t-M</w:t>
            </w:r>
          </w:p>
        </w:tc>
        <w:tc>
          <w:tcPr>
            <w:tcW w:w="1756" w:type="dxa"/>
          </w:tcPr>
          <w:p w:rsidR="00AC0744" w:rsidRDefault="00AC0744">
            <w:r>
              <w:t>M-t</w:t>
            </w:r>
          </w:p>
        </w:tc>
        <w:tc>
          <w:tcPr>
            <w:tcW w:w="1756" w:type="dxa"/>
          </w:tcPr>
          <w:p w:rsidR="00AC0744" w:rsidRDefault="00AC0744">
            <w:r>
              <w:t>M-t</w:t>
            </w:r>
          </w:p>
        </w:tc>
      </w:tr>
      <w:tr w:rsidR="00AC0744" w:rsidTr="00AC0744">
        <w:tc>
          <w:tcPr>
            <w:tcW w:w="1756" w:type="dxa"/>
          </w:tcPr>
          <w:p w:rsidR="00AC0744" w:rsidRDefault="00AC0744">
            <w:r>
              <w:t>conclusion</w:t>
            </w:r>
          </w:p>
        </w:tc>
        <w:tc>
          <w:tcPr>
            <w:tcW w:w="1756" w:type="dxa"/>
          </w:tcPr>
          <w:p w:rsidR="00AC0744" w:rsidRDefault="00AC0744">
            <w:r>
              <w:t xml:space="preserve">t-T </w:t>
            </w:r>
          </w:p>
        </w:tc>
        <w:tc>
          <w:tcPr>
            <w:tcW w:w="1756" w:type="dxa"/>
          </w:tcPr>
          <w:p w:rsidR="00AC0744" w:rsidRDefault="00AC0744">
            <w:r>
              <w:t>t-T</w:t>
            </w:r>
          </w:p>
        </w:tc>
        <w:tc>
          <w:tcPr>
            <w:tcW w:w="1756" w:type="dxa"/>
          </w:tcPr>
          <w:p w:rsidR="00AC0744" w:rsidRDefault="00AC0744">
            <w:r>
              <w:t>t-T</w:t>
            </w:r>
          </w:p>
        </w:tc>
        <w:tc>
          <w:tcPr>
            <w:tcW w:w="1756" w:type="dxa"/>
          </w:tcPr>
          <w:p w:rsidR="00AC0744" w:rsidRDefault="00AC0744">
            <w:r>
              <w:t>t-T</w:t>
            </w:r>
          </w:p>
        </w:tc>
      </w:tr>
      <w:tr w:rsidR="00AC0744" w:rsidTr="00AC0744">
        <w:tc>
          <w:tcPr>
            <w:tcW w:w="1756" w:type="dxa"/>
          </w:tcPr>
          <w:p w:rsidR="00AC0744" w:rsidRDefault="00AC0744">
            <w:r>
              <w:t>possibilités</w:t>
            </w:r>
          </w:p>
        </w:tc>
        <w:tc>
          <w:tcPr>
            <w:tcW w:w="1756" w:type="dxa"/>
          </w:tcPr>
          <w:p w:rsidR="00AC0744" w:rsidRDefault="00AC0744">
            <w:r>
              <w:t>4</w:t>
            </w:r>
          </w:p>
        </w:tc>
        <w:tc>
          <w:tcPr>
            <w:tcW w:w="1756" w:type="dxa"/>
          </w:tcPr>
          <w:p w:rsidR="00AC0744" w:rsidRDefault="00AC0744">
            <w:r>
              <w:t>4</w:t>
            </w:r>
          </w:p>
        </w:tc>
        <w:tc>
          <w:tcPr>
            <w:tcW w:w="1756" w:type="dxa"/>
          </w:tcPr>
          <w:p w:rsidR="00AC0744" w:rsidRDefault="00AC0744">
            <w:r>
              <w:t>6</w:t>
            </w:r>
          </w:p>
        </w:tc>
        <w:tc>
          <w:tcPr>
            <w:tcW w:w="1756" w:type="dxa"/>
          </w:tcPr>
          <w:p w:rsidR="00AC0744" w:rsidRDefault="00AC0744">
            <w:r>
              <w:t xml:space="preserve">5 </w:t>
            </w:r>
          </w:p>
        </w:tc>
      </w:tr>
    </w:tbl>
    <w:p w:rsidR="00FB665C" w:rsidRDefault="00FB665C"/>
    <w:p w:rsidR="00FB665C" w:rsidRDefault="00FB665C">
      <w:r>
        <w:t>1</w:t>
      </w:r>
      <w:r w:rsidRPr="00FB665C">
        <w:rPr>
          <w:vertAlign w:val="superscript"/>
        </w:rPr>
        <w:t>ère</w:t>
      </w:r>
      <w:r>
        <w:t xml:space="preserve"> figure : AAA – EAE – AII- EIO  (la seule où il y a AAA)</w:t>
      </w:r>
    </w:p>
    <w:p w:rsidR="00FB665C" w:rsidRPr="00FB665C" w:rsidRDefault="00FB665C">
      <w:pPr>
        <w:rPr>
          <w:lang w:val="en-CA"/>
        </w:rPr>
      </w:pPr>
      <w:r w:rsidRPr="00FB665C">
        <w:rPr>
          <w:lang w:val="en-CA"/>
        </w:rPr>
        <w:t>2</w:t>
      </w:r>
      <w:r w:rsidRPr="00FB665C">
        <w:rPr>
          <w:vertAlign w:val="superscript"/>
          <w:lang w:val="en-CA"/>
        </w:rPr>
        <w:t>ème</w:t>
      </w:r>
      <w:r w:rsidRPr="00FB665C">
        <w:rPr>
          <w:lang w:val="en-CA"/>
        </w:rPr>
        <w:t xml:space="preserve"> figure: EAE- AEE- EIO- AOO (concl</w:t>
      </w:r>
      <w:r>
        <w:rPr>
          <w:lang w:val="en-CA"/>
        </w:rPr>
        <w:t xml:space="preserve">usion </w:t>
      </w:r>
      <w:proofErr w:type="spellStart"/>
      <w:r>
        <w:rPr>
          <w:lang w:val="en-CA"/>
        </w:rPr>
        <w:t>tjr</w:t>
      </w:r>
      <w:proofErr w:type="spellEnd"/>
      <w:r>
        <w:rPr>
          <w:lang w:val="en-CA"/>
        </w:rPr>
        <w:t xml:space="preserve"> negative) </w:t>
      </w:r>
    </w:p>
    <w:p w:rsidR="00AC0744" w:rsidRDefault="00FB665C">
      <w:r w:rsidRPr="00FB665C">
        <w:t>3ème figure: AAI- EAO- IAI- AII- OAO- EIO</w:t>
      </w:r>
      <w:r>
        <w:t xml:space="preserve"> (conclusion </w:t>
      </w:r>
      <w:proofErr w:type="spellStart"/>
      <w:r>
        <w:t>tjr</w:t>
      </w:r>
      <w:proofErr w:type="spellEnd"/>
      <w:r>
        <w:t xml:space="preserve"> particulière) </w:t>
      </w:r>
    </w:p>
    <w:p w:rsidR="00AC0744" w:rsidRPr="00FB665C" w:rsidRDefault="00FB665C">
      <w:r>
        <w:t>4</w:t>
      </w:r>
      <w:r w:rsidRPr="00FB665C">
        <w:rPr>
          <w:vertAlign w:val="superscript"/>
        </w:rPr>
        <w:t>ème</w:t>
      </w:r>
      <w:r>
        <w:t xml:space="preserve"> figure : AAI- AEE- IAI- EAO- EIO </w:t>
      </w:r>
    </w:p>
    <w:p w:rsidR="0096727A" w:rsidRDefault="00AC0744">
      <w:r w:rsidRPr="00FB665C">
        <w:t xml:space="preserve"> </w:t>
      </w:r>
      <w:r w:rsidR="0096727A">
        <w:t xml:space="preserve">(Sur le cahier) </w:t>
      </w:r>
    </w:p>
    <w:p w:rsidR="0096727A" w:rsidRDefault="0096727A">
      <w:r>
        <w:t>31 octobre  2011</w:t>
      </w:r>
    </w:p>
    <w:p w:rsidR="0096727A" w:rsidRDefault="0096727A">
      <w:r>
        <w:t xml:space="preserve"> </w:t>
      </w:r>
      <w:r w:rsidR="00A10650">
        <w:t xml:space="preserve">Aucune conclusion ne commence avec </w:t>
      </w:r>
      <w:r w:rsidR="007F0C4E">
        <w:t xml:space="preserve">un grand Terme </w:t>
      </w:r>
    </w:p>
    <w:p w:rsidR="007F0C4E" w:rsidRDefault="007F0C4E">
      <w:r>
        <w:t>Le moyen terme peut être placé en tant que sujet ou en tant que prédicat</w:t>
      </w:r>
    </w:p>
    <w:p w:rsidR="007F0C4E" w:rsidRDefault="007F0C4E">
      <w:r>
        <w:t xml:space="preserve">Pour chacune des figures il y a 16 combinaisons possibles </w:t>
      </w:r>
    </w:p>
    <w:p w:rsidR="007F0C4E" w:rsidRDefault="007F0C4E">
      <w:r>
        <w:t xml:space="preserve">Mais il y a seulement 64 qui fonctionnent </w:t>
      </w:r>
    </w:p>
    <w:p w:rsidR="007F0C4E" w:rsidRDefault="005E34E2">
      <w:r>
        <w:t xml:space="preserve">Règle 2 : petit t et grand T ne peuvent pas changer de grandeur dans la conclusion </w:t>
      </w:r>
    </w:p>
    <w:p w:rsidR="005E34E2" w:rsidRDefault="005E34E2">
      <w:r>
        <w:t xml:space="preserve">On connaît la grandeur s’il est sujet (il suit la grandeur de la proposition), s’il est prédicat </w:t>
      </w:r>
      <w:proofErr w:type="gramStart"/>
      <w:r>
        <w:t>( si</w:t>
      </w:r>
      <w:proofErr w:type="gramEnd"/>
      <w:r>
        <w:t xml:space="preserve"> la </w:t>
      </w:r>
      <w:proofErr w:type="spellStart"/>
      <w:r>
        <w:t>prop</w:t>
      </w:r>
      <w:proofErr w:type="spellEnd"/>
      <w:r>
        <w:t xml:space="preserve"> est affirmative, le prédicat est </w:t>
      </w:r>
      <w:proofErr w:type="spellStart"/>
      <w:r>
        <w:t>particluier</w:t>
      </w:r>
      <w:proofErr w:type="spellEnd"/>
      <w:r>
        <w:t xml:space="preserve">, si la </w:t>
      </w:r>
      <w:proofErr w:type="spellStart"/>
      <w:r>
        <w:t>prop</w:t>
      </w:r>
      <w:proofErr w:type="spellEnd"/>
      <w:r>
        <w:t xml:space="preserve"> est négative le prédicat est universel )</w:t>
      </w:r>
    </w:p>
    <w:p w:rsidR="005E34E2" w:rsidRDefault="00092B41">
      <w:r>
        <w:t xml:space="preserve">Cette règle ne s’applique par sur le I </w:t>
      </w:r>
    </w:p>
    <w:p w:rsidR="0096727A" w:rsidRDefault="0096727A"/>
    <w:sectPr w:rsidR="0096727A" w:rsidSect="00E5611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F28D0"/>
    <w:rsid w:val="00056AF6"/>
    <w:rsid w:val="000679BF"/>
    <w:rsid w:val="00092B41"/>
    <w:rsid w:val="002F28D0"/>
    <w:rsid w:val="003E1A31"/>
    <w:rsid w:val="004A2241"/>
    <w:rsid w:val="005E34E2"/>
    <w:rsid w:val="00700935"/>
    <w:rsid w:val="007F0C4E"/>
    <w:rsid w:val="008916C5"/>
    <w:rsid w:val="00895DE2"/>
    <w:rsid w:val="00962E88"/>
    <w:rsid w:val="0096727A"/>
    <w:rsid w:val="00A10650"/>
    <w:rsid w:val="00AC0744"/>
    <w:rsid w:val="00AF3935"/>
    <w:rsid w:val="00C912E1"/>
    <w:rsid w:val="00E5611C"/>
    <w:rsid w:val="00F55154"/>
    <w:rsid w:val="00FB6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1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07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mayma</dc:creator>
  <cp:lastModifiedBy>mayma</cp:lastModifiedBy>
  <cp:revision>13</cp:revision>
  <dcterms:created xsi:type="dcterms:W3CDTF">2011-10-20T14:00:00Z</dcterms:created>
  <dcterms:modified xsi:type="dcterms:W3CDTF">2011-11-10T00:18:00Z</dcterms:modified>
</cp:coreProperties>
</file>