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BCF" w:rsidRPr="006375F4" w:rsidRDefault="00561BCF" w:rsidP="00561BCF">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w:t>
      </w:r>
    </w:p>
    <w:p w:rsidR="00561BCF" w:rsidRPr="006375F4" w:rsidRDefault="00561BCF" w:rsidP="00561BCF">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tblPr>
      <w:tblGrid>
        <w:gridCol w:w="9450"/>
      </w:tblGrid>
      <w:tr w:rsidR="00561BCF" w:rsidRPr="006375F4" w:rsidTr="00D11096">
        <w:trPr>
          <w:tblCellSpacing w:w="15" w:type="dxa"/>
        </w:trPr>
        <w:tc>
          <w:tcPr>
            <w:tcW w:w="0" w:type="auto"/>
            <w:vAlign w:val="center"/>
            <w:hideMark/>
          </w:tcPr>
          <w:p w:rsidR="00561BCF" w:rsidRPr="006375F4" w:rsidRDefault="00561BCF" w:rsidP="00D11096">
            <w:pPr>
              <w:spacing w:after="0" w:line="240" w:lineRule="auto"/>
              <w:rPr>
                <w:rFonts w:ascii="Times New Roman" w:eastAsia="Times New Roman" w:hAnsi="Times New Roman" w:cs="Times New Roman"/>
                <w:sz w:val="24"/>
                <w:szCs w:val="24"/>
                <w:lang w:eastAsia="en-CA"/>
              </w:rPr>
            </w:pPr>
          </w:p>
        </w:tc>
      </w:tr>
    </w:tbl>
    <w:p w:rsidR="00561BCF" w:rsidRPr="006375F4" w:rsidRDefault="00561BCF" w:rsidP="00561BCF">
      <w:pPr>
        <w:spacing w:after="240" w:line="240" w:lineRule="auto"/>
        <w:rPr>
          <w:rFonts w:ascii="Times New Roman" w:eastAsia="Times New Roman" w:hAnsi="Times New Roman" w:cs="Times New Roman"/>
          <w:sz w:val="24"/>
          <w:szCs w:val="24"/>
          <w:lang w:eastAsia="en-CA"/>
        </w:rPr>
      </w:pPr>
    </w:p>
    <w:p w:rsidR="00561BCF" w:rsidRPr="006375F4" w:rsidRDefault="00561BCF" w:rsidP="00561BC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2: The Real Estate Investment </w:t>
      </w:r>
    </w:p>
    <w:p w:rsidR="00561BCF" w:rsidRPr="006375F4" w:rsidRDefault="00561BCF" w:rsidP="00561BCF">
      <w:pPr>
        <w:spacing w:after="0" w:line="240" w:lineRule="auto"/>
        <w:rPr>
          <w:rFonts w:ascii="Times New Roman" w:eastAsia="Times New Roman" w:hAnsi="Times New Roman" w:cs="Times New Roman"/>
          <w:sz w:val="24"/>
          <w:szCs w:val="24"/>
          <w:lang w:eastAsia="en-CA"/>
        </w:rPr>
      </w:pPr>
    </w:p>
    <w:p w:rsidR="00561BCF" w:rsidRPr="006375F4" w:rsidRDefault="00561BCF" w:rsidP="00561BC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Definition</w:t>
      </w:r>
    </w:p>
    <w:p w:rsidR="00561BCF" w:rsidRPr="006375F4" w:rsidRDefault="00561BCF" w:rsidP="00561BCF">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430020" cy="2003425"/>
            <wp:effectExtent l="19050" t="0" r="0" b="0"/>
            <wp:docPr id="3" name="Picture 3"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nant"/>
                    <pic:cNvPicPr>
                      <a:picLocks noChangeAspect="1" noChangeArrowheads="1"/>
                    </pic:cNvPicPr>
                  </pic:nvPicPr>
                  <pic:blipFill>
                    <a:blip r:embed="rId5" cstate="print"/>
                    <a:srcRect/>
                    <a:stretch>
                      <a:fillRect/>
                    </a:stretch>
                  </pic:blipFill>
                  <pic:spPr bwMode="auto">
                    <a:xfrm>
                      <a:off x="0" y="0"/>
                      <a:ext cx="1430020" cy="2003425"/>
                    </a:xfrm>
                    <a:prstGeom prst="rect">
                      <a:avLst/>
                    </a:prstGeom>
                    <a:noFill/>
                    <a:ln w="9525">
                      <a:noFill/>
                      <a:miter lim="800000"/>
                      <a:headEnd/>
                      <a:tailEnd/>
                    </a:ln>
                  </pic:spPr>
                </pic:pic>
              </a:graphicData>
            </a:graphic>
          </wp:inline>
        </w:drawing>
      </w:r>
    </w:p>
    <w:p w:rsidR="00561BCF" w:rsidRPr="006375F4" w:rsidRDefault="00561BCF" w:rsidP="00561BCF">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purpose of Real Estate Investment (REI) is to buy land and all physical properties attached to it, such as houses, trees, fences, and so on, in order to generate income by selling or renting it. For example, some people might buy a house to sell it in 10 years when property value has increased; others might buy an apartment building and rent the apartments to create profit.</w:t>
      </w:r>
    </w:p>
    <w:p w:rsidR="00561BCF" w:rsidRPr="006375F4" w:rsidRDefault="00561BCF" w:rsidP="00561BCF">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As other investments, REI comes with risk and return that depend on the market’s cycle. </w:t>
      </w:r>
      <w:r w:rsidRPr="006375F4">
        <w:rPr>
          <w:rFonts w:ascii="Times New Roman" w:eastAsia="Times New Roman" w:hAnsi="Times New Roman" w:cs="Times New Roman"/>
          <w:b/>
          <w:bCs/>
          <w:sz w:val="24"/>
          <w:szCs w:val="24"/>
          <w:lang w:eastAsia="en-CA"/>
        </w:rPr>
        <w:t>The REI cycle</w:t>
      </w:r>
      <w:r w:rsidRPr="006375F4">
        <w:rPr>
          <w:rFonts w:ascii="Times New Roman" w:eastAsia="Times New Roman" w:hAnsi="Times New Roman" w:cs="Times New Roman"/>
          <w:sz w:val="24"/>
          <w:szCs w:val="24"/>
          <w:lang w:eastAsia="en-CA"/>
        </w:rPr>
        <w:t xml:space="preserve"> experiences excess when supply of properties is high; this results in a decrease in property values and indicates a good time for you to buy, but not to sell. Understanding the REI market and being able to assess the cycle’s stage is crucial to real estate investments. </w:t>
      </w:r>
    </w:p>
    <w:p w:rsidR="00561BCF" w:rsidRPr="006375F4" w:rsidRDefault="00561BCF" w:rsidP="00561BCF">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Several factors affect the real estate market,</w:t>
      </w:r>
      <w:r w:rsidRPr="006375F4">
        <w:rPr>
          <w:rFonts w:ascii="Times New Roman" w:eastAsia="Times New Roman" w:hAnsi="Times New Roman" w:cs="Times New Roman"/>
          <w:sz w:val="24"/>
          <w:szCs w:val="24"/>
          <w:lang w:eastAsia="en-CA"/>
        </w:rPr>
        <w:t xml:space="preserve"> such as interest rates, taxes, legal restrictions, local or provincial economy, population mobility, vacancy, property location, and public opinion of the property. We will discuss these factors in this and following lessons in the course.</w:t>
      </w:r>
    </w:p>
    <w:p w:rsidR="00561BCF" w:rsidRPr="006375F4" w:rsidRDefault="00561BCF" w:rsidP="00561BCF">
      <w:pPr>
        <w:spacing w:after="240" w:line="240" w:lineRule="auto"/>
        <w:rPr>
          <w:rFonts w:ascii="Times New Roman" w:eastAsia="Times New Roman" w:hAnsi="Times New Roman" w:cs="Times New Roman"/>
          <w:sz w:val="24"/>
          <w:szCs w:val="24"/>
          <w:lang w:eastAsia="en-CA"/>
        </w:rPr>
      </w:pPr>
    </w:p>
    <w:p w:rsidR="00561BCF" w:rsidRPr="006375F4" w:rsidRDefault="00561BCF" w:rsidP="00561BC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3: The Real Estate Investment (Cont'd) </w:t>
      </w:r>
    </w:p>
    <w:p w:rsidR="00561BCF" w:rsidRPr="006375F4" w:rsidRDefault="00561BCF" w:rsidP="00561BCF">
      <w:pPr>
        <w:spacing w:after="0" w:line="240" w:lineRule="auto"/>
        <w:rPr>
          <w:rFonts w:ascii="Times New Roman" w:eastAsia="Times New Roman" w:hAnsi="Times New Roman" w:cs="Times New Roman"/>
          <w:sz w:val="24"/>
          <w:szCs w:val="24"/>
          <w:lang w:eastAsia="en-CA"/>
        </w:rPr>
      </w:pPr>
    </w:p>
    <w:p w:rsidR="00561BCF" w:rsidRPr="006375F4" w:rsidRDefault="00561BCF" w:rsidP="00561BCF">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930910" cy="664845"/>
            <wp:effectExtent l="19050" t="0" r="2540" b="0"/>
            <wp:docPr id="4" name="Picture 4"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Mannadiar"/>
                    <pic:cNvPicPr>
                      <a:picLocks noChangeAspect="1" noChangeArrowheads="1"/>
                    </pic:cNvPicPr>
                  </pic:nvPicPr>
                  <pic:blipFill>
                    <a:blip r:embed="rId6" cstate="print"/>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561BCF" w:rsidRPr="006375F4" w:rsidRDefault="00561BCF" w:rsidP="00561BC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561BCF" w:rsidRPr="006375F4" w:rsidRDefault="00561BCF" w:rsidP="00561BCF">
      <w:pPr>
        <w:spacing w:after="0" w:line="240" w:lineRule="auto"/>
        <w:rPr>
          <w:rFonts w:ascii="Times New Roman" w:eastAsia="Times New Roman" w:hAnsi="Times New Roman" w:cs="Times New Roman"/>
          <w:sz w:val="24"/>
          <w:szCs w:val="24"/>
          <w:lang w:eastAsia="en-CA"/>
        </w:rPr>
      </w:pPr>
    </w:p>
    <w:p w:rsidR="00561BCF" w:rsidRPr="006375F4" w:rsidRDefault="00561BCF" w:rsidP="00561BCF">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REI has advantages and disadvantages:</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739"/>
        <w:gridCol w:w="4651"/>
      </w:tblGrid>
      <w:tr w:rsidR="00561BCF" w:rsidRPr="006375F4" w:rsidTr="00D11096">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61BCF" w:rsidRPr="006375F4" w:rsidRDefault="00561BCF" w:rsidP="00D11096">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 xml:space="preserve">Advantages </w:t>
            </w:r>
          </w:p>
        </w:tc>
        <w:tc>
          <w:tcPr>
            <w:tcW w:w="0" w:type="auto"/>
            <w:tcBorders>
              <w:top w:val="outset" w:sz="6" w:space="0" w:color="auto"/>
              <w:left w:val="outset" w:sz="6" w:space="0" w:color="auto"/>
              <w:bottom w:val="outset" w:sz="6" w:space="0" w:color="auto"/>
              <w:right w:val="outset" w:sz="6" w:space="0" w:color="auto"/>
            </w:tcBorders>
            <w:vAlign w:val="center"/>
            <w:hideMark/>
          </w:tcPr>
          <w:p w:rsidR="00561BCF" w:rsidRPr="006375F4" w:rsidRDefault="00561BCF" w:rsidP="00D11096">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Disadvantages</w:t>
            </w:r>
          </w:p>
        </w:tc>
      </w:tr>
      <w:tr w:rsidR="00561BCF" w:rsidRPr="006375F4" w:rsidTr="00D11096">
        <w:trPr>
          <w:tblCellSpacing w:w="0" w:type="dxa"/>
          <w:jc w:val="center"/>
        </w:trPr>
        <w:tc>
          <w:tcPr>
            <w:tcW w:w="5100" w:type="dxa"/>
            <w:tcBorders>
              <w:top w:val="outset" w:sz="6" w:space="0" w:color="auto"/>
              <w:left w:val="outset" w:sz="6" w:space="0" w:color="auto"/>
              <w:bottom w:val="outset" w:sz="6" w:space="0" w:color="auto"/>
              <w:right w:val="outset" w:sz="6" w:space="0" w:color="auto"/>
            </w:tcBorders>
            <w:hideMark/>
          </w:tcPr>
          <w:p w:rsidR="00561BCF" w:rsidRPr="006375F4" w:rsidRDefault="00561BCF" w:rsidP="00561BCF">
            <w:pPr>
              <w:numPr>
                <w:ilvl w:val="0"/>
                <w:numId w:val="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Risk in REI is low. </w:t>
            </w:r>
            <w:r w:rsidRPr="006375F4">
              <w:rPr>
                <w:rFonts w:ascii="Times New Roman" w:eastAsia="Times New Roman" w:hAnsi="Times New Roman" w:cs="Times New Roman"/>
                <w:sz w:val="24"/>
                <w:szCs w:val="24"/>
                <w:lang w:eastAsia="en-CA"/>
              </w:rPr>
              <w:t>Compared to other types of investment, REI is stable and secure.</w:t>
            </w:r>
          </w:p>
          <w:p w:rsidR="00561BCF" w:rsidRPr="006375F4" w:rsidRDefault="00561BCF" w:rsidP="00561BCF">
            <w:pPr>
              <w:numPr>
                <w:ilvl w:val="0"/>
                <w:numId w:val="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Appreciation of real estate increases annually. </w:t>
            </w:r>
            <w:r w:rsidRPr="006375F4">
              <w:rPr>
                <w:rFonts w:ascii="Times New Roman" w:eastAsia="Times New Roman" w:hAnsi="Times New Roman" w:cs="Times New Roman"/>
                <w:sz w:val="24"/>
                <w:szCs w:val="24"/>
                <w:lang w:eastAsia="en-CA"/>
              </w:rPr>
              <w:t xml:space="preserve">The Canadian Real Estate Association found that residential real estate is increasing in value an average of 5% per year. </w:t>
            </w:r>
          </w:p>
          <w:p w:rsidR="00561BCF" w:rsidRPr="006375F4" w:rsidRDefault="00561BCF" w:rsidP="00561BCF">
            <w:pPr>
              <w:numPr>
                <w:ilvl w:val="0"/>
                <w:numId w:val="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Down payment is accessible.</w:t>
            </w:r>
            <w:r w:rsidRPr="006375F4">
              <w:rPr>
                <w:rFonts w:ascii="Times New Roman" w:eastAsia="Times New Roman" w:hAnsi="Times New Roman" w:cs="Times New Roman"/>
                <w:sz w:val="24"/>
                <w:szCs w:val="24"/>
                <w:lang w:eastAsia="en-CA"/>
              </w:rPr>
              <w:t xml:space="preserve"> REIs are of low risk because the property is used as security; therefore, financing can cover up to 90% of the amount needed to buy a property. </w:t>
            </w:r>
          </w:p>
          <w:p w:rsidR="00561BCF" w:rsidRPr="006375F4" w:rsidRDefault="00561BCF" w:rsidP="00561BCF">
            <w:pPr>
              <w:numPr>
                <w:ilvl w:val="0"/>
                <w:numId w:val="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Net return will most likely be high.</w:t>
            </w:r>
            <w:r w:rsidRPr="006375F4">
              <w:rPr>
                <w:rFonts w:ascii="Times New Roman" w:eastAsia="Times New Roman" w:hAnsi="Times New Roman" w:cs="Times New Roman"/>
                <w:sz w:val="24"/>
                <w:szCs w:val="24"/>
                <w:lang w:eastAsia="en-CA"/>
              </w:rPr>
              <w:t xml:space="preserve"> Real estate value increases with time. Thus, by the time you sell a property you will be receiving more than what you spent. </w:t>
            </w:r>
          </w:p>
          <w:p w:rsidR="00561BCF" w:rsidRPr="006375F4" w:rsidRDefault="00561BCF" w:rsidP="00561BCF">
            <w:pPr>
              <w:numPr>
                <w:ilvl w:val="0"/>
                <w:numId w:val="1"/>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Tax rates are beneficial to REI.</w:t>
            </w:r>
            <w:r w:rsidRPr="006375F4">
              <w:rPr>
                <w:rFonts w:ascii="Times New Roman" w:eastAsia="Times New Roman" w:hAnsi="Times New Roman" w:cs="Times New Roman"/>
                <w:sz w:val="24"/>
                <w:szCs w:val="24"/>
                <w:lang w:eastAsia="en-CA"/>
              </w:rPr>
              <w:t xml:space="preserve"> Canadian laws allow contributors several advantages that go from tax-free to tax savings on capital gains. </w:t>
            </w:r>
          </w:p>
          <w:p w:rsidR="00561BCF" w:rsidRPr="006375F4" w:rsidRDefault="00561BCF" w:rsidP="00561BCF">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REI builds up on equity. </w:t>
            </w:r>
            <w:r w:rsidRPr="006375F4">
              <w:rPr>
                <w:rFonts w:ascii="Times New Roman" w:eastAsia="Times New Roman" w:hAnsi="Times New Roman" w:cs="Times New Roman"/>
                <w:sz w:val="24"/>
                <w:szCs w:val="24"/>
                <w:lang w:eastAsia="en-CA"/>
              </w:rPr>
              <w:t xml:space="preserve">Payments on mortgage mean acquiring equity, the part of the property that becomes yours, and that is clear of debts. </w:t>
            </w:r>
          </w:p>
        </w:tc>
        <w:tc>
          <w:tcPr>
            <w:tcW w:w="5100" w:type="dxa"/>
            <w:tcBorders>
              <w:top w:val="outset" w:sz="6" w:space="0" w:color="auto"/>
              <w:left w:val="outset" w:sz="6" w:space="0" w:color="auto"/>
              <w:bottom w:val="outset" w:sz="6" w:space="0" w:color="auto"/>
              <w:right w:val="outset" w:sz="6" w:space="0" w:color="auto"/>
            </w:tcBorders>
            <w:hideMark/>
          </w:tcPr>
          <w:p w:rsidR="00561BCF" w:rsidRPr="006375F4" w:rsidRDefault="00561BCF" w:rsidP="00561BCF">
            <w:pPr>
              <w:numPr>
                <w:ilvl w:val="0"/>
                <w:numId w:val="2"/>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Basic knowledge is essential to make sound decisions. </w:t>
            </w:r>
            <w:r w:rsidRPr="006375F4">
              <w:rPr>
                <w:rFonts w:ascii="Times New Roman" w:eastAsia="Times New Roman" w:hAnsi="Times New Roman" w:cs="Times New Roman"/>
                <w:sz w:val="24"/>
                <w:szCs w:val="24"/>
                <w:lang w:eastAsia="en-CA"/>
              </w:rPr>
              <w:t>Although some REIs do not require that you be an expert on real estate, you will need to allocate time to research and planning to reduce investment risks and ensure the expected outcomes.</w:t>
            </w:r>
          </w:p>
          <w:p w:rsidR="00561BCF" w:rsidRPr="006375F4" w:rsidRDefault="00561BCF" w:rsidP="00561BCF">
            <w:pPr>
              <w:numPr>
                <w:ilvl w:val="0"/>
                <w:numId w:val="2"/>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Cash is not available immediately. </w:t>
            </w:r>
            <w:r w:rsidRPr="006375F4">
              <w:rPr>
                <w:rFonts w:ascii="Times New Roman" w:eastAsia="Times New Roman" w:hAnsi="Times New Roman" w:cs="Times New Roman"/>
                <w:sz w:val="24"/>
                <w:szCs w:val="24"/>
                <w:lang w:eastAsia="en-CA"/>
              </w:rPr>
              <w:t>Despite having</w:t>
            </w:r>
            <w:r w:rsidRPr="006375F4">
              <w:rPr>
                <w:rFonts w:ascii="Times New Roman" w:eastAsia="Times New Roman" w:hAnsi="Times New Roman" w:cs="Times New Roman"/>
                <w:b/>
                <w:bCs/>
                <w:sz w:val="24"/>
                <w:szCs w:val="24"/>
                <w:lang w:eastAsia="en-CA"/>
              </w:rPr>
              <w:t xml:space="preserve"> </w:t>
            </w:r>
            <w:r w:rsidRPr="006375F4">
              <w:rPr>
                <w:rFonts w:ascii="Times New Roman" w:eastAsia="Times New Roman" w:hAnsi="Times New Roman" w:cs="Times New Roman"/>
                <w:sz w:val="24"/>
                <w:szCs w:val="24"/>
                <w:lang w:eastAsia="en-CA"/>
              </w:rPr>
              <w:t>a big real estate investment, you will need to find a buyer or borrower to turn your investment into cash and this process might take some time.</w:t>
            </w:r>
          </w:p>
          <w:p w:rsidR="00561BCF" w:rsidRPr="006375F4" w:rsidRDefault="00561BCF" w:rsidP="00561BCF">
            <w:pPr>
              <w:numPr>
                <w:ilvl w:val="0"/>
                <w:numId w:val="2"/>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REI is a long-term investment. </w:t>
            </w:r>
            <w:r w:rsidRPr="006375F4">
              <w:rPr>
                <w:rFonts w:ascii="Times New Roman" w:eastAsia="Times New Roman" w:hAnsi="Times New Roman" w:cs="Times New Roman"/>
                <w:sz w:val="24"/>
                <w:szCs w:val="24"/>
                <w:lang w:eastAsia="en-CA"/>
              </w:rPr>
              <w:t xml:space="preserve">You might have to wait 5 to 10 years before selling the property to see the expected return. </w:t>
            </w:r>
          </w:p>
          <w:p w:rsidR="00561BCF" w:rsidRPr="006375F4" w:rsidRDefault="00561BCF" w:rsidP="00561BCF">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b/>
                <w:bCs/>
                <w:sz w:val="24"/>
                <w:szCs w:val="24"/>
                <w:lang w:eastAsia="en-CA"/>
              </w:rPr>
              <w:t xml:space="preserve">Advice from experts is necessary. </w:t>
            </w:r>
            <w:r w:rsidRPr="006375F4">
              <w:rPr>
                <w:rFonts w:ascii="Times New Roman" w:eastAsia="Times New Roman" w:hAnsi="Times New Roman" w:cs="Times New Roman"/>
                <w:sz w:val="24"/>
                <w:szCs w:val="24"/>
                <w:lang w:eastAsia="en-CA"/>
              </w:rPr>
              <w:t xml:space="preserve">Suggestions from legal, accounting, insurance, and real estate experts will help you plan to reach your REI objectives and avoid any potential problem that any investment might involve. </w:t>
            </w:r>
          </w:p>
        </w:tc>
      </w:tr>
    </w:tbl>
    <w:p w:rsidR="00561BCF" w:rsidRPr="006375F4" w:rsidRDefault="00561BCF" w:rsidP="00561BCF">
      <w:pPr>
        <w:spacing w:after="240" w:line="240" w:lineRule="auto"/>
        <w:rPr>
          <w:rFonts w:ascii="Times New Roman" w:eastAsia="Times New Roman" w:hAnsi="Times New Roman" w:cs="Times New Roman"/>
          <w:sz w:val="24"/>
          <w:szCs w:val="24"/>
          <w:lang w:eastAsia="en-CA"/>
        </w:rPr>
      </w:pPr>
    </w:p>
    <w:p w:rsidR="00561BCF" w:rsidRPr="006375F4" w:rsidRDefault="00561BCF" w:rsidP="00561BC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4: Major Participants in the Real Estate Investment Process</w:t>
      </w:r>
    </w:p>
    <w:p w:rsidR="00561BCF" w:rsidRPr="006375F4" w:rsidRDefault="00561BCF" w:rsidP="00561BCF">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Listen to your professor's introduction to this topic (video length 00:11:10)</w:t>
      </w:r>
    </w:p>
    <w:p w:rsidR="00561BCF" w:rsidRPr="006375F4" w:rsidRDefault="00561BCF" w:rsidP="00561BCF">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81965" cy="440690"/>
            <wp:effectExtent l="19050" t="0" r="0" b="0"/>
            <wp:docPr id="5" name="Picture 5"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deo Icon"/>
                    <pic:cNvPicPr>
                      <a:picLocks noChangeAspect="1" noChangeArrowheads="1"/>
                    </pic:cNvPicPr>
                  </pic:nvPicPr>
                  <pic:blipFill>
                    <a:blip r:embed="rId7" cstate="print"/>
                    <a:srcRect/>
                    <a:stretch>
                      <a:fillRect/>
                    </a:stretch>
                  </pic:blipFill>
                  <pic:spPr bwMode="auto">
                    <a:xfrm>
                      <a:off x="0" y="0"/>
                      <a:ext cx="481965" cy="440690"/>
                    </a:xfrm>
                    <a:prstGeom prst="rect">
                      <a:avLst/>
                    </a:prstGeom>
                    <a:noFill/>
                    <a:ln w="9525">
                      <a:noFill/>
                      <a:miter lim="800000"/>
                      <a:headEnd/>
                      <a:tailEnd/>
                    </a:ln>
                  </pic:spPr>
                </pic:pic>
              </a:graphicData>
            </a:graphic>
          </wp:inline>
        </w:drawing>
      </w:r>
    </w:p>
    <w:p w:rsidR="00561BCF" w:rsidRPr="006375F4" w:rsidRDefault="00561BCF" w:rsidP="00561BCF">
      <w:pPr>
        <w:spacing w:after="240" w:line="240" w:lineRule="auto"/>
        <w:rPr>
          <w:rFonts w:ascii="Times New Roman" w:eastAsia="Times New Roman" w:hAnsi="Times New Roman" w:cs="Times New Roman"/>
          <w:sz w:val="24"/>
          <w:szCs w:val="24"/>
          <w:lang w:eastAsia="en-CA"/>
        </w:rPr>
      </w:pPr>
    </w:p>
    <w:p w:rsidR="00561BCF" w:rsidRPr="006375F4" w:rsidRDefault="00561BCF" w:rsidP="00561BC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5: Major Participants in the Real Estate Investment Process</w:t>
      </w:r>
    </w:p>
    <w:p w:rsidR="00561BCF" w:rsidRPr="006375F4" w:rsidRDefault="00561BCF" w:rsidP="00561BCF">
      <w:pPr>
        <w:spacing w:after="0" w:line="240" w:lineRule="auto"/>
        <w:rPr>
          <w:rFonts w:ascii="Times New Roman" w:eastAsia="Times New Roman" w:hAnsi="Times New Roman" w:cs="Times New Roman"/>
          <w:sz w:val="24"/>
          <w:szCs w:val="24"/>
          <w:lang w:eastAsia="en-CA"/>
        </w:rPr>
      </w:pPr>
    </w:p>
    <w:p w:rsidR="00561BCF" w:rsidRPr="006375F4" w:rsidRDefault="00561BCF" w:rsidP="00561BCF">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6" name="Picture 6"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Mannadiar"/>
                    <pic:cNvPicPr>
                      <a:picLocks noChangeAspect="1" noChangeArrowheads="1"/>
                    </pic:cNvPicPr>
                  </pic:nvPicPr>
                  <pic:blipFill>
                    <a:blip r:embed="rId6" cstate="print"/>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561BCF" w:rsidRPr="006375F4" w:rsidRDefault="00561BCF" w:rsidP="00561BC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561BCF" w:rsidRPr="006375F4" w:rsidRDefault="00561BCF" w:rsidP="00561BCF">
      <w:pPr>
        <w:spacing w:after="0" w:line="240" w:lineRule="auto"/>
        <w:rPr>
          <w:rFonts w:ascii="Times New Roman" w:eastAsia="Times New Roman" w:hAnsi="Times New Roman" w:cs="Times New Roman"/>
          <w:sz w:val="24"/>
          <w:szCs w:val="24"/>
          <w:lang w:eastAsia="en-CA"/>
        </w:rPr>
      </w:pPr>
    </w:p>
    <w:p w:rsidR="00561BCF" w:rsidRPr="006375F4" w:rsidRDefault="00561BCF" w:rsidP="00561BCF">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5602605" cy="4962525"/>
            <wp:effectExtent l="19050" t="0" r="0" b="0"/>
            <wp:docPr id="7" name="Picture 7" descr="particip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ticipants"/>
                    <pic:cNvPicPr>
                      <a:picLocks noChangeAspect="1" noChangeArrowheads="1"/>
                    </pic:cNvPicPr>
                  </pic:nvPicPr>
                  <pic:blipFill>
                    <a:blip r:embed="rId8" cstate="print"/>
                    <a:srcRect/>
                    <a:stretch>
                      <a:fillRect/>
                    </a:stretch>
                  </pic:blipFill>
                  <pic:spPr bwMode="auto">
                    <a:xfrm>
                      <a:off x="0" y="0"/>
                      <a:ext cx="5602605" cy="4962525"/>
                    </a:xfrm>
                    <a:prstGeom prst="rect">
                      <a:avLst/>
                    </a:prstGeom>
                    <a:noFill/>
                    <a:ln w="9525">
                      <a:noFill/>
                      <a:miter lim="800000"/>
                      <a:headEnd/>
                      <a:tailEnd/>
                    </a:ln>
                  </pic:spPr>
                </pic:pic>
              </a:graphicData>
            </a:graphic>
          </wp:inline>
        </w:drawing>
      </w:r>
    </w:p>
    <w:p w:rsidR="00561BCF" w:rsidRPr="006375F4" w:rsidRDefault="00561BCF" w:rsidP="00561BCF">
      <w:pPr>
        <w:spacing w:after="240" w:line="240" w:lineRule="auto"/>
        <w:rPr>
          <w:rFonts w:ascii="Times New Roman" w:eastAsia="Times New Roman" w:hAnsi="Times New Roman" w:cs="Times New Roman"/>
          <w:sz w:val="24"/>
          <w:szCs w:val="24"/>
          <w:lang w:eastAsia="en-CA"/>
        </w:rPr>
      </w:pPr>
    </w:p>
    <w:p w:rsidR="00561BCF" w:rsidRPr="006375F4" w:rsidRDefault="00561BCF" w:rsidP="00561BC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6: Major Participants in REI </w:t>
      </w:r>
    </w:p>
    <w:p w:rsidR="00561BCF" w:rsidRPr="006375F4" w:rsidRDefault="00561BCF" w:rsidP="00561BCF">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51855" cy="523875"/>
            <wp:effectExtent l="19050" t="0" r="0" b="0"/>
            <wp:docPr id="8" name="Picture 8" descr="equity_inve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quity_investor"/>
                    <pic:cNvPicPr>
                      <a:picLocks noChangeAspect="1" noChangeArrowheads="1"/>
                    </pic:cNvPicPr>
                  </pic:nvPicPr>
                  <pic:blipFill>
                    <a:blip r:embed="rId9" cstate="print"/>
                    <a:srcRect/>
                    <a:stretch>
                      <a:fillRect/>
                    </a:stretch>
                  </pic:blipFill>
                  <pic:spPr bwMode="auto">
                    <a:xfrm>
                      <a:off x="0" y="0"/>
                      <a:ext cx="5951855" cy="523875"/>
                    </a:xfrm>
                    <a:prstGeom prst="rect">
                      <a:avLst/>
                    </a:prstGeom>
                    <a:noFill/>
                    <a:ln w="9525">
                      <a:noFill/>
                      <a:miter lim="800000"/>
                      <a:headEnd/>
                      <a:tailEnd/>
                    </a:ln>
                  </pic:spPr>
                </pic:pic>
              </a:graphicData>
            </a:graphic>
          </wp:inline>
        </w:drawing>
      </w:r>
    </w:p>
    <w:p w:rsidR="00561BCF" w:rsidRPr="006375F4" w:rsidRDefault="00561BCF" w:rsidP="00561BCF">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Equity Investor</w:t>
      </w:r>
    </w:p>
    <w:p w:rsidR="00561BCF" w:rsidRPr="006375F4" w:rsidRDefault="00561BCF" w:rsidP="00561BCF">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1147445" cy="1712595"/>
            <wp:effectExtent l="19050" t="0" r="0" b="0"/>
            <wp:docPr id="9" name="Picture 9"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nant"/>
                    <pic:cNvPicPr>
                      <a:picLocks noChangeAspect="1" noChangeArrowheads="1"/>
                    </pic:cNvPicPr>
                  </pic:nvPicPr>
                  <pic:blipFill>
                    <a:blip r:embed="rId10" cstate="print"/>
                    <a:srcRect/>
                    <a:stretch>
                      <a:fillRect/>
                    </a:stretch>
                  </pic:blipFill>
                  <pic:spPr bwMode="auto">
                    <a:xfrm>
                      <a:off x="0" y="0"/>
                      <a:ext cx="1147445" cy="1712595"/>
                    </a:xfrm>
                    <a:prstGeom prst="rect">
                      <a:avLst/>
                    </a:prstGeom>
                    <a:noFill/>
                    <a:ln w="9525">
                      <a:noFill/>
                      <a:miter lim="800000"/>
                      <a:headEnd/>
                      <a:tailEnd/>
                    </a:ln>
                  </pic:spPr>
                </pic:pic>
              </a:graphicData>
            </a:graphic>
          </wp:inline>
        </w:drawing>
      </w:r>
    </w:p>
    <w:p w:rsidR="00561BCF" w:rsidRPr="006375F4" w:rsidRDefault="00561BCF" w:rsidP="00561BCF">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equity investor or landlord is the person or entity that acquires the real estate investment. The equity investor assesses how the REI will be taken, as an individual or as an organization. To make a decision, the equity investor will analyse questions such as how the organization will be created and how marketable it is, who the partners will be, how each partner will share liabilities, and what the taxation opportunities and constraints for the specific organization are.</w:t>
      </w:r>
    </w:p>
    <w:p w:rsidR="00561BCF" w:rsidRPr="006375F4" w:rsidRDefault="00561BCF" w:rsidP="00561BCF">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most common forms of equity investors are:</w:t>
      </w:r>
    </w:p>
    <w:p w:rsidR="00561BCF" w:rsidRPr="006375F4" w:rsidRDefault="00561BCF" w:rsidP="00561BCF">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Individual</w:t>
      </w:r>
    </w:p>
    <w:p w:rsidR="00561BCF" w:rsidRPr="006375F4" w:rsidRDefault="00561BCF" w:rsidP="00561BCF">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Corporation</w:t>
      </w:r>
    </w:p>
    <w:p w:rsidR="00561BCF" w:rsidRPr="006375F4" w:rsidRDefault="00561BCF" w:rsidP="00561BCF">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Partnership</w:t>
      </w:r>
    </w:p>
    <w:p w:rsidR="00561BCF" w:rsidRPr="006375F4" w:rsidRDefault="00561BCF" w:rsidP="00561BCF">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Real Estate Investment Trust (REIT)</w:t>
      </w:r>
    </w:p>
    <w:p w:rsidR="00561BCF" w:rsidRPr="006375F4" w:rsidRDefault="00561BCF" w:rsidP="00561BCF">
      <w:pPr>
        <w:spacing w:after="240" w:line="240" w:lineRule="auto"/>
        <w:rPr>
          <w:rFonts w:ascii="Times New Roman" w:eastAsia="Times New Roman" w:hAnsi="Times New Roman" w:cs="Times New Roman"/>
          <w:sz w:val="24"/>
          <w:szCs w:val="24"/>
          <w:lang w:eastAsia="en-CA"/>
        </w:rPr>
      </w:pPr>
    </w:p>
    <w:p w:rsidR="00561BCF" w:rsidRPr="006375F4" w:rsidRDefault="00561BCF" w:rsidP="00561BC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7: Major Participants in REI (Cont'd) </w:t>
      </w:r>
    </w:p>
    <w:p w:rsidR="00561BCF" w:rsidRPr="006375F4" w:rsidRDefault="00561BCF" w:rsidP="00561BCF">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51855" cy="523875"/>
            <wp:effectExtent l="19050" t="0" r="0" b="0"/>
            <wp:docPr id="10" name="Picture 10" descr="mortgage_le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rtgage_lenders"/>
                    <pic:cNvPicPr>
                      <a:picLocks noChangeAspect="1" noChangeArrowheads="1"/>
                    </pic:cNvPicPr>
                  </pic:nvPicPr>
                  <pic:blipFill>
                    <a:blip r:embed="rId11" cstate="print"/>
                    <a:srcRect/>
                    <a:stretch>
                      <a:fillRect/>
                    </a:stretch>
                  </pic:blipFill>
                  <pic:spPr bwMode="auto">
                    <a:xfrm>
                      <a:off x="0" y="0"/>
                      <a:ext cx="5951855" cy="523875"/>
                    </a:xfrm>
                    <a:prstGeom prst="rect">
                      <a:avLst/>
                    </a:prstGeom>
                    <a:noFill/>
                    <a:ln w="9525">
                      <a:noFill/>
                      <a:miter lim="800000"/>
                      <a:headEnd/>
                      <a:tailEnd/>
                    </a:ln>
                  </pic:spPr>
                </pic:pic>
              </a:graphicData>
            </a:graphic>
          </wp:inline>
        </w:drawing>
      </w:r>
    </w:p>
    <w:p w:rsidR="00561BCF" w:rsidRPr="006375F4" w:rsidRDefault="00561BCF" w:rsidP="00561BCF">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Mortgage Lender</w:t>
      </w:r>
    </w:p>
    <w:p w:rsidR="00561BCF" w:rsidRPr="006375F4" w:rsidRDefault="00561BCF" w:rsidP="00561BCF">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1147445" cy="1430020"/>
            <wp:effectExtent l="19050" t="0" r="0" b="0"/>
            <wp:docPr id="11" name="Picture 11" descr="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gnature"/>
                    <pic:cNvPicPr>
                      <a:picLocks noChangeAspect="1" noChangeArrowheads="1"/>
                    </pic:cNvPicPr>
                  </pic:nvPicPr>
                  <pic:blipFill>
                    <a:blip r:embed="rId12" cstate="print"/>
                    <a:srcRect/>
                    <a:stretch>
                      <a:fillRect/>
                    </a:stretch>
                  </pic:blipFill>
                  <pic:spPr bwMode="auto">
                    <a:xfrm>
                      <a:off x="0" y="0"/>
                      <a:ext cx="1147445" cy="1430020"/>
                    </a:xfrm>
                    <a:prstGeom prst="rect">
                      <a:avLst/>
                    </a:prstGeom>
                    <a:noFill/>
                    <a:ln w="9525">
                      <a:noFill/>
                      <a:miter lim="800000"/>
                      <a:headEnd/>
                      <a:tailEnd/>
                    </a:ln>
                  </pic:spPr>
                </pic:pic>
              </a:graphicData>
            </a:graphic>
          </wp:inline>
        </w:drawing>
      </w:r>
    </w:p>
    <w:p w:rsidR="00561BCF" w:rsidRPr="006375F4" w:rsidRDefault="00561BCF" w:rsidP="00561BCF">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mortgage lender is the entity that lends the money that the equity investor needs to start a real estate investment. Among the most common mortgage lenders are:</w:t>
      </w:r>
    </w:p>
    <w:p w:rsidR="00561BCF" w:rsidRPr="006375F4" w:rsidRDefault="00561BCF" w:rsidP="00561BCF">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lastRenderedPageBreak/>
        <w:t>Another individual</w:t>
      </w:r>
    </w:p>
    <w:p w:rsidR="00561BCF" w:rsidRPr="006375F4" w:rsidRDefault="00561BCF" w:rsidP="00561BCF">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Insurance companies</w:t>
      </w:r>
    </w:p>
    <w:p w:rsidR="00561BCF" w:rsidRPr="006375F4" w:rsidRDefault="00561BCF" w:rsidP="00561BCF">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Banks</w:t>
      </w:r>
    </w:p>
    <w:p w:rsidR="00561BCF" w:rsidRPr="006375F4" w:rsidRDefault="00561BCF" w:rsidP="00561BCF">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Real Estate Investment Trust (REIT)</w:t>
      </w:r>
    </w:p>
    <w:p w:rsidR="00561BCF" w:rsidRPr="006375F4" w:rsidRDefault="00561BCF" w:rsidP="00561BCF">
      <w:pPr>
        <w:spacing w:after="240" w:line="240" w:lineRule="auto"/>
        <w:rPr>
          <w:rFonts w:ascii="Times New Roman" w:eastAsia="Times New Roman" w:hAnsi="Times New Roman" w:cs="Times New Roman"/>
          <w:sz w:val="24"/>
          <w:szCs w:val="24"/>
          <w:lang w:eastAsia="en-CA"/>
        </w:rPr>
      </w:pPr>
    </w:p>
    <w:p w:rsidR="00561BCF" w:rsidRPr="006375F4" w:rsidRDefault="00561BCF" w:rsidP="00561BC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8: Major Participants in REI (Cont'd) </w:t>
      </w:r>
    </w:p>
    <w:p w:rsidR="00561BCF" w:rsidRPr="006375F4" w:rsidRDefault="00561BCF" w:rsidP="00561BCF">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51855" cy="523875"/>
            <wp:effectExtent l="19050" t="0" r="0" b="0"/>
            <wp:docPr id="12" name="Picture 12"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nant"/>
                    <pic:cNvPicPr>
                      <a:picLocks noChangeAspect="1" noChangeArrowheads="1"/>
                    </pic:cNvPicPr>
                  </pic:nvPicPr>
                  <pic:blipFill>
                    <a:blip r:embed="rId13" cstate="print"/>
                    <a:srcRect/>
                    <a:stretch>
                      <a:fillRect/>
                    </a:stretch>
                  </pic:blipFill>
                  <pic:spPr bwMode="auto">
                    <a:xfrm>
                      <a:off x="0" y="0"/>
                      <a:ext cx="5951855" cy="523875"/>
                    </a:xfrm>
                    <a:prstGeom prst="rect">
                      <a:avLst/>
                    </a:prstGeom>
                    <a:noFill/>
                    <a:ln w="9525">
                      <a:noFill/>
                      <a:miter lim="800000"/>
                      <a:headEnd/>
                      <a:tailEnd/>
                    </a:ln>
                  </pic:spPr>
                </pic:pic>
              </a:graphicData>
            </a:graphic>
          </wp:inline>
        </w:drawing>
      </w:r>
    </w:p>
    <w:p w:rsidR="00561BCF" w:rsidRPr="006375F4" w:rsidRDefault="00561BCF" w:rsidP="00561BCF">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Tenant</w:t>
      </w:r>
    </w:p>
    <w:p w:rsidR="00561BCF" w:rsidRPr="006375F4" w:rsidRDefault="00561BCF" w:rsidP="00561BCF">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136140" cy="1430020"/>
            <wp:effectExtent l="19050" t="0" r="0" b="0"/>
            <wp:docPr id="13" name="Picture 13" descr="T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nant"/>
                    <pic:cNvPicPr>
                      <a:picLocks noChangeAspect="1" noChangeArrowheads="1"/>
                    </pic:cNvPicPr>
                  </pic:nvPicPr>
                  <pic:blipFill>
                    <a:blip r:embed="rId14" cstate="print"/>
                    <a:srcRect/>
                    <a:stretch>
                      <a:fillRect/>
                    </a:stretch>
                  </pic:blipFill>
                  <pic:spPr bwMode="auto">
                    <a:xfrm>
                      <a:off x="0" y="0"/>
                      <a:ext cx="2136140" cy="1430020"/>
                    </a:xfrm>
                    <a:prstGeom prst="rect">
                      <a:avLst/>
                    </a:prstGeom>
                    <a:noFill/>
                    <a:ln w="9525">
                      <a:noFill/>
                      <a:miter lim="800000"/>
                      <a:headEnd/>
                      <a:tailEnd/>
                    </a:ln>
                  </pic:spPr>
                </pic:pic>
              </a:graphicData>
            </a:graphic>
          </wp:inline>
        </w:drawing>
      </w:r>
    </w:p>
    <w:p w:rsidR="00561BCF" w:rsidRPr="006375F4" w:rsidRDefault="00561BCF" w:rsidP="00561BCF">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tenant is the one who buys the right of possession and use of a property from the equity investor. The object of possession could be used for different purposes:</w:t>
      </w:r>
    </w:p>
    <w:p w:rsidR="00561BCF" w:rsidRPr="006375F4" w:rsidRDefault="00561BCF" w:rsidP="00561BCF">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Residential</w:t>
      </w:r>
    </w:p>
    <w:p w:rsidR="00561BCF" w:rsidRPr="006375F4" w:rsidRDefault="00561BCF" w:rsidP="00561BCF">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Commercial</w:t>
      </w:r>
    </w:p>
    <w:p w:rsidR="00561BCF" w:rsidRPr="006375F4" w:rsidRDefault="00561BCF" w:rsidP="00561BCF">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Industrial</w:t>
      </w:r>
    </w:p>
    <w:p w:rsidR="00561BCF" w:rsidRPr="006375F4" w:rsidRDefault="00561BCF" w:rsidP="00561BCF">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Special purposes (theatre, sports, reception halls, etc.)</w:t>
      </w:r>
    </w:p>
    <w:p w:rsidR="00561BCF" w:rsidRPr="006375F4" w:rsidRDefault="00561BCF" w:rsidP="00561BCF">
      <w:pPr>
        <w:spacing w:after="240" w:line="240" w:lineRule="auto"/>
        <w:rPr>
          <w:rFonts w:ascii="Times New Roman" w:eastAsia="Times New Roman" w:hAnsi="Times New Roman" w:cs="Times New Roman"/>
          <w:sz w:val="24"/>
          <w:szCs w:val="24"/>
          <w:lang w:eastAsia="en-CA"/>
        </w:rPr>
      </w:pPr>
    </w:p>
    <w:p w:rsidR="00561BCF" w:rsidRPr="006375F4" w:rsidRDefault="00561BCF" w:rsidP="00561BC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 xml:space="preserve">Slide 9: Major Participants in REI (Cont'd) </w:t>
      </w:r>
    </w:p>
    <w:p w:rsidR="00561BCF" w:rsidRPr="006375F4" w:rsidRDefault="00561BCF" w:rsidP="00561BCF">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951855" cy="523875"/>
            <wp:effectExtent l="19050" t="0" r="0" b="0"/>
            <wp:docPr id="14" name="Picture 14" descr="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overnment"/>
                    <pic:cNvPicPr>
                      <a:picLocks noChangeAspect="1" noChangeArrowheads="1"/>
                    </pic:cNvPicPr>
                  </pic:nvPicPr>
                  <pic:blipFill>
                    <a:blip r:embed="rId15" cstate="print"/>
                    <a:srcRect/>
                    <a:stretch>
                      <a:fillRect/>
                    </a:stretch>
                  </pic:blipFill>
                  <pic:spPr bwMode="auto">
                    <a:xfrm>
                      <a:off x="0" y="0"/>
                      <a:ext cx="5951855" cy="523875"/>
                    </a:xfrm>
                    <a:prstGeom prst="rect">
                      <a:avLst/>
                    </a:prstGeom>
                    <a:noFill/>
                    <a:ln w="9525">
                      <a:noFill/>
                      <a:miter lim="800000"/>
                      <a:headEnd/>
                      <a:tailEnd/>
                    </a:ln>
                  </pic:spPr>
                </pic:pic>
              </a:graphicData>
            </a:graphic>
          </wp:inline>
        </w:drawing>
      </w:r>
    </w:p>
    <w:p w:rsidR="00561BCF" w:rsidRPr="006375F4" w:rsidRDefault="00561BCF" w:rsidP="00561BCF">
      <w:pPr>
        <w:spacing w:before="100" w:beforeAutospacing="1" w:after="100" w:afterAutospacing="1" w:line="240" w:lineRule="auto"/>
        <w:outlineLvl w:val="3"/>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Government</w:t>
      </w:r>
    </w:p>
    <w:p w:rsidR="00561BCF" w:rsidRPr="006375F4" w:rsidRDefault="00561BCF" w:rsidP="00561BCF">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2144395" cy="1412875"/>
            <wp:effectExtent l="19050" t="0" r="8255" b="0"/>
            <wp:docPr id="15" name="Picture 15" descr="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overnment"/>
                    <pic:cNvPicPr>
                      <a:picLocks noChangeAspect="1" noChangeArrowheads="1"/>
                    </pic:cNvPicPr>
                  </pic:nvPicPr>
                  <pic:blipFill>
                    <a:blip r:embed="rId16" cstate="print"/>
                    <a:srcRect/>
                    <a:stretch>
                      <a:fillRect/>
                    </a:stretch>
                  </pic:blipFill>
                  <pic:spPr bwMode="auto">
                    <a:xfrm>
                      <a:off x="0" y="0"/>
                      <a:ext cx="2144395" cy="1412875"/>
                    </a:xfrm>
                    <a:prstGeom prst="rect">
                      <a:avLst/>
                    </a:prstGeom>
                    <a:noFill/>
                    <a:ln w="9525">
                      <a:noFill/>
                      <a:miter lim="800000"/>
                      <a:headEnd/>
                      <a:tailEnd/>
                    </a:ln>
                  </pic:spPr>
                </pic:pic>
              </a:graphicData>
            </a:graphic>
          </wp:inline>
        </w:drawing>
      </w:r>
    </w:p>
    <w:p w:rsidR="00561BCF" w:rsidRPr="006375F4" w:rsidRDefault="00561BCF" w:rsidP="00561BCF">
      <w:p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government regulates the relationship between participants, and restricts participants with the imposition of taxes. Government participation in the process takes place on different levels:</w:t>
      </w:r>
    </w:p>
    <w:p w:rsidR="00561BCF" w:rsidRPr="006375F4" w:rsidRDefault="00561BCF" w:rsidP="00561BC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Federal</w:t>
      </w:r>
    </w:p>
    <w:p w:rsidR="00561BCF" w:rsidRPr="006375F4" w:rsidRDefault="00561BCF" w:rsidP="00561BC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Provincial</w:t>
      </w:r>
    </w:p>
    <w:p w:rsidR="00561BCF" w:rsidRPr="006375F4" w:rsidRDefault="00561BCF" w:rsidP="00561BCF">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Municipal</w:t>
      </w:r>
    </w:p>
    <w:p w:rsidR="00561BCF" w:rsidRPr="006375F4" w:rsidRDefault="00561BCF" w:rsidP="00561BCF">
      <w:pPr>
        <w:spacing w:after="240" w:line="240" w:lineRule="auto"/>
        <w:rPr>
          <w:rFonts w:ascii="Times New Roman" w:eastAsia="Times New Roman" w:hAnsi="Times New Roman" w:cs="Times New Roman"/>
          <w:sz w:val="24"/>
          <w:szCs w:val="24"/>
          <w:lang w:eastAsia="en-CA"/>
        </w:rPr>
      </w:pPr>
    </w:p>
    <w:p w:rsidR="00561BCF" w:rsidRPr="006375F4" w:rsidRDefault="00561BCF" w:rsidP="00561BC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10: Relationship between REI Participants</w:t>
      </w:r>
    </w:p>
    <w:p w:rsidR="00561BCF" w:rsidRPr="006375F4" w:rsidRDefault="00561BCF" w:rsidP="00561BCF">
      <w:pPr>
        <w:spacing w:after="0" w:line="240" w:lineRule="auto"/>
        <w:rPr>
          <w:rFonts w:ascii="Times New Roman" w:eastAsia="Times New Roman" w:hAnsi="Times New Roman" w:cs="Times New Roman"/>
          <w:sz w:val="24"/>
          <w:szCs w:val="24"/>
          <w:lang w:eastAsia="en-CA"/>
        </w:rPr>
      </w:pPr>
    </w:p>
    <w:p w:rsidR="00561BCF" w:rsidRPr="006375F4" w:rsidRDefault="00561BCF" w:rsidP="00561BCF">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30910" cy="664845"/>
            <wp:effectExtent l="19050" t="0" r="2540" b="0"/>
            <wp:docPr id="16" name="Picture 16" descr="JMannad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Mannadiar"/>
                    <pic:cNvPicPr>
                      <a:picLocks noChangeAspect="1" noChangeArrowheads="1"/>
                    </pic:cNvPicPr>
                  </pic:nvPicPr>
                  <pic:blipFill>
                    <a:blip r:embed="rId6" cstate="print"/>
                    <a:srcRect/>
                    <a:stretch>
                      <a:fillRect/>
                    </a:stretch>
                  </pic:blipFill>
                  <pic:spPr bwMode="auto">
                    <a:xfrm>
                      <a:off x="0" y="0"/>
                      <a:ext cx="930910" cy="664845"/>
                    </a:xfrm>
                    <a:prstGeom prst="rect">
                      <a:avLst/>
                    </a:prstGeom>
                    <a:noFill/>
                    <a:ln w="9525">
                      <a:noFill/>
                      <a:miter lim="800000"/>
                      <a:headEnd/>
                      <a:tailEnd/>
                    </a:ln>
                  </pic:spPr>
                </pic:pic>
              </a:graphicData>
            </a:graphic>
          </wp:inline>
        </w:drawing>
      </w:r>
    </w:p>
    <w:p w:rsidR="00561BCF" w:rsidRPr="006375F4" w:rsidRDefault="00561BCF" w:rsidP="00561BC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Professor's Comments (audio)</w:t>
      </w:r>
    </w:p>
    <w:p w:rsidR="00561BCF" w:rsidRPr="006375F4" w:rsidRDefault="00561BCF" w:rsidP="00561BCF">
      <w:pPr>
        <w:spacing w:after="0" w:line="240" w:lineRule="auto"/>
        <w:rPr>
          <w:rFonts w:ascii="Times New Roman" w:eastAsia="Times New Roman" w:hAnsi="Times New Roman" w:cs="Times New Roman"/>
          <w:sz w:val="24"/>
          <w:szCs w:val="24"/>
          <w:lang w:eastAsia="en-CA"/>
        </w:rPr>
      </w:pPr>
    </w:p>
    <w:p w:rsidR="00561BCF" w:rsidRPr="006375F4" w:rsidRDefault="00561BCF" w:rsidP="00561BCF">
      <w:pPr>
        <w:spacing w:before="100" w:beforeAutospacing="1" w:after="100" w:afterAutospacing="1"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5602605" cy="4962525"/>
            <wp:effectExtent l="19050" t="0" r="0" b="0"/>
            <wp:docPr id="17" name="Picture 17" descr="participants_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rticipants_relationships"/>
                    <pic:cNvPicPr>
                      <a:picLocks noChangeAspect="1" noChangeArrowheads="1"/>
                    </pic:cNvPicPr>
                  </pic:nvPicPr>
                  <pic:blipFill>
                    <a:blip r:embed="rId17" cstate="print"/>
                    <a:srcRect/>
                    <a:stretch>
                      <a:fillRect/>
                    </a:stretch>
                  </pic:blipFill>
                  <pic:spPr bwMode="auto">
                    <a:xfrm>
                      <a:off x="0" y="0"/>
                      <a:ext cx="5602605" cy="4962525"/>
                    </a:xfrm>
                    <a:prstGeom prst="rect">
                      <a:avLst/>
                    </a:prstGeom>
                    <a:noFill/>
                    <a:ln w="9525">
                      <a:noFill/>
                      <a:miter lim="800000"/>
                      <a:headEnd/>
                      <a:tailEnd/>
                    </a:ln>
                  </pic:spPr>
                </pic:pic>
              </a:graphicData>
            </a:graphic>
          </wp:inline>
        </w:drawing>
      </w:r>
    </w:p>
    <w:p w:rsidR="00561BCF" w:rsidRPr="006375F4" w:rsidRDefault="00561BCF" w:rsidP="00561BCF">
      <w:pPr>
        <w:spacing w:after="240" w:line="240" w:lineRule="auto"/>
        <w:rPr>
          <w:rFonts w:ascii="Times New Roman" w:eastAsia="Times New Roman" w:hAnsi="Times New Roman" w:cs="Times New Roman"/>
          <w:sz w:val="24"/>
          <w:szCs w:val="24"/>
          <w:lang w:eastAsia="en-CA"/>
        </w:rPr>
      </w:pPr>
    </w:p>
    <w:p w:rsidR="00561BCF" w:rsidRPr="006375F4" w:rsidRDefault="00561BCF" w:rsidP="00561BCF">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6375F4">
        <w:rPr>
          <w:rFonts w:ascii="Times New Roman" w:eastAsia="Times New Roman" w:hAnsi="Times New Roman" w:cs="Times New Roman"/>
          <w:b/>
          <w:bCs/>
          <w:sz w:val="27"/>
          <w:szCs w:val="27"/>
          <w:lang w:eastAsia="en-CA"/>
        </w:rPr>
        <w:t>Slide 11: Relationship between REI Participants</w:t>
      </w:r>
    </w:p>
    <w:tbl>
      <w:tblPr>
        <w:tblW w:w="0" w:type="auto"/>
        <w:tblCellSpacing w:w="0" w:type="dxa"/>
        <w:tblCellMar>
          <w:left w:w="0" w:type="dxa"/>
          <w:right w:w="0" w:type="dxa"/>
        </w:tblCellMar>
        <w:tblLook w:val="04A0"/>
      </w:tblPr>
      <w:tblGrid>
        <w:gridCol w:w="1852"/>
        <w:gridCol w:w="7508"/>
      </w:tblGrid>
      <w:tr w:rsidR="00561BCF" w:rsidRPr="006375F4" w:rsidTr="00D11096">
        <w:trPr>
          <w:tblCellSpacing w:w="0" w:type="dxa"/>
        </w:trPr>
        <w:tc>
          <w:tcPr>
            <w:tcW w:w="0" w:type="auto"/>
            <w:vAlign w:val="center"/>
            <w:hideMark/>
          </w:tcPr>
          <w:p w:rsidR="00561BCF" w:rsidRPr="006375F4" w:rsidRDefault="00561BCF" w:rsidP="00D11096">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Participants</w:t>
            </w:r>
          </w:p>
        </w:tc>
        <w:tc>
          <w:tcPr>
            <w:tcW w:w="0" w:type="auto"/>
            <w:vAlign w:val="center"/>
            <w:hideMark/>
          </w:tcPr>
          <w:p w:rsidR="00561BCF" w:rsidRPr="006375F4" w:rsidRDefault="00561BCF" w:rsidP="00D11096">
            <w:pPr>
              <w:spacing w:after="0" w:line="240" w:lineRule="auto"/>
              <w:jc w:val="center"/>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Interrelation</w:t>
            </w:r>
          </w:p>
        </w:tc>
      </w:tr>
      <w:tr w:rsidR="00561BCF" w:rsidRPr="006375F4" w:rsidTr="00D11096">
        <w:trPr>
          <w:tblCellSpacing w:w="0" w:type="dxa"/>
        </w:trPr>
        <w:tc>
          <w:tcPr>
            <w:tcW w:w="0" w:type="auto"/>
            <w:vAlign w:val="center"/>
            <w:hideMark/>
          </w:tcPr>
          <w:p w:rsidR="00561BCF" w:rsidRPr="006375F4" w:rsidRDefault="00561BCF" w:rsidP="00D11096">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Equity Investor and the Mortgage Lender</w:t>
            </w:r>
          </w:p>
        </w:tc>
        <w:tc>
          <w:tcPr>
            <w:tcW w:w="0" w:type="auto"/>
            <w:vAlign w:val="center"/>
            <w:hideMark/>
          </w:tcPr>
          <w:p w:rsidR="00561BCF" w:rsidRPr="006375F4" w:rsidRDefault="00561BCF" w:rsidP="00561BCF">
            <w:pPr>
              <w:numPr>
                <w:ilvl w:val="0"/>
                <w:numId w:val="7"/>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equity investor borrows money from the mortgage lender.</w:t>
            </w:r>
          </w:p>
          <w:p w:rsidR="00561BCF" w:rsidRPr="006375F4" w:rsidRDefault="00561BCF" w:rsidP="00561BCF">
            <w:pPr>
              <w:numPr>
                <w:ilvl w:val="0"/>
                <w:numId w:val="7"/>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As a provider of debt service, the mortgage lender expects mortgage payments that will include the principal plus the interest generated through time.</w:t>
            </w:r>
          </w:p>
          <w:p w:rsidR="00561BCF" w:rsidRPr="006375F4" w:rsidRDefault="00561BCF" w:rsidP="00561BCF">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The mortgage lender gets a mortgage document as collateral; this document specifies the method of payment, which could consist of the repayment of interest first and principal at the end, or the repayment of both principal and interest in each amortization. </w:t>
            </w:r>
          </w:p>
        </w:tc>
      </w:tr>
      <w:tr w:rsidR="00561BCF" w:rsidRPr="006375F4" w:rsidTr="00D11096">
        <w:trPr>
          <w:tblCellSpacing w:w="0" w:type="dxa"/>
        </w:trPr>
        <w:tc>
          <w:tcPr>
            <w:tcW w:w="0" w:type="auto"/>
            <w:vAlign w:val="center"/>
            <w:hideMark/>
          </w:tcPr>
          <w:p w:rsidR="00561BCF" w:rsidRPr="006375F4" w:rsidRDefault="00561BCF" w:rsidP="00D11096">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lastRenderedPageBreak/>
              <w:t>Equity Investor and Tenant</w:t>
            </w:r>
          </w:p>
        </w:tc>
        <w:tc>
          <w:tcPr>
            <w:tcW w:w="0" w:type="auto"/>
            <w:vAlign w:val="center"/>
            <w:hideMark/>
          </w:tcPr>
          <w:p w:rsidR="00561BCF" w:rsidRPr="006375F4" w:rsidRDefault="00561BCF" w:rsidP="00561BCF">
            <w:pPr>
              <w:numPr>
                <w:ilvl w:val="0"/>
                <w:numId w:val="8"/>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equity investor leases the right to use a property to the tenant.</w:t>
            </w:r>
          </w:p>
          <w:p w:rsidR="00561BCF" w:rsidRPr="006375F4" w:rsidRDefault="00561BCF" w:rsidP="00561BCF">
            <w:pPr>
              <w:numPr>
                <w:ilvl w:val="0"/>
                <w:numId w:val="8"/>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tenant pays rent to the equity investor to use the property.</w:t>
            </w:r>
          </w:p>
          <w:p w:rsidR="00561BCF" w:rsidRPr="006375F4" w:rsidRDefault="00561BCF" w:rsidP="00561BCF">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lease document establishes the attributions and restrictions involved in using the property.</w:t>
            </w:r>
          </w:p>
        </w:tc>
      </w:tr>
      <w:tr w:rsidR="00561BCF" w:rsidRPr="006375F4" w:rsidTr="00D11096">
        <w:trPr>
          <w:tblCellSpacing w:w="0" w:type="dxa"/>
        </w:trPr>
        <w:tc>
          <w:tcPr>
            <w:tcW w:w="0" w:type="auto"/>
            <w:vAlign w:val="center"/>
            <w:hideMark/>
          </w:tcPr>
          <w:p w:rsidR="00561BCF" w:rsidRPr="006375F4" w:rsidRDefault="00561BCF" w:rsidP="00D11096">
            <w:pPr>
              <w:spacing w:after="0" w:line="240" w:lineRule="auto"/>
              <w:rPr>
                <w:rFonts w:ascii="Times New Roman" w:eastAsia="Times New Roman" w:hAnsi="Times New Roman" w:cs="Times New Roman"/>
                <w:b/>
                <w:bCs/>
                <w:sz w:val="24"/>
                <w:szCs w:val="24"/>
                <w:lang w:eastAsia="en-CA"/>
              </w:rPr>
            </w:pPr>
            <w:r w:rsidRPr="006375F4">
              <w:rPr>
                <w:rFonts w:ascii="Times New Roman" w:eastAsia="Times New Roman" w:hAnsi="Times New Roman" w:cs="Times New Roman"/>
                <w:b/>
                <w:bCs/>
                <w:sz w:val="24"/>
                <w:szCs w:val="24"/>
                <w:lang w:eastAsia="en-CA"/>
              </w:rPr>
              <w:t>Equity Investor and Government</w:t>
            </w:r>
          </w:p>
        </w:tc>
        <w:tc>
          <w:tcPr>
            <w:tcW w:w="0" w:type="auto"/>
            <w:vAlign w:val="center"/>
            <w:hideMark/>
          </w:tcPr>
          <w:p w:rsidR="00561BCF" w:rsidRPr="006375F4" w:rsidRDefault="00561BCF" w:rsidP="00561BCF">
            <w:pPr>
              <w:numPr>
                <w:ilvl w:val="0"/>
                <w:numId w:val="9"/>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equity investor pays taxes to the government.</w:t>
            </w:r>
          </w:p>
          <w:p w:rsidR="00561BCF" w:rsidRPr="006375F4" w:rsidRDefault="00561BCF" w:rsidP="00561BCF">
            <w:pPr>
              <w:numPr>
                <w:ilvl w:val="0"/>
                <w:numId w:val="9"/>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The government sets restrictions on owners, such as police power, taxation and eminent domain.</w:t>
            </w:r>
          </w:p>
          <w:p w:rsidR="00561BCF" w:rsidRPr="006375F4" w:rsidRDefault="00561BCF" w:rsidP="00561BCF">
            <w:pPr>
              <w:numPr>
                <w:ilvl w:val="0"/>
                <w:numId w:val="9"/>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Police may enter a property without requiring the owner's permission.</w:t>
            </w:r>
          </w:p>
          <w:p w:rsidR="00561BCF" w:rsidRPr="006375F4" w:rsidRDefault="00561BCF" w:rsidP="00561BCF">
            <w:pPr>
              <w:numPr>
                <w:ilvl w:val="0"/>
                <w:numId w:val="9"/>
              </w:numPr>
              <w:spacing w:before="100" w:beforeAutospacing="1" w:after="240"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Most taxes are on income and capital gains. The taxes on income are for money made on rents received from tenants. The taxes on capital gains (wealth) are for gains for selling a property. The government also requests a "welcome tax" from the buyer of a property and a "goodbye tax" from the seller of a property. </w:t>
            </w:r>
          </w:p>
          <w:p w:rsidR="00561BCF" w:rsidRPr="006375F4" w:rsidRDefault="00561BCF" w:rsidP="00561BCF">
            <w:pPr>
              <w:numPr>
                <w:ilvl w:val="0"/>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6375F4">
              <w:rPr>
                <w:rFonts w:ascii="Times New Roman" w:eastAsia="Times New Roman" w:hAnsi="Times New Roman" w:cs="Times New Roman"/>
                <w:sz w:val="24"/>
                <w:szCs w:val="24"/>
                <w:lang w:eastAsia="en-CA"/>
              </w:rPr>
              <w:t xml:space="preserve">Appealing to eminent domain, the government may expropriate private property at its fair market value in order to create something that favours society in general. </w:t>
            </w:r>
          </w:p>
        </w:tc>
      </w:tr>
    </w:tbl>
    <w:p w:rsidR="009057E3" w:rsidRDefault="009057E3"/>
    <w:sectPr w:rsidR="009057E3" w:rsidSect="009057E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96671"/>
    <w:multiLevelType w:val="multilevel"/>
    <w:tmpl w:val="8F90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7C7175"/>
    <w:multiLevelType w:val="multilevel"/>
    <w:tmpl w:val="D3006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533562"/>
    <w:multiLevelType w:val="multilevel"/>
    <w:tmpl w:val="41AE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F300A5"/>
    <w:multiLevelType w:val="multilevel"/>
    <w:tmpl w:val="EDA80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4565B06"/>
    <w:multiLevelType w:val="multilevel"/>
    <w:tmpl w:val="6B9EE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992E6E"/>
    <w:multiLevelType w:val="multilevel"/>
    <w:tmpl w:val="CD1A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5B17A3D"/>
    <w:multiLevelType w:val="multilevel"/>
    <w:tmpl w:val="A4D0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F75A18"/>
    <w:multiLevelType w:val="multilevel"/>
    <w:tmpl w:val="2BE0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4942C3D"/>
    <w:multiLevelType w:val="multilevel"/>
    <w:tmpl w:val="B1F48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8"/>
  </w:num>
  <w:num w:numId="5">
    <w:abstractNumId w:val="1"/>
  </w:num>
  <w:num w:numId="6">
    <w:abstractNumId w:val="6"/>
  </w:num>
  <w:num w:numId="7">
    <w:abstractNumId w:val="2"/>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561BCF"/>
    <w:rsid w:val="00561BCF"/>
    <w:rsid w:val="009057E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B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1B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1B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gif"/><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953</Words>
  <Characters>5434</Characters>
  <Application>Microsoft Office Word</Application>
  <DocSecurity>0</DocSecurity>
  <Lines>45</Lines>
  <Paragraphs>12</Paragraphs>
  <ScaleCrop>false</ScaleCrop>
  <Company>Toshiba</Company>
  <LinksUpToDate>false</LinksUpToDate>
  <CharactersWithSpaces>6375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Jasbir</dc:creator>
  <cp:lastModifiedBy>Jasbir</cp:lastModifiedBy>
  <cp:revision>1</cp:revision>
  <dcterms:created xsi:type="dcterms:W3CDTF">2015-08-26T00:42:00Z</dcterms:created>
  <dcterms:modified xsi:type="dcterms:W3CDTF">2015-08-26T00:43:00Z</dcterms:modified>
</cp:coreProperties>
</file>