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62" w:line="317" w:lineRule="atLeast"/>
        <w:rPr>
          <w:b/>
          <w:color w:val="000000"/>
          <w:sz w:val="22"/>
        </w:rPr>
      </w:pPr>
      <w:bookmarkStart w:id="0" w:name="_GoBack"/>
      <w:bookmarkEnd w:id="0"/>
      <w:r>
        <w:rPr>
          <w:b/>
          <w:color w:val="000000"/>
          <w:sz w:val="22"/>
        </w:rPr>
        <w:t>BRIEF EXERCISE 23-6</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r>
        <w:rPr>
          <w:b/>
          <w:color w:val="000000"/>
          <w:sz w:val="22"/>
        </w:rPr>
        <w:t>Total revenues:</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r>
        <w:rPr>
          <w:b/>
          <w:color w:val="000000"/>
          <w:sz w:val="22"/>
        </w:rPr>
        <w:t xml:space="preserve">     $600 + $650 + $250 + $375 + $225 + $200 + $700 = $3,000</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r>
        <w:rPr>
          <w:b/>
          <w:color w:val="000000"/>
          <w:sz w:val="22"/>
        </w:rPr>
        <w:t>Revenue threshold:</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r>
        <w:rPr>
          <w:b/>
          <w:color w:val="000000"/>
          <w:sz w:val="22"/>
        </w:rPr>
        <w:t xml:space="preserve">     $3,000 X 10% = $300</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jc w:val="both"/>
        <w:rPr>
          <w:b/>
          <w:color w:val="000000"/>
          <w:sz w:val="22"/>
        </w:rPr>
      </w:pPr>
      <w:r>
        <w:rPr>
          <w:b/>
          <w:color w:val="000000"/>
          <w:sz w:val="22"/>
        </w:rPr>
        <w:t>Therefore, Gamma, Kennedy, Red Moon, and Nuhn meet this test and are reportable segments under IFRS.</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62" w:line="317" w:lineRule="atLeast"/>
        <w:jc w:val="both"/>
        <w:rPr>
          <w:b/>
          <w:color w:val="000000"/>
          <w:sz w:val="22"/>
        </w:rPr>
      </w:pPr>
      <w:r>
        <w:rPr>
          <w:b/>
          <w:color w:val="000000"/>
          <w:sz w:val="22"/>
        </w:rPr>
        <w:t xml:space="preserve">Note that the revenue employed in this calculation includes both sales to external customers and intersegment sales or transfers, not consolidated revenue. </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62" w:line="317" w:lineRule="atLeast"/>
        <w:jc w:val="both"/>
        <w:rPr>
          <w:b/>
          <w:color w:val="000000"/>
          <w:sz w:val="22"/>
        </w:rPr>
      </w:pPr>
      <w:r>
        <w:rPr>
          <w:b/>
          <w:color w:val="000000"/>
          <w:sz w:val="22"/>
        </w:rPr>
        <w:t>Segmented reporting is not required under ASPE.</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62" w:line="317" w:lineRule="atLeast"/>
        <w:rPr>
          <w:b/>
          <w:color w:val="000000"/>
          <w:sz w:val="22"/>
        </w:rPr>
      </w:pP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62" w:line="317" w:lineRule="atLeast"/>
        <w:rPr>
          <w:b/>
          <w:color w:val="000000"/>
          <w:sz w:val="22"/>
        </w:rPr>
      </w:pPr>
      <w:r>
        <w:rPr>
          <w:b/>
          <w:color w:val="000000"/>
          <w:sz w:val="22"/>
        </w:rPr>
        <w:t>BRIEF EXERCISE 23-10</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p>
    <w:p w:rsidR="001D09AD" w:rsidRDefault="001D09AD">
      <w:pPr>
        <w:tabs>
          <w:tab w:val="left" w:pos="1083"/>
          <w:tab w:val="right" w:pos="9360"/>
        </w:tabs>
        <w:spacing w:line="317" w:lineRule="atLeast"/>
        <w:jc w:val="both"/>
        <w:rPr>
          <w:b/>
          <w:color w:val="000000"/>
          <w:sz w:val="22"/>
        </w:rPr>
      </w:pPr>
      <w:r>
        <w:rPr>
          <w:b/>
          <w:color w:val="000000"/>
          <w:sz w:val="22"/>
        </w:rPr>
        <w:t xml:space="preserve">Seasonality affects interim reports when wide fluctuations in profits occur because off-season sales do not absorb the company’s fixed costs. These costs often tend to remain fairly constant regardless of sales or production. </w:t>
      </w:r>
    </w:p>
    <w:p w:rsidR="001D09AD" w:rsidRDefault="001D09AD">
      <w:pPr>
        <w:tabs>
          <w:tab w:val="left" w:pos="1083"/>
          <w:tab w:val="right" w:pos="9360"/>
        </w:tabs>
        <w:spacing w:line="317" w:lineRule="atLeast"/>
        <w:jc w:val="both"/>
        <w:rPr>
          <w:b/>
          <w:color w:val="000000"/>
          <w:sz w:val="22"/>
        </w:rPr>
      </w:pPr>
    </w:p>
    <w:p w:rsidR="001D09AD" w:rsidRDefault="001D09AD">
      <w:pPr>
        <w:tabs>
          <w:tab w:val="left" w:pos="1083"/>
          <w:tab w:val="right" w:pos="9360"/>
        </w:tabs>
        <w:spacing w:line="317" w:lineRule="atLeast"/>
        <w:jc w:val="both"/>
        <w:rPr>
          <w:b/>
          <w:color w:val="000000"/>
          <w:sz w:val="22"/>
        </w:rPr>
      </w:pPr>
      <w:r>
        <w:rPr>
          <w:b/>
          <w:color w:val="000000"/>
          <w:sz w:val="22"/>
        </w:rPr>
        <w:t>Revenues and expenses must be recognized and accrued when they are earned or incurred according to IFRS. Companies can only defer recognition of costs or revenues when it is appropriate to do so. Deferral of costs is not appropriate unless the costs meet the definition of an asset. (Note: ASPE does not contain any guidance for reporting segmented information or interim reporting.)</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jc w:val="both"/>
        <w:rPr>
          <w:b/>
          <w:color w:val="000000"/>
          <w:sz w:val="22"/>
        </w:rPr>
      </w:pPr>
      <w:r>
        <w:rPr>
          <w:b/>
          <w:color w:val="000000"/>
          <w:sz w:val="22"/>
        </w:rPr>
        <w:t xml:space="preserve">It is difficult to completely overcome the problem of seasonality, but disclosure as to the nature of the seasonality factors that face the business and the pattern of revenues and expenses (including comparative data) may help users of the financial statements to understand whether seasonality is an adverse issue in any particular case. </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jc w:val="both"/>
        <w:rPr>
          <w:b/>
          <w:color w:val="000000"/>
          <w:sz w:val="22"/>
        </w:rPr>
      </w:pP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jc w:val="both"/>
        <w:rPr>
          <w:b/>
          <w:color w:val="000000"/>
          <w:sz w:val="22"/>
        </w:rPr>
      </w:pPr>
      <w:r>
        <w:rPr>
          <w:b/>
          <w:color w:val="000000"/>
          <w:sz w:val="22"/>
        </w:rPr>
        <w:t xml:space="preserve">The effects of seasonality would be the same for companies following IFRS and ASPE, except that the level of disclosure would be enhanced in the case of those using IFRS. </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jc w:val="both"/>
        <w:rPr>
          <w:b/>
          <w:color w:val="000000"/>
          <w:sz w:val="22"/>
        </w:rPr>
      </w:pP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r>
        <w:rPr>
          <w:b/>
          <w:color w:val="000000"/>
          <w:sz w:val="22"/>
        </w:rPr>
        <w:t xml:space="preserve">EXERCISE 23-2 </w:t>
      </w:r>
    </w:p>
    <w:p w:rsidR="001D09AD" w:rsidRDefault="001D09AD">
      <w:pPr>
        <w:tabs>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spacing w:line="317" w:lineRule="atLeast"/>
        <w:ind w:left="601" w:hanging="600"/>
        <w:jc w:val="both"/>
        <w:rPr>
          <w:b/>
          <w:color w:val="000000"/>
          <w:sz w:val="22"/>
        </w:rPr>
      </w:pPr>
      <w:r>
        <w:rPr>
          <w:b/>
          <w:color w:val="000000"/>
          <w:sz w:val="22"/>
        </w:rPr>
        <w:t>(a)</w:t>
      </w:r>
      <w:r>
        <w:rPr>
          <w:b/>
          <w:color w:val="000000"/>
          <w:sz w:val="22"/>
        </w:rPr>
        <w:tab/>
        <w:t>Revenue test: 10% X $398,000 = $39,800.</w:t>
      </w:r>
    </w:p>
    <w:p w:rsidR="001D09AD" w:rsidRDefault="001D09AD">
      <w:pPr>
        <w:tabs>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spacing w:line="317" w:lineRule="atLeast"/>
        <w:ind w:left="601" w:hanging="600"/>
        <w:jc w:val="both"/>
        <w:rPr>
          <w:b/>
          <w:color w:val="000000"/>
          <w:sz w:val="22"/>
        </w:rPr>
      </w:pPr>
      <w:r>
        <w:rPr>
          <w:b/>
          <w:color w:val="000000"/>
          <w:sz w:val="22"/>
        </w:rPr>
        <w:tab/>
        <w:t>Segments A ($140,000), B ($40,000) and D ($190,000) meet this test.</w:t>
      </w:r>
    </w:p>
    <w:p w:rsidR="001D09AD" w:rsidRDefault="001D09AD">
      <w:pPr>
        <w:tabs>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spacing w:line="317" w:lineRule="atLeast"/>
        <w:ind w:left="601" w:hanging="600"/>
        <w:jc w:val="both"/>
        <w:rPr>
          <w:b/>
          <w:color w:val="000000"/>
          <w:sz w:val="22"/>
        </w:rPr>
      </w:pPr>
    </w:p>
    <w:p w:rsidR="001D09AD" w:rsidRDefault="001D09AD">
      <w:pPr>
        <w:tabs>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spacing w:line="317" w:lineRule="atLeast"/>
        <w:ind w:left="601" w:hanging="600"/>
        <w:jc w:val="both"/>
        <w:rPr>
          <w:b/>
          <w:color w:val="000000"/>
          <w:sz w:val="22"/>
        </w:rPr>
      </w:pPr>
      <w:r>
        <w:rPr>
          <w:b/>
          <w:color w:val="000000"/>
          <w:sz w:val="22"/>
        </w:rPr>
        <w:t>(b)</w:t>
      </w:r>
      <w:r>
        <w:rPr>
          <w:b/>
          <w:color w:val="000000"/>
          <w:sz w:val="22"/>
        </w:rPr>
        <w:tab/>
        <w:t>Operating profit test:</w:t>
      </w:r>
      <w:r>
        <w:rPr>
          <w:b/>
          <w:color w:val="000000"/>
          <w:sz w:val="22"/>
        </w:rPr>
        <w:t> </w:t>
      </w:r>
    </w:p>
    <w:p w:rsidR="001D09AD" w:rsidRDefault="001D09AD">
      <w:pPr>
        <w:tabs>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spacing w:line="317" w:lineRule="atLeast"/>
        <w:ind w:left="601" w:hanging="600"/>
        <w:jc w:val="both"/>
        <w:rPr>
          <w:b/>
          <w:color w:val="000000"/>
          <w:sz w:val="22"/>
        </w:rPr>
      </w:pPr>
      <w:r>
        <w:rPr>
          <w:b/>
          <w:color w:val="000000"/>
          <w:sz w:val="22"/>
        </w:rPr>
        <w:tab/>
        <w:t>10% X ($25,000 + $8,000 + $500) = $3,350.</w:t>
      </w:r>
    </w:p>
    <w:p w:rsidR="001D09AD" w:rsidRDefault="001D09AD">
      <w:pPr>
        <w:tabs>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spacing w:line="317" w:lineRule="atLeast"/>
        <w:ind w:left="601" w:hanging="600"/>
        <w:jc w:val="both"/>
        <w:rPr>
          <w:b/>
          <w:color w:val="000000"/>
          <w:sz w:val="22"/>
        </w:rPr>
      </w:pPr>
      <w:r>
        <w:rPr>
          <w:b/>
          <w:color w:val="000000"/>
          <w:sz w:val="22"/>
        </w:rPr>
        <w:tab/>
        <w:t>Segments A ($25,000), B ($8,000), and C ($5,000 absolute amount) meet this test.</w:t>
      </w:r>
    </w:p>
    <w:p w:rsidR="001D09AD" w:rsidRDefault="001D09AD">
      <w:pPr>
        <w:tabs>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spacing w:line="317" w:lineRule="atLeast"/>
        <w:ind w:left="601" w:hanging="600"/>
        <w:jc w:val="both"/>
        <w:rPr>
          <w:b/>
          <w:color w:val="000000"/>
          <w:sz w:val="22"/>
        </w:rPr>
      </w:pPr>
      <w:r>
        <w:rPr>
          <w:b/>
          <w:color w:val="000000"/>
          <w:sz w:val="22"/>
        </w:rPr>
        <w:lastRenderedPageBreak/>
        <w:t>(c)</w:t>
      </w:r>
      <w:r>
        <w:rPr>
          <w:b/>
          <w:color w:val="000000"/>
          <w:sz w:val="22"/>
        </w:rPr>
        <w:tab/>
        <w:t>Identifiable assets test:</w:t>
      </w:r>
      <w:r>
        <w:rPr>
          <w:b/>
          <w:color w:val="000000"/>
          <w:sz w:val="22"/>
        </w:rPr>
        <w:t> </w:t>
      </w:r>
      <w:r>
        <w:rPr>
          <w:b/>
          <w:color w:val="000000"/>
          <w:sz w:val="22"/>
        </w:rPr>
        <w:t>10% X $351,000 = $35,100.</w:t>
      </w:r>
    </w:p>
    <w:p w:rsidR="001D09AD" w:rsidRDefault="001D09AD">
      <w:pPr>
        <w:tabs>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spacing w:line="317" w:lineRule="atLeast"/>
        <w:ind w:left="601" w:hanging="600"/>
        <w:jc w:val="both"/>
        <w:rPr>
          <w:b/>
          <w:color w:val="000000"/>
          <w:sz w:val="22"/>
        </w:rPr>
      </w:pPr>
      <w:r>
        <w:rPr>
          <w:b/>
          <w:color w:val="000000"/>
          <w:sz w:val="22"/>
        </w:rPr>
        <w:tab/>
        <w:t>Segments A ($240,000), C ($36,000) and D ($49,000) meet this test.</w:t>
      </w:r>
    </w:p>
    <w:p w:rsidR="001D09AD" w:rsidRDefault="001D09AD">
      <w:pPr>
        <w:tabs>
          <w:tab w:val="left" w:pos="1145"/>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spacing w:line="317" w:lineRule="atLeast"/>
        <w:ind w:left="601" w:hanging="600"/>
        <w:jc w:val="both"/>
        <w:rPr>
          <w:b/>
          <w:color w:val="000000"/>
          <w:sz w:val="22"/>
        </w:rPr>
      </w:pPr>
    </w:p>
    <w:p w:rsidR="001D09AD" w:rsidRDefault="001D09AD">
      <w:pPr>
        <w:tabs>
          <w:tab w:val="left" w:pos="1145"/>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spacing w:line="317" w:lineRule="atLeast"/>
        <w:ind w:left="601" w:hanging="600"/>
        <w:jc w:val="both"/>
        <w:rPr>
          <w:b/>
          <w:color w:val="000000"/>
          <w:sz w:val="22"/>
        </w:rPr>
      </w:pPr>
    </w:p>
    <w:tbl>
      <w:tblPr>
        <w:tblW w:w="0" w:type="auto"/>
        <w:tblInd w:w="2" w:type="dxa"/>
        <w:tblLayout w:type="fixed"/>
        <w:tblCellMar>
          <w:left w:w="0" w:type="dxa"/>
          <w:right w:w="0" w:type="dxa"/>
        </w:tblCellMar>
        <w:tblLook w:val="0000" w:firstRow="0" w:lastRow="0" w:firstColumn="0" w:lastColumn="0" w:noHBand="0" w:noVBand="0"/>
      </w:tblPr>
      <w:tblGrid>
        <w:gridCol w:w="3419"/>
      </w:tblGrid>
      <w:tr w:rsidR="001D09AD">
        <w:trPr>
          <w:cantSplit/>
        </w:trPr>
        <w:tc>
          <w:tcPr>
            <w:tcW w:w="3419" w:type="dxa"/>
            <w:tcBorders>
              <w:top w:val="single" w:sz="8" w:space="0" w:color="000000"/>
              <w:left w:val="single" w:sz="8" w:space="0" w:color="000000"/>
              <w:bottom w:val="single" w:sz="8" w:space="0" w:color="000000"/>
              <w:right w:val="single" w:sz="8" w:space="0" w:color="000000"/>
            </w:tcBorders>
          </w:tcPr>
          <w:p w:rsidR="001D09AD" w:rsidRDefault="001D09AD">
            <w:pPr>
              <w:pStyle w:val="TableContents"/>
              <w:tabs>
                <w:tab w:val="left" w:pos="777"/>
                <w:tab w:val="left" w:pos="1497"/>
                <w:tab w:val="left" w:pos="2217"/>
                <w:tab w:val="left" w:pos="2937"/>
                <w:tab w:val="right" w:pos="3362"/>
              </w:tabs>
              <w:spacing w:line="317" w:lineRule="atLeast"/>
              <w:ind w:left="57" w:right="57"/>
              <w:jc w:val="center"/>
              <w:rPr>
                <w:b/>
                <w:color w:val="000000"/>
                <w:sz w:val="22"/>
              </w:rPr>
            </w:pPr>
            <w:r>
              <w:rPr>
                <w:b/>
                <w:color w:val="000000"/>
                <w:sz w:val="22"/>
              </w:rPr>
              <w:t>PROBLEM 23-1</w:t>
            </w:r>
          </w:p>
        </w:tc>
      </w:tr>
    </w:tbl>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p>
    <w:p w:rsidR="001D09AD" w:rsidRDefault="001D09AD">
      <w:pPr>
        <w:tabs>
          <w:tab w:val="left" w:pos="601"/>
          <w:tab w:val="left" w:pos="120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r>
        <w:rPr>
          <w:b/>
          <w:color w:val="000000"/>
          <w:sz w:val="22"/>
        </w:rPr>
        <w:t>(a)</w:t>
      </w:r>
      <w:r>
        <w:rPr>
          <w:b/>
          <w:color w:val="000000"/>
          <w:sz w:val="22"/>
        </w:rPr>
        <w:tab/>
        <w:t>Determination of reportable segments:</w:t>
      </w:r>
    </w:p>
    <w:p w:rsidR="001D09AD" w:rsidRDefault="001D09AD">
      <w:pPr>
        <w:tabs>
          <w:tab w:val="left" w:pos="601"/>
          <w:tab w:val="left" w:pos="120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p>
    <w:p w:rsidR="001D09AD" w:rsidRDefault="001D09AD">
      <w:pPr>
        <w:tabs>
          <w:tab w:val="left" w:pos="1809"/>
          <w:tab w:val="left" w:pos="2642"/>
          <w:tab w:val="left" w:pos="3362"/>
          <w:tab w:val="left" w:pos="4082"/>
          <w:tab w:val="left" w:pos="4802"/>
          <w:tab w:val="left" w:pos="5522"/>
          <w:tab w:val="left" w:pos="6242"/>
          <w:tab w:val="left" w:pos="6962"/>
          <w:tab w:val="left" w:pos="7682"/>
          <w:tab w:val="left" w:pos="8402"/>
          <w:tab w:val="left" w:pos="9122"/>
          <w:tab w:val="left" w:pos="9842"/>
          <w:tab w:val="right" w:pos="10562"/>
        </w:tabs>
        <w:spacing w:line="317" w:lineRule="atLeast"/>
        <w:ind w:left="1202" w:hanging="1201"/>
        <w:jc w:val="both"/>
        <w:rPr>
          <w:b/>
          <w:color w:val="000000"/>
          <w:sz w:val="22"/>
        </w:rPr>
      </w:pPr>
      <w:r>
        <w:rPr>
          <w:b/>
          <w:color w:val="000000"/>
          <w:sz w:val="22"/>
        </w:rPr>
        <w:tab/>
        <w:t>(1)</w:t>
      </w:r>
      <w:r>
        <w:rPr>
          <w:b/>
          <w:color w:val="000000"/>
          <w:sz w:val="22"/>
        </w:rPr>
        <w:tab/>
        <w:t xml:space="preserve">Revenue test: 10% X $790,000* = $79,000. </w:t>
      </w:r>
    </w:p>
    <w:p w:rsidR="001D09AD" w:rsidRDefault="001D09AD">
      <w:pPr>
        <w:tabs>
          <w:tab w:val="left" w:pos="1809"/>
          <w:tab w:val="left" w:pos="2642"/>
          <w:tab w:val="left" w:pos="3362"/>
          <w:tab w:val="left" w:pos="4082"/>
          <w:tab w:val="left" w:pos="4802"/>
          <w:tab w:val="left" w:pos="5522"/>
          <w:tab w:val="left" w:pos="6242"/>
          <w:tab w:val="left" w:pos="6962"/>
          <w:tab w:val="left" w:pos="7682"/>
          <w:tab w:val="left" w:pos="8402"/>
          <w:tab w:val="left" w:pos="9122"/>
          <w:tab w:val="left" w:pos="9842"/>
          <w:tab w:val="right" w:pos="10562"/>
        </w:tabs>
        <w:spacing w:line="317" w:lineRule="atLeast"/>
        <w:ind w:left="1202" w:hanging="1201"/>
        <w:jc w:val="both"/>
        <w:rPr>
          <w:b/>
          <w:color w:val="000000"/>
          <w:sz w:val="22"/>
        </w:rPr>
      </w:pPr>
      <w:r>
        <w:rPr>
          <w:b/>
          <w:color w:val="000000"/>
          <w:sz w:val="22"/>
        </w:rPr>
        <w:tab/>
      </w:r>
      <w:r>
        <w:rPr>
          <w:b/>
          <w:color w:val="000000"/>
          <w:sz w:val="22"/>
        </w:rPr>
        <w:tab/>
        <w:t>Segments B ($80,000) and C ($580,000) both meet this test.</w:t>
      </w:r>
    </w:p>
    <w:p w:rsidR="001D09AD" w:rsidRDefault="001D09AD">
      <w:pPr>
        <w:tabs>
          <w:tab w:val="left" w:pos="601"/>
          <w:tab w:val="left" w:pos="120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78" w:lineRule="atLeast"/>
        <w:rPr>
          <w:b/>
          <w:color w:val="000000"/>
          <w:sz w:val="22"/>
        </w:rPr>
      </w:pPr>
    </w:p>
    <w:p w:rsidR="001D09AD" w:rsidRDefault="001D09AD">
      <w:pPr>
        <w:tabs>
          <w:tab w:val="left" w:pos="601"/>
          <w:tab w:val="left" w:pos="120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r>
        <w:rPr>
          <w:b/>
          <w:color w:val="000000"/>
          <w:sz w:val="22"/>
        </w:rPr>
        <w:tab/>
      </w:r>
      <w:r>
        <w:rPr>
          <w:b/>
          <w:color w:val="000000"/>
          <w:sz w:val="22"/>
        </w:rPr>
        <w:tab/>
        <w:t>*$40,000 + $80,000 + $580,000 + $35,000 + $55,000</w:t>
      </w:r>
    </w:p>
    <w:p w:rsidR="001D09AD" w:rsidRDefault="001D09AD">
      <w:pPr>
        <w:tabs>
          <w:tab w:val="left" w:pos="601"/>
          <w:tab w:val="left" w:pos="120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p>
    <w:p w:rsidR="001D09AD" w:rsidRDefault="001D09AD">
      <w:pPr>
        <w:tabs>
          <w:tab w:val="left" w:pos="1809"/>
          <w:tab w:val="left" w:pos="2642"/>
          <w:tab w:val="left" w:pos="3362"/>
          <w:tab w:val="left" w:pos="4082"/>
          <w:tab w:val="left" w:pos="4802"/>
          <w:tab w:val="left" w:pos="5522"/>
          <w:tab w:val="left" w:pos="6242"/>
          <w:tab w:val="left" w:pos="6962"/>
          <w:tab w:val="left" w:pos="7682"/>
          <w:tab w:val="left" w:pos="8402"/>
          <w:tab w:val="left" w:pos="9122"/>
          <w:tab w:val="left" w:pos="9842"/>
          <w:tab w:val="right" w:pos="10562"/>
        </w:tabs>
        <w:spacing w:line="317" w:lineRule="atLeast"/>
        <w:ind w:left="1202" w:hanging="1201"/>
        <w:jc w:val="both"/>
        <w:rPr>
          <w:b/>
          <w:color w:val="000000"/>
          <w:sz w:val="22"/>
        </w:rPr>
      </w:pPr>
      <w:r>
        <w:rPr>
          <w:b/>
          <w:color w:val="000000"/>
          <w:sz w:val="22"/>
        </w:rPr>
        <w:tab/>
        <w:t>(2)</w:t>
      </w:r>
      <w:r>
        <w:rPr>
          <w:b/>
          <w:color w:val="000000"/>
          <w:sz w:val="22"/>
        </w:rPr>
        <w:tab/>
        <w:t xml:space="preserve">Operating profit test: </w:t>
      </w:r>
    </w:p>
    <w:p w:rsidR="001D09AD" w:rsidRDefault="001D09AD">
      <w:pPr>
        <w:tabs>
          <w:tab w:val="left" w:pos="1809"/>
          <w:tab w:val="left" w:pos="2404"/>
          <w:tab w:val="left" w:pos="2642"/>
          <w:tab w:val="left" w:pos="3362"/>
          <w:tab w:val="left" w:pos="4082"/>
          <w:tab w:val="left" w:pos="4802"/>
          <w:tab w:val="left" w:pos="5522"/>
          <w:tab w:val="left" w:pos="6242"/>
          <w:tab w:val="left" w:pos="6962"/>
          <w:tab w:val="left" w:pos="7682"/>
          <w:tab w:val="left" w:pos="8402"/>
          <w:tab w:val="left" w:pos="9122"/>
          <w:tab w:val="left" w:pos="9842"/>
          <w:tab w:val="right" w:pos="10562"/>
        </w:tabs>
        <w:spacing w:line="317" w:lineRule="atLeast"/>
        <w:ind w:left="1202" w:hanging="1201"/>
        <w:rPr>
          <w:b/>
          <w:color w:val="000000"/>
          <w:sz w:val="22"/>
        </w:rPr>
      </w:pPr>
      <w:r>
        <w:rPr>
          <w:b/>
          <w:color w:val="000000"/>
          <w:sz w:val="22"/>
        </w:rPr>
        <w:tab/>
      </w:r>
      <w:r>
        <w:rPr>
          <w:b/>
          <w:color w:val="000000"/>
          <w:sz w:val="22"/>
        </w:rPr>
        <w:tab/>
        <w:t xml:space="preserve">10% X ($11,000 + $75,000 + $4,000 + $7,000) = $9,700. </w:t>
      </w:r>
    </w:p>
    <w:p w:rsidR="001D09AD" w:rsidRDefault="001D09AD">
      <w:pPr>
        <w:tabs>
          <w:tab w:val="left" w:pos="1809"/>
          <w:tab w:val="left" w:pos="2642"/>
          <w:tab w:val="left" w:pos="3362"/>
          <w:tab w:val="left" w:pos="4082"/>
          <w:tab w:val="left" w:pos="4802"/>
          <w:tab w:val="left" w:pos="5522"/>
          <w:tab w:val="left" w:pos="6242"/>
          <w:tab w:val="left" w:pos="6962"/>
          <w:tab w:val="left" w:pos="7682"/>
          <w:tab w:val="left" w:pos="8402"/>
          <w:tab w:val="left" w:pos="9122"/>
          <w:tab w:val="left" w:pos="9842"/>
          <w:tab w:val="right" w:pos="10562"/>
        </w:tabs>
        <w:spacing w:line="317" w:lineRule="atLeast"/>
        <w:ind w:left="1202" w:hanging="1201"/>
        <w:jc w:val="both"/>
        <w:rPr>
          <w:b/>
          <w:color w:val="000000"/>
          <w:sz w:val="22"/>
        </w:rPr>
      </w:pPr>
      <w:r>
        <w:rPr>
          <w:b/>
          <w:color w:val="000000"/>
          <w:sz w:val="22"/>
        </w:rPr>
        <w:tab/>
      </w:r>
      <w:r>
        <w:rPr>
          <w:b/>
          <w:color w:val="000000"/>
          <w:sz w:val="22"/>
        </w:rPr>
        <w:tab/>
        <w:t>Segments A ($11,000), B ($10,000 absolute value), and C ($75,000) all meet this test.</w:t>
      </w:r>
    </w:p>
    <w:p w:rsidR="001D09AD" w:rsidRDefault="001D09AD">
      <w:pPr>
        <w:tabs>
          <w:tab w:val="left" w:pos="601"/>
          <w:tab w:val="left" w:pos="120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p>
    <w:p w:rsidR="001D09AD" w:rsidRDefault="001D09AD">
      <w:pPr>
        <w:tabs>
          <w:tab w:val="left" w:pos="1809"/>
          <w:tab w:val="left" w:pos="2642"/>
          <w:tab w:val="left" w:pos="3362"/>
          <w:tab w:val="left" w:pos="4082"/>
          <w:tab w:val="left" w:pos="4802"/>
          <w:tab w:val="left" w:pos="5522"/>
          <w:tab w:val="left" w:pos="6242"/>
          <w:tab w:val="left" w:pos="6962"/>
          <w:tab w:val="left" w:pos="7682"/>
          <w:tab w:val="left" w:pos="8402"/>
          <w:tab w:val="left" w:pos="9122"/>
          <w:tab w:val="left" w:pos="9842"/>
          <w:tab w:val="right" w:pos="10562"/>
        </w:tabs>
        <w:spacing w:line="317" w:lineRule="atLeast"/>
        <w:ind w:left="1202" w:hanging="1201"/>
        <w:jc w:val="both"/>
        <w:rPr>
          <w:b/>
          <w:color w:val="000000"/>
          <w:sz w:val="22"/>
        </w:rPr>
      </w:pPr>
      <w:r>
        <w:rPr>
          <w:b/>
          <w:color w:val="000000"/>
          <w:sz w:val="22"/>
        </w:rPr>
        <w:tab/>
        <w:t>(3)</w:t>
      </w:r>
      <w:r>
        <w:rPr>
          <w:b/>
          <w:color w:val="000000"/>
          <w:sz w:val="22"/>
        </w:rPr>
        <w:tab/>
        <w:t xml:space="preserve">Identifiable assets test: 10% X $710,000** = $71,000. </w:t>
      </w:r>
    </w:p>
    <w:p w:rsidR="001D09AD" w:rsidRDefault="001D09AD">
      <w:pPr>
        <w:tabs>
          <w:tab w:val="left" w:pos="1809"/>
          <w:tab w:val="left" w:pos="2642"/>
          <w:tab w:val="left" w:pos="3362"/>
          <w:tab w:val="left" w:pos="4082"/>
          <w:tab w:val="left" w:pos="4802"/>
          <w:tab w:val="left" w:pos="5522"/>
          <w:tab w:val="left" w:pos="6242"/>
          <w:tab w:val="left" w:pos="6962"/>
          <w:tab w:val="left" w:pos="7682"/>
          <w:tab w:val="left" w:pos="8402"/>
          <w:tab w:val="left" w:pos="9122"/>
          <w:tab w:val="left" w:pos="9842"/>
          <w:tab w:val="right" w:pos="10562"/>
        </w:tabs>
        <w:spacing w:line="317" w:lineRule="atLeast"/>
        <w:ind w:left="1202" w:hanging="1201"/>
        <w:jc w:val="both"/>
        <w:rPr>
          <w:b/>
          <w:color w:val="000000"/>
          <w:sz w:val="22"/>
        </w:rPr>
      </w:pPr>
      <w:r>
        <w:rPr>
          <w:b/>
          <w:color w:val="000000"/>
          <w:sz w:val="22"/>
        </w:rPr>
        <w:tab/>
      </w:r>
      <w:r>
        <w:rPr>
          <w:b/>
          <w:color w:val="000000"/>
          <w:sz w:val="22"/>
        </w:rPr>
        <w:tab/>
        <w:t>Only segment C ($500,000) meets this test.</w:t>
      </w:r>
    </w:p>
    <w:p w:rsidR="001D09AD" w:rsidRDefault="001D09AD">
      <w:pPr>
        <w:tabs>
          <w:tab w:val="left" w:pos="601"/>
          <w:tab w:val="left" w:pos="120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78" w:lineRule="atLeast"/>
        <w:rPr>
          <w:b/>
          <w:color w:val="000000"/>
          <w:sz w:val="22"/>
        </w:rPr>
      </w:pPr>
    </w:p>
    <w:p w:rsidR="001D09AD" w:rsidRDefault="001D09AD">
      <w:pPr>
        <w:tabs>
          <w:tab w:val="left" w:pos="601"/>
          <w:tab w:val="left" w:pos="120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r>
        <w:rPr>
          <w:b/>
          <w:color w:val="000000"/>
          <w:sz w:val="22"/>
        </w:rPr>
        <w:tab/>
      </w:r>
      <w:r>
        <w:rPr>
          <w:b/>
          <w:color w:val="000000"/>
          <w:sz w:val="22"/>
        </w:rPr>
        <w:tab/>
        <w:t>**$35,000 + $60,000 + $500,000 + $65,000 + $50,000</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p>
    <w:p w:rsidR="001D09AD" w:rsidRDefault="001D09AD">
      <w:pPr>
        <w:tabs>
          <w:tab w:val="left" w:pos="60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119" w:line="317" w:lineRule="atLeast"/>
        <w:rPr>
          <w:b/>
          <w:color w:val="000000"/>
          <w:sz w:val="22"/>
        </w:rPr>
      </w:pPr>
      <w:r>
        <w:rPr>
          <w:b/>
          <w:color w:val="000000"/>
          <w:sz w:val="22"/>
        </w:rPr>
        <w:t>(b)</w:t>
      </w:r>
      <w:r>
        <w:rPr>
          <w:b/>
          <w:color w:val="000000"/>
          <w:sz w:val="22"/>
        </w:rPr>
        <w:tab/>
        <w:t xml:space="preserve">Disclosures required by </w:t>
      </w:r>
      <w:r>
        <w:rPr>
          <w:b/>
          <w:i/>
          <w:color w:val="000000"/>
          <w:sz w:val="22"/>
        </w:rPr>
        <w:t>IFRS 8</w:t>
      </w:r>
      <w:r>
        <w:rPr>
          <w:b/>
          <w:color w:val="000000"/>
          <w:sz w:val="22"/>
        </w:rPr>
        <w:t>:</w:t>
      </w:r>
    </w:p>
    <w:p w:rsidR="001D09AD" w:rsidRDefault="001D09AD">
      <w:pPr>
        <w:tabs>
          <w:tab w:val="left" w:pos="60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78" w:lineRule="atLeast"/>
        <w:rPr>
          <w:b/>
          <w:color w:val="000000"/>
          <w:sz w:val="22"/>
        </w:rPr>
      </w:pPr>
    </w:p>
    <w:tbl>
      <w:tblPr>
        <w:tblW w:w="0" w:type="auto"/>
        <w:tblInd w:w="2" w:type="dxa"/>
        <w:tblLayout w:type="fixed"/>
        <w:tblCellMar>
          <w:left w:w="0" w:type="dxa"/>
          <w:right w:w="0" w:type="dxa"/>
        </w:tblCellMar>
        <w:tblLook w:val="0000" w:firstRow="0" w:lastRow="0" w:firstColumn="0" w:lastColumn="0" w:noHBand="0" w:noVBand="0"/>
      </w:tblPr>
      <w:tblGrid>
        <w:gridCol w:w="2506"/>
        <w:gridCol w:w="1037"/>
        <w:gridCol w:w="238"/>
        <w:gridCol w:w="969"/>
        <w:gridCol w:w="272"/>
        <w:gridCol w:w="1077"/>
        <w:gridCol w:w="272"/>
        <w:gridCol w:w="992"/>
        <w:gridCol w:w="266"/>
        <w:gridCol w:w="992"/>
      </w:tblGrid>
      <w:tr w:rsidR="001D09AD">
        <w:trPr>
          <w:cantSplit/>
        </w:trPr>
        <w:tc>
          <w:tcPr>
            <w:tcW w:w="2506" w:type="dxa"/>
          </w:tcPr>
          <w:p w:rsidR="001D09AD" w:rsidRDefault="001D09AD">
            <w:pPr>
              <w:pStyle w:val="TableContents"/>
              <w:tabs>
                <w:tab w:val="right" w:pos="210"/>
              </w:tabs>
              <w:spacing w:line="261" w:lineRule="atLeast"/>
              <w:ind w:left="57" w:right="57"/>
              <w:rPr>
                <w:rFonts w:ascii="Calibri" w:hAnsi="Calibri"/>
                <w:color w:val="000000"/>
                <w:sz w:val="22"/>
              </w:rPr>
            </w:pPr>
          </w:p>
        </w:tc>
        <w:tc>
          <w:tcPr>
            <w:tcW w:w="1037" w:type="dxa"/>
            <w:tcBorders>
              <w:bottom w:val="single" w:sz="8" w:space="0" w:color="000000"/>
            </w:tcBorders>
          </w:tcPr>
          <w:p w:rsidR="001D09AD" w:rsidRDefault="001D09AD">
            <w:pPr>
              <w:pStyle w:val="TableContents"/>
              <w:tabs>
                <w:tab w:val="left" w:pos="658"/>
                <w:tab w:val="left" w:pos="777"/>
                <w:tab w:val="right" w:pos="936"/>
              </w:tabs>
              <w:spacing w:line="261" w:lineRule="atLeast"/>
              <w:ind w:left="57" w:right="57"/>
              <w:jc w:val="center"/>
              <w:rPr>
                <w:b/>
                <w:color w:val="000000"/>
                <w:sz w:val="22"/>
              </w:rPr>
            </w:pPr>
            <w:r>
              <w:rPr>
                <w:b/>
                <w:color w:val="000000"/>
                <w:sz w:val="22"/>
              </w:rPr>
              <w:t>A</w:t>
            </w:r>
          </w:p>
        </w:tc>
        <w:tc>
          <w:tcPr>
            <w:tcW w:w="238" w:type="dxa"/>
          </w:tcPr>
          <w:p w:rsidR="001D09AD" w:rsidRDefault="001D09AD">
            <w:pPr>
              <w:pStyle w:val="TableContents"/>
              <w:tabs>
                <w:tab w:val="right" w:pos="210"/>
              </w:tabs>
              <w:spacing w:line="261" w:lineRule="atLeast"/>
              <w:ind w:left="57" w:right="57"/>
              <w:rPr>
                <w:rFonts w:ascii="Calibri" w:hAnsi="Calibri"/>
                <w:color w:val="000000"/>
                <w:sz w:val="22"/>
              </w:rPr>
            </w:pPr>
          </w:p>
        </w:tc>
        <w:tc>
          <w:tcPr>
            <w:tcW w:w="969" w:type="dxa"/>
            <w:tcBorders>
              <w:bottom w:val="single" w:sz="8" w:space="0" w:color="000000"/>
            </w:tcBorders>
          </w:tcPr>
          <w:p w:rsidR="001D09AD" w:rsidRDefault="001D09AD">
            <w:pPr>
              <w:pStyle w:val="TableContents"/>
              <w:tabs>
                <w:tab w:val="left" w:pos="658"/>
                <w:tab w:val="left" w:pos="777"/>
                <w:tab w:val="right" w:pos="936"/>
              </w:tabs>
              <w:spacing w:line="261" w:lineRule="atLeast"/>
              <w:ind w:left="57" w:right="57"/>
              <w:jc w:val="center"/>
              <w:rPr>
                <w:b/>
                <w:color w:val="000000"/>
                <w:sz w:val="22"/>
              </w:rPr>
            </w:pPr>
            <w:r>
              <w:rPr>
                <w:b/>
                <w:color w:val="000000"/>
                <w:sz w:val="22"/>
              </w:rPr>
              <w:t>B</w:t>
            </w:r>
          </w:p>
        </w:tc>
        <w:tc>
          <w:tcPr>
            <w:tcW w:w="272" w:type="dxa"/>
          </w:tcPr>
          <w:p w:rsidR="001D09AD" w:rsidRDefault="001D09AD">
            <w:pPr>
              <w:pStyle w:val="TableContents"/>
              <w:tabs>
                <w:tab w:val="right" w:pos="210"/>
              </w:tabs>
              <w:spacing w:line="261" w:lineRule="atLeast"/>
              <w:ind w:left="57" w:right="57"/>
              <w:rPr>
                <w:rFonts w:ascii="Calibri" w:hAnsi="Calibri"/>
                <w:color w:val="000000"/>
                <w:sz w:val="22"/>
              </w:rPr>
            </w:pPr>
          </w:p>
        </w:tc>
        <w:tc>
          <w:tcPr>
            <w:tcW w:w="1077" w:type="dxa"/>
            <w:tcBorders>
              <w:bottom w:val="single" w:sz="8" w:space="0" w:color="000000"/>
            </w:tcBorders>
          </w:tcPr>
          <w:p w:rsidR="001D09AD" w:rsidRDefault="001D09AD">
            <w:pPr>
              <w:pStyle w:val="TableContents"/>
              <w:tabs>
                <w:tab w:val="left" w:pos="658"/>
                <w:tab w:val="left" w:pos="777"/>
                <w:tab w:val="right" w:pos="936"/>
              </w:tabs>
              <w:spacing w:line="261" w:lineRule="atLeast"/>
              <w:ind w:left="57" w:right="57"/>
              <w:jc w:val="center"/>
              <w:rPr>
                <w:b/>
                <w:color w:val="000000"/>
                <w:sz w:val="22"/>
              </w:rPr>
            </w:pPr>
            <w:r>
              <w:rPr>
                <w:b/>
                <w:color w:val="000000"/>
                <w:sz w:val="22"/>
              </w:rPr>
              <w:t>C</w:t>
            </w:r>
          </w:p>
        </w:tc>
        <w:tc>
          <w:tcPr>
            <w:tcW w:w="272" w:type="dxa"/>
          </w:tcPr>
          <w:p w:rsidR="001D09AD" w:rsidRDefault="001D09AD">
            <w:pPr>
              <w:pStyle w:val="TableContents"/>
              <w:tabs>
                <w:tab w:val="right" w:pos="210"/>
              </w:tabs>
              <w:spacing w:line="261" w:lineRule="atLeast"/>
              <w:ind w:left="57" w:right="57"/>
              <w:rPr>
                <w:rFonts w:ascii="Calibri" w:hAnsi="Calibri"/>
                <w:color w:val="000000"/>
                <w:sz w:val="22"/>
              </w:rPr>
            </w:pPr>
          </w:p>
        </w:tc>
        <w:tc>
          <w:tcPr>
            <w:tcW w:w="992" w:type="dxa"/>
            <w:tcBorders>
              <w:bottom w:val="single" w:sz="8" w:space="0" w:color="000000"/>
            </w:tcBorders>
          </w:tcPr>
          <w:p w:rsidR="001D09AD" w:rsidRDefault="001D09AD">
            <w:pPr>
              <w:pStyle w:val="TableContents"/>
              <w:tabs>
                <w:tab w:val="left" w:pos="658"/>
                <w:tab w:val="left" w:pos="777"/>
                <w:tab w:val="right" w:pos="936"/>
              </w:tabs>
              <w:spacing w:line="261" w:lineRule="atLeast"/>
              <w:ind w:left="57" w:right="57"/>
              <w:jc w:val="center"/>
              <w:rPr>
                <w:b/>
                <w:color w:val="000000"/>
                <w:sz w:val="22"/>
              </w:rPr>
            </w:pPr>
            <w:r>
              <w:rPr>
                <w:b/>
                <w:color w:val="000000"/>
                <w:sz w:val="22"/>
              </w:rPr>
              <w:t>Other</w:t>
            </w:r>
          </w:p>
        </w:tc>
        <w:tc>
          <w:tcPr>
            <w:tcW w:w="266" w:type="dxa"/>
          </w:tcPr>
          <w:p w:rsidR="001D09AD" w:rsidRDefault="001D09AD">
            <w:pPr>
              <w:pStyle w:val="TableContents"/>
              <w:tabs>
                <w:tab w:val="right" w:pos="210"/>
              </w:tabs>
              <w:spacing w:line="261" w:lineRule="atLeast"/>
              <w:ind w:left="57" w:right="57"/>
              <w:rPr>
                <w:rFonts w:ascii="Calibri" w:hAnsi="Calibri"/>
                <w:color w:val="000000"/>
                <w:sz w:val="22"/>
              </w:rPr>
            </w:pPr>
          </w:p>
        </w:tc>
        <w:tc>
          <w:tcPr>
            <w:tcW w:w="992" w:type="dxa"/>
            <w:tcBorders>
              <w:bottom w:val="single" w:sz="8" w:space="0" w:color="000000"/>
            </w:tcBorders>
          </w:tcPr>
          <w:p w:rsidR="001D09AD" w:rsidRDefault="001D09AD">
            <w:pPr>
              <w:pStyle w:val="TableContents"/>
              <w:tabs>
                <w:tab w:val="left" w:pos="658"/>
                <w:tab w:val="left" w:pos="777"/>
                <w:tab w:val="right" w:pos="936"/>
              </w:tabs>
              <w:spacing w:line="261" w:lineRule="atLeast"/>
              <w:ind w:left="57" w:right="57"/>
              <w:jc w:val="center"/>
              <w:rPr>
                <w:b/>
                <w:color w:val="000000"/>
                <w:sz w:val="22"/>
              </w:rPr>
            </w:pPr>
            <w:r>
              <w:rPr>
                <w:b/>
                <w:color w:val="000000"/>
                <w:sz w:val="22"/>
              </w:rPr>
              <w:t>Totals</w:t>
            </w:r>
          </w:p>
        </w:tc>
      </w:tr>
      <w:tr w:rsidR="001D09AD">
        <w:trPr>
          <w:cantSplit/>
        </w:trPr>
        <w:tc>
          <w:tcPr>
            <w:tcW w:w="2506" w:type="dxa"/>
          </w:tcPr>
          <w:p w:rsidR="001D09AD" w:rsidRDefault="001D09AD">
            <w:pPr>
              <w:pStyle w:val="TableContents"/>
              <w:tabs>
                <w:tab w:val="right" w:pos="210"/>
              </w:tabs>
              <w:spacing w:line="62" w:lineRule="atLeast"/>
              <w:ind w:left="57" w:right="57"/>
              <w:rPr>
                <w:rFonts w:ascii="Calibri" w:hAnsi="Calibri"/>
                <w:color w:val="000000"/>
                <w:sz w:val="22"/>
              </w:rPr>
            </w:pPr>
          </w:p>
        </w:tc>
        <w:tc>
          <w:tcPr>
            <w:tcW w:w="1037" w:type="dxa"/>
          </w:tcPr>
          <w:p w:rsidR="001D09AD" w:rsidRDefault="001D09AD">
            <w:pPr>
              <w:pStyle w:val="TableContents"/>
              <w:tabs>
                <w:tab w:val="left" w:pos="658"/>
                <w:tab w:val="left" w:pos="777"/>
                <w:tab w:val="right" w:pos="936"/>
              </w:tabs>
              <w:spacing w:line="62" w:lineRule="atLeast"/>
              <w:ind w:left="57" w:right="57"/>
              <w:jc w:val="center"/>
              <w:rPr>
                <w:rFonts w:ascii="Calibri" w:hAnsi="Calibri"/>
                <w:color w:val="000000"/>
                <w:sz w:val="22"/>
              </w:rPr>
            </w:pPr>
          </w:p>
        </w:tc>
        <w:tc>
          <w:tcPr>
            <w:tcW w:w="238" w:type="dxa"/>
          </w:tcPr>
          <w:p w:rsidR="001D09AD" w:rsidRDefault="001D09AD">
            <w:pPr>
              <w:pStyle w:val="TableContents"/>
              <w:tabs>
                <w:tab w:val="right" w:pos="210"/>
              </w:tabs>
              <w:spacing w:line="62" w:lineRule="atLeast"/>
              <w:ind w:left="57" w:right="57"/>
              <w:rPr>
                <w:rFonts w:ascii="Calibri" w:hAnsi="Calibri"/>
                <w:color w:val="000000"/>
                <w:sz w:val="22"/>
              </w:rPr>
            </w:pPr>
          </w:p>
        </w:tc>
        <w:tc>
          <w:tcPr>
            <w:tcW w:w="969" w:type="dxa"/>
          </w:tcPr>
          <w:p w:rsidR="001D09AD" w:rsidRDefault="001D09AD">
            <w:pPr>
              <w:pStyle w:val="TableContents"/>
              <w:tabs>
                <w:tab w:val="left" w:pos="658"/>
                <w:tab w:val="left" w:pos="777"/>
                <w:tab w:val="right" w:pos="936"/>
              </w:tabs>
              <w:spacing w:line="62" w:lineRule="atLeast"/>
              <w:ind w:left="57" w:right="57"/>
              <w:jc w:val="center"/>
              <w:rPr>
                <w:rFonts w:ascii="Calibri" w:hAnsi="Calibri"/>
                <w:color w:val="000000"/>
                <w:sz w:val="22"/>
              </w:rPr>
            </w:pPr>
          </w:p>
        </w:tc>
        <w:tc>
          <w:tcPr>
            <w:tcW w:w="272" w:type="dxa"/>
          </w:tcPr>
          <w:p w:rsidR="001D09AD" w:rsidRDefault="001D09AD">
            <w:pPr>
              <w:pStyle w:val="TableContents"/>
              <w:tabs>
                <w:tab w:val="right" w:pos="210"/>
              </w:tabs>
              <w:spacing w:line="62" w:lineRule="atLeast"/>
              <w:ind w:left="57" w:right="57"/>
              <w:rPr>
                <w:rFonts w:ascii="Calibri" w:hAnsi="Calibri"/>
                <w:color w:val="000000"/>
                <w:sz w:val="22"/>
              </w:rPr>
            </w:pPr>
          </w:p>
        </w:tc>
        <w:tc>
          <w:tcPr>
            <w:tcW w:w="1077" w:type="dxa"/>
          </w:tcPr>
          <w:p w:rsidR="001D09AD" w:rsidRDefault="001D09AD">
            <w:pPr>
              <w:pStyle w:val="TableContents"/>
              <w:tabs>
                <w:tab w:val="left" w:pos="658"/>
                <w:tab w:val="left" w:pos="777"/>
                <w:tab w:val="right" w:pos="936"/>
              </w:tabs>
              <w:spacing w:line="62" w:lineRule="atLeast"/>
              <w:ind w:left="57" w:right="57"/>
              <w:jc w:val="center"/>
              <w:rPr>
                <w:rFonts w:ascii="Calibri" w:hAnsi="Calibri"/>
                <w:color w:val="000000"/>
                <w:sz w:val="22"/>
              </w:rPr>
            </w:pPr>
          </w:p>
        </w:tc>
        <w:tc>
          <w:tcPr>
            <w:tcW w:w="272" w:type="dxa"/>
          </w:tcPr>
          <w:p w:rsidR="001D09AD" w:rsidRDefault="001D09AD">
            <w:pPr>
              <w:pStyle w:val="TableContents"/>
              <w:tabs>
                <w:tab w:val="right" w:pos="210"/>
              </w:tabs>
              <w:spacing w:line="62" w:lineRule="atLeast"/>
              <w:ind w:left="57" w:right="57"/>
              <w:rPr>
                <w:rFonts w:ascii="Calibri" w:hAnsi="Calibri"/>
                <w:color w:val="000000"/>
                <w:sz w:val="22"/>
              </w:rPr>
            </w:pPr>
          </w:p>
        </w:tc>
        <w:tc>
          <w:tcPr>
            <w:tcW w:w="992" w:type="dxa"/>
          </w:tcPr>
          <w:p w:rsidR="001D09AD" w:rsidRDefault="001D09AD">
            <w:pPr>
              <w:pStyle w:val="TableContents"/>
              <w:tabs>
                <w:tab w:val="left" w:pos="658"/>
                <w:tab w:val="left" w:pos="777"/>
                <w:tab w:val="right" w:pos="936"/>
              </w:tabs>
              <w:spacing w:line="62" w:lineRule="atLeast"/>
              <w:ind w:left="57" w:right="57"/>
              <w:jc w:val="center"/>
              <w:rPr>
                <w:rFonts w:ascii="Calibri" w:hAnsi="Calibri"/>
                <w:color w:val="000000"/>
                <w:sz w:val="22"/>
              </w:rPr>
            </w:pPr>
          </w:p>
        </w:tc>
        <w:tc>
          <w:tcPr>
            <w:tcW w:w="266" w:type="dxa"/>
          </w:tcPr>
          <w:p w:rsidR="001D09AD" w:rsidRDefault="001D09AD">
            <w:pPr>
              <w:pStyle w:val="TableContents"/>
              <w:tabs>
                <w:tab w:val="right" w:pos="210"/>
              </w:tabs>
              <w:spacing w:line="62" w:lineRule="atLeast"/>
              <w:ind w:left="57" w:right="57"/>
              <w:rPr>
                <w:rFonts w:ascii="Calibri" w:hAnsi="Calibri"/>
                <w:color w:val="000000"/>
                <w:sz w:val="22"/>
              </w:rPr>
            </w:pPr>
          </w:p>
        </w:tc>
        <w:tc>
          <w:tcPr>
            <w:tcW w:w="992" w:type="dxa"/>
          </w:tcPr>
          <w:p w:rsidR="001D09AD" w:rsidRDefault="001D09AD">
            <w:pPr>
              <w:pStyle w:val="TableContents"/>
              <w:tabs>
                <w:tab w:val="left" w:pos="658"/>
                <w:tab w:val="left" w:pos="777"/>
                <w:tab w:val="right" w:pos="936"/>
              </w:tabs>
              <w:spacing w:line="62" w:lineRule="atLeast"/>
              <w:ind w:left="57" w:right="57"/>
              <w:jc w:val="center"/>
              <w:rPr>
                <w:rFonts w:ascii="Calibri" w:hAnsi="Calibri"/>
                <w:color w:val="000000"/>
                <w:sz w:val="22"/>
              </w:rPr>
            </w:pPr>
          </w:p>
        </w:tc>
      </w:tr>
      <w:tr w:rsidR="001D09AD">
        <w:trPr>
          <w:cantSplit/>
        </w:trPr>
        <w:tc>
          <w:tcPr>
            <w:tcW w:w="2506" w:type="dxa"/>
          </w:tcPr>
          <w:p w:rsidR="001D09AD" w:rsidRDefault="001D09AD">
            <w:pPr>
              <w:pStyle w:val="TableContents"/>
              <w:tabs>
                <w:tab w:val="right" w:pos="210"/>
              </w:tabs>
              <w:spacing w:line="300" w:lineRule="atLeast"/>
              <w:ind w:left="57" w:right="57"/>
              <w:rPr>
                <w:b/>
                <w:color w:val="000000"/>
                <w:sz w:val="22"/>
              </w:rPr>
            </w:pPr>
            <w:r>
              <w:rPr>
                <w:b/>
                <w:color w:val="000000"/>
                <w:sz w:val="22"/>
              </w:rPr>
              <w:t>External Revenues</w:t>
            </w:r>
          </w:p>
          <w:p w:rsidR="001D09AD" w:rsidRDefault="001D09AD">
            <w:pPr>
              <w:pStyle w:val="TableContents"/>
              <w:tabs>
                <w:tab w:val="right" w:pos="210"/>
              </w:tabs>
              <w:spacing w:line="300" w:lineRule="atLeast"/>
              <w:ind w:left="57" w:right="57"/>
              <w:rPr>
                <w:b/>
                <w:color w:val="000000"/>
                <w:sz w:val="22"/>
              </w:rPr>
            </w:pPr>
            <w:r>
              <w:rPr>
                <w:b/>
                <w:color w:val="000000"/>
                <w:sz w:val="22"/>
              </w:rPr>
              <w:t>Intersegment Revenues</w:t>
            </w:r>
          </w:p>
          <w:p w:rsidR="001D09AD" w:rsidRDefault="001D09AD">
            <w:pPr>
              <w:pStyle w:val="TableContents"/>
              <w:tabs>
                <w:tab w:val="right" w:pos="210"/>
              </w:tabs>
              <w:spacing w:line="300" w:lineRule="atLeast"/>
              <w:ind w:left="57" w:right="57"/>
              <w:rPr>
                <w:b/>
                <w:color w:val="000000"/>
                <w:sz w:val="22"/>
              </w:rPr>
            </w:pPr>
            <w:r>
              <w:rPr>
                <w:b/>
                <w:color w:val="000000"/>
                <w:sz w:val="22"/>
              </w:rPr>
              <w:t>Total Revenues</w:t>
            </w:r>
          </w:p>
          <w:p w:rsidR="001D09AD" w:rsidRDefault="001D09AD">
            <w:pPr>
              <w:pStyle w:val="TableContents"/>
              <w:tabs>
                <w:tab w:val="right" w:pos="210"/>
              </w:tabs>
              <w:spacing w:line="300" w:lineRule="atLeast"/>
              <w:ind w:left="57" w:right="57"/>
              <w:rPr>
                <w:b/>
                <w:color w:val="000000"/>
                <w:sz w:val="22"/>
              </w:rPr>
            </w:pPr>
            <w:r>
              <w:rPr>
                <w:b/>
                <w:color w:val="000000"/>
                <w:sz w:val="22"/>
              </w:rPr>
              <w:t>Cost of Goods Sold</w:t>
            </w:r>
          </w:p>
          <w:p w:rsidR="001D09AD" w:rsidRDefault="001D09AD">
            <w:pPr>
              <w:pStyle w:val="TableContents"/>
              <w:tabs>
                <w:tab w:val="right" w:pos="210"/>
              </w:tabs>
              <w:spacing w:line="300" w:lineRule="atLeast"/>
              <w:ind w:left="57" w:right="57"/>
              <w:rPr>
                <w:b/>
                <w:color w:val="000000"/>
                <w:sz w:val="22"/>
              </w:rPr>
            </w:pPr>
            <w:r>
              <w:rPr>
                <w:b/>
                <w:color w:val="000000"/>
                <w:sz w:val="22"/>
              </w:rPr>
              <w:t>Operating Expenses</w:t>
            </w:r>
          </w:p>
          <w:p w:rsidR="001D09AD" w:rsidRDefault="001D09AD">
            <w:pPr>
              <w:pStyle w:val="TableContents"/>
              <w:tabs>
                <w:tab w:val="right" w:pos="210"/>
              </w:tabs>
              <w:spacing w:line="300" w:lineRule="atLeast"/>
              <w:ind w:left="57" w:right="57"/>
              <w:rPr>
                <w:b/>
                <w:color w:val="000000"/>
                <w:sz w:val="22"/>
              </w:rPr>
            </w:pPr>
            <w:r>
              <w:rPr>
                <w:b/>
                <w:color w:val="000000"/>
                <w:sz w:val="22"/>
              </w:rPr>
              <w:t>Total Expenses</w:t>
            </w:r>
          </w:p>
          <w:p w:rsidR="001D09AD" w:rsidRDefault="001D09AD">
            <w:pPr>
              <w:pStyle w:val="TableContents"/>
              <w:tabs>
                <w:tab w:val="right" w:pos="210"/>
              </w:tabs>
              <w:spacing w:line="300" w:lineRule="atLeast"/>
              <w:ind w:left="57" w:right="57"/>
              <w:rPr>
                <w:b/>
                <w:color w:val="000000"/>
                <w:sz w:val="22"/>
              </w:rPr>
            </w:pPr>
            <w:r>
              <w:rPr>
                <w:b/>
                <w:color w:val="000000"/>
                <w:sz w:val="22"/>
              </w:rPr>
              <w:t>Operating Profit (Loss)</w:t>
            </w:r>
          </w:p>
          <w:p w:rsidR="001D09AD" w:rsidRDefault="001D09AD">
            <w:pPr>
              <w:pStyle w:val="TableContents"/>
              <w:tabs>
                <w:tab w:val="right" w:pos="210"/>
              </w:tabs>
              <w:spacing w:line="300" w:lineRule="atLeast"/>
              <w:ind w:left="57" w:right="57"/>
              <w:rPr>
                <w:b/>
                <w:color w:val="000000"/>
                <w:sz w:val="22"/>
              </w:rPr>
            </w:pPr>
            <w:r>
              <w:rPr>
                <w:b/>
                <w:color w:val="000000"/>
                <w:sz w:val="22"/>
              </w:rPr>
              <w:t>Identifiable Assets</w:t>
            </w:r>
          </w:p>
        </w:tc>
        <w:tc>
          <w:tcPr>
            <w:tcW w:w="1037" w:type="dxa"/>
          </w:tcPr>
          <w:p w:rsidR="001D09AD" w:rsidRDefault="001D09AD">
            <w:pPr>
              <w:pStyle w:val="TableContents"/>
              <w:tabs>
                <w:tab w:val="left" w:pos="658"/>
                <w:tab w:val="left" w:pos="777"/>
                <w:tab w:val="right" w:pos="936"/>
              </w:tabs>
              <w:spacing w:line="300" w:lineRule="atLeast"/>
              <w:ind w:left="57" w:right="57"/>
              <w:jc w:val="center"/>
              <w:rPr>
                <w:b/>
                <w:color w:val="000000"/>
                <w:sz w:val="22"/>
              </w:rPr>
            </w:pPr>
            <w:r>
              <w:rPr>
                <w:b/>
                <w:color w:val="000000"/>
                <w:sz w:val="22"/>
              </w:rPr>
              <w:t>$40,000</w:t>
            </w:r>
          </w:p>
          <w:p w:rsidR="001D09AD" w:rsidRDefault="001D09AD">
            <w:pPr>
              <w:pStyle w:val="TableContents"/>
              <w:tabs>
                <w:tab w:val="left" w:pos="658"/>
                <w:tab w:val="left" w:pos="777"/>
                <w:tab w:val="right" w:pos="856"/>
              </w:tabs>
              <w:spacing w:line="300" w:lineRule="atLeast"/>
              <w:ind w:left="57" w:right="181"/>
              <w:jc w:val="right"/>
              <w:rPr>
                <w:b/>
                <w:color w:val="000000"/>
                <w:sz w:val="22"/>
                <w:u w:val="single"/>
              </w:rPr>
            </w:pPr>
            <w:r>
              <w:rPr>
                <w:b/>
                <w:color w:val="000000"/>
                <w:sz w:val="22"/>
                <w:u w:val="single"/>
              </w:rPr>
              <w:t xml:space="preserve">           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 xml:space="preserve">  40,000</w:t>
            </w:r>
          </w:p>
          <w:p w:rsidR="001D09AD" w:rsidRDefault="001D09AD">
            <w:pPr>
              <w:pStyle w:val="TableContents"/>
              <w:tabs>
                <w:tab w:val="left" w:pos="658"/>
                <w:tab w:val="left" w:pos="777"/>
                <w:tab w:val="right" w:pos="936"/>
              </w:tabs>
              <w:spacing w:line="300" w:lineRule="atLeast"/>
              <w:ind w:left="57" w:right="57"/>
              <w:jc w:val="center"/>
              <w:rPr>
                <w:b/>
                <w:color w:val="000000"/>
                <w:sz w:val="22"/>
              </w:rPr>
            </w:pPr>
            <w:r>
              <w:rPr>
                <w:b/>
                <w:color w:val="000000"/>
                <w:sz w:val="22"/>
              </w:rPr>
              <w:t xml:space="preserve">  19,000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 xml:space="preserve">  10,000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 xml:space="preserve">  29,000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 xml:space="preserve">  11,000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$35,000</w:t>
            </w:r>
          </w:p>
        </w:tc>
        <w:tc>
          <w:tcPr>
            <w:tcW w:w="238" w:type="dxa"/>
          </w:tcPr>
          <w:p w:rsidR="001D09AD" w:rsidRDefault="001D09AD">
            <w:pPr>
              <w:pStyle w:val="TableContents"/>
              <w:tabs>
                <w:tab w:val="right" w:pos="210"/>
              </w:tabs>
              <w:spacing w:line="300" w:lineRule="atLeast"/>
              <w:ind w:left="57" w:right="57"/>
              <w:rPr>
                <w:rFonts w:ascii="Calibri" w:hAnsi="Calibri"/>
                <w:color w:val="000000"/>
                <w:sz w:val="22"/>
              </w:rPr>
            </w:pPr>
          </w:p>
        </w:tc>
        <w:tc>
          <w:tcPr>
            <w:tcW w:w="969" w:type="dxa"/>
          </w:tcPr>
          <w:p w:rsidR="001D09AD" w:rsidRDefault="001D09AD">
            <w:pPr>
              <w:pStyle w:val="TableContents"/>
              <w:tabs>
                <w:tab w:val="left" w:pos="658"/>
                <w:tab w:val="left" w:pos="777"/>
                <w:tab w:val="right" w:pos="936"/>
              </w:tabs>
              <w:spacing w:line="300" w:lineRule="atLeast"/>
              <w:ind w:left="57" w:right="57"/>
              <w:jc w:val="center"/>
              <w:rPr>
                <w:b/>
                <w:color w:val="000000"/>
                <w:sz w:val="22"/>
              </w:rPr>
            </w:pPr>
            <w:r>
              <w:rPr>
                <w:b/>
                <w:color w:val="000000"/>
                <w:sz w:val="22"/>
              </w:rPr>
              <w:t>$</w:t>
            </w:r>
            <w:r>
              <w:rPr>
                <w:b/>
                <w:color w:val="FFFFFF"/>
                <w:sz w:val="22"/>
              </w:rPr>
              <w:t>(</w:t>
            </w:r>
            <w:r>
              <w:rPr>
                <w:b/>
                <w:color w:val="000000"/>
                <w:sz w:val="22"/>
              </w:rPr>
              <w:t>60,000</w:t>
            </w:r>
          </w:p>
          <w:p w:rsidR="001D09AD" w:rsidRDefault="001D09AD">
            <w:pPr>
              <w:pStyle w:val="TableContents"/>
              <w:tabs>
                <w:tab w:val="right" w:pos="913"/>
              </w:tabs>
              <w:spacing w:line="300" w:lineRule="atLeast"/>
              <w:ind w:left="57" w:right="57"/>
              <w:jc w:val="center"/>
              <w:rPr>
                <w:b/>
                <w:color w:val="000000"/>
                <w:sz w:val="22"/>
                <w:u w:val="single"/>
              </w:rPr>
            </w:pPr>
            <w:r>
              <w:rPr>
                <w:b/>
                <w:color w:val="FFFFFF"/>
                <w:sz w:val="22"/>
                <w:u w:val="single"/>
              </w:rPr>
              <w:t xml:space="preserve">  </w:t>
            </w:r>
            <w:r>
              <w:rPr>
                <w:b/>
                <w:color w:val="000000"/>
                <w:sz w:val="22"/>
                <w:u w:val="single"/>
              </w:rPr>
              <w:t>20,000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FFFFFF"/>
                <w:sz w:val="22"/>
                <w:u w:val="single"/>
              </w:rPr>
              <w:t xml:space="preserve">  (</w:t>
            </w:r>
            <w:r>
              <w:rPr>
                <w:b/>
                <w:color w:val="000000"/>
                <w:sz w:val="22"/>
                <w:u w:val="single"/>
              </w:rPr>
              <w:t>80,000</w:t>
            </w:r>
          </w:p>
          <w:p w:rsidR="001D09AD" w:rsidRDefault="001D09AD">
            <w:pPr>
              <w:pStyle w:val="TableContents"/>
              <w:tabs>
                <w:tab w:val="left" w:pos="658"/>
                <w:tab w:val="left" w:pos="777"/>
                <w:tab w:val="right" w:pos="936"/>
              </w:tabs>
              <w:spacing w:line="300" w:lineRule="atLeast"/>
              <w:ind w:left="57" w:right="57"/>
              <w:jc w:val="center"/>
              <w:rPr>
                <w:b/>
                <w:color w:val="000000"/>
                <w:sz w:val="22"/>
              </w:rPr>
            </w:pPr>
            <w:r>
              <w:rPr>
                <w:b/>
                <w:color w:val="000000"/>
                <w:sz w:val="22"/>
              </w:rPr>
              <w:t xml:space="preserve">  </w:t>
            </w:r>
            <w:r>
              <w:rPr>
                <w:b/>
                <w:color w:val="FFFFFF"/>
                <w:sz w:val="22"/>
              </w:rPr>
              <w:t>(</w:t>
            </w:r>
            <w:r>
              <w:rPr>
                <w:b/>
                <w:color w:val="000000"/>
                <w:sz w:val="22"/>
              </w:rPr>
              <w:t>50,000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 xml:space="preserve">  </w:t>
            </w:r>
            <w:r>
              <w:rPr>
                <w:b/>
                <w:color w:val="FFFFFF"/>
                <w:sz w:val="22"/>
                <w:u w:val="single"/>
              </w:rPr>
              <w:t>(</w:t>
            </w:r>
            <w:r>
              <w:rPr>
                <w:b/>
                <w:color w:val="000000"/>
                <w:sz w:val="22"/>
                <w:u w:val="single"/>
              </w:rPr>
              <w:t>40,000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 xml:space="preserve">  </w:t>
            </w:r>
            <w:r>
              <w:rPr>
                <w:b/>
                <w:color w:val="FFFFFF"/>
                <w:sz w:val="22"/>
                <w:u w:val="single"/>
              </w:rPr>
              <w:t>(</w:t>
            </w:r>
            <w:r>
              <w:rPr>
                <w:b/>
                <w:color w:val="000000"/>
                <w:sz w:val="22"/>
                <w:u w:val="single"/>
              </w:rPr>
              <w:t>90,000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 xml:space="preserve">  (10,000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w:t>
            </w:r>
            <w:r>
              <w:rPr>
                <w:b/>
                <w:color w:val="FFFFFF"/>
                <w:sz w:val="22"/>
                <w:u w:val="single"/>
              </w:rPr>
              <w:t>(</w:t>
            </w:r>
            <w:r>
              <w:rPr>
                <w:b/>
                <w:color w:val="000000"/>
                <w:sz w:val="22"/>
                <w:u w:val="single"/>
              </w:rPr>
              <w:t>60,000</w:t>
            </w:r>
          </w:p>
        </w:tc>
        <w:tc>
          <w:tcPr>
            <w:tcW w:w="272" w:type="dxa"/>
          </w:tcPr>
          <w:p w:rsidR="001D09AD" w:rsidRDefault="001D09AD">
            <w:pPr>
              <w:pStyle w:val="TableContents"/>
              <w:tabs>
                <w:tab w:val="right" w:pos="210"/>
              </w:tabs>
              <w:spacing w:line="300" w:lineRule="atLeast"/>
              <w:ind w:left="57" w:right="57"/>
              <w:rPr>
                <w:b/>
                <w:color w:val="000000"/>
                <w:sz w:val="22"/>
              </w:rPr>
            </w:pPr>
          </w:p>
          <w:p w:rsidR="001D09AD" w:rsidRDefault="001D09AD">
            <w:pPr>
              <w:pStyle w:val="TableContents"/>
              <w:tabs>
                <w:tab w:val="right" w:pos="210"/>
              </w:tabs>
              <w:spacing w:line="300" w:lineRule="atLeast"/>
              <w:ind w:left="57" w:right="57"/>
              <w:rPr>
                <w:b/>
                <w:color w:val="000000"/>
                <w:sz w:val="22"/>
              </w:rPr>
            </w:pPr>
          </w:p>
          <w:p w:rsidR="001D09AD" w:rsidRDefault="001D09AD">
            <w:pPr>
              <w:pStyle w:val="TableContents"/>
              <w:tabs>
                <w:tab w:val="right" w:pos="210"/>
              </w:tabs>
              <w:spacing w:line="300" w:lineRule="atLeast"/>
              <w:ind w:left="57" w:right="57"/>
              <w:rPr>
                <w:b/>
                <w:color w:val="000000"/>
                <w:sz w:val="22"/>
              </w:rPr>
            </w:pPr>
          </w:p>
          <w:p w:rsidR="001D09AD" w:rsidRDefault="001D09AD">
            <w:pPr>
              <w:pStyle w:val="TableContents"/>
              <w:tabs>
                <w:tab w:val="right" w:pos="210"/>
              </w:tabs>
              <w:spacing w:line="300" w:lineRule="atLeast"/>
              <w:ind w:left="57" w:right="57"/>
              <w:rPr>
                <w:b/>
                <w:color w:val="000000"/>
                <w:sz w:val="22"/>
              </w:rPr>
            </w:pPr>
          </w:p>
          <w:p w:rsidR="001D09AD" w:rsidRDefault="001D09AD">
            <w:pPr>
              <w:pStyle w:val="TableContents"/>
              <w:tabs>
                <w:tab w:val="right" w:pos="210"/>
              </w:tabs>
              <w:spacing w:line="300" w:lineRule="atLeast"/>
              <w:ind w:left="57" w:right="57"/>
              <w:rPr>
                <w:b/>
                <w:color w:val="000000"/>
                <w:sz w:val="22"/>
              </w:rPr>
            </w:pPr>
          </w:p>
          <w:p w:rsidR="001D09AD" w:rsidRDefault="001D09AD">
            <w:pPr>
              <w:pStyle w:val="TableContents"/>
              <w:tabs>
                <w:tab w:val="right" w:pos="210"/>
              </w:tabs>
              <w:spacing w:line="300" w:lineRule="atLeast"/>
              <w:ind w:left="57" w:right="57"/>
              <w:rPr>
                <w:b/>
                <w:color w:val="000000"/>
                <w:sz w:val="22"/>
              </w:rPr>
            </w:pPr>
          </w:p>
          <w:p w:rsidR="001D09AD" w:rsidRDefault="001D09AD">
            <w:pPr>
              <w:pStyle w:val="TableContents"/>
              <w:tabs>
                <w:tab w:val="right" w:pos="210"/>
              </w:tabs>
              <w:spacing w:line="300" w:lineRule="atLeast"/>
              <w:ind w:left="57" w:right="57"/>
              <w:rPr>
                <w:b/>
                <w:color w:val="000000"/>
                <w:sz w:val="22"/>
              </w:rPr>
            </w:pPr>
            <w:r>
              <w:rPr>
                <w:b/>
                <w:color w:val="000000"/>
                <w:sz w:val="22"/>
              </w:rPr>
              <w:t>)</w:t>
            </w:r>
          </w:p>
        </w:tc>
        <w:tc>
          <w:tcPr>
            <w:tcW w:w="1077" w:type="dxa"/>
          </w:tcPr>
          <w:p w:rsidR="001D09AD" w:rsidRDefault="001D09AD">
            <w:pPr>
              <w:pStyle w:val="TableContents"/>
              <w:tabs>
                <w:tab w:val="left" w:pos="658"/>
                <w:tab w:val="left" w:pos="777"/>
                <w:tab w:val="right" w:pos="936"/>
              </w:tabs>
              <w:spacing w:line="300" w:lineRule="atLeast"/>
              <w:ind w:left="57" w:right="57"/>
              <w:jc w:val="center"/>
              <w:rPr>
                <w:b/>
                <w:color w:val="000000"/>
                <w:sz w:val="22"/>
              </w:rPr>
            </w:pPr>
            <w:r>
              <w:rPr>
                <w:b/>
                <w:color w:val="000000"/>
                <w:sz w:val="22"/>
              </w:rPr>
              <w:t>$480,000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 xml:space="preserve">  100,000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 xml:space="preserve">  580,000</w:t>
            </w:r>
          </w:p>
          <w:p w:rsidR="001D09AD" w:rsidRDefault="001D09AD">
            <w:pPr>
              <w:pStyle w:val="TableContents"/>
              <w:tabs>
                <w:tab w:val="left" w:pos="658"/>
                <w:tab w:val="left" w:pos="777"/>
                <w:tab w:val="right" w:pos="936"/>
              </w:tabs>
              <w:spacing w:line="300" w:lineRule="atLeast"/>
              <w:ind w:left="57" w:right="57"/>
              <w:jc w:val="center"/>
              <w:rPr>
                <w:b/>
                <w:color w:val="000000"/>
                <w:sz w:val="22"/>
              </w:rPr>
            </w:pPr>
            <w:r>
              <w:rPr>
                <w:b/>
                <w:color w:val="000000"/>
                <w:sz w:val="22"/>
              </w:rPr>
              <w:t xml:space="preserve">  270,000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 xml:space="preserve">  235,000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 xml:space="preserve">  505,000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 xml:space="preserve">  </w:t>
            </w:r>
            <w:r>
              <w:rPr>
                <w:b/>
                <w:color w:val="000000"/>
                <w:sz w:val="22"/>
                <w:u w:val="single"/>
              </w:rPr>
              <w:t> </w:t>
            </w:r>
            <w:r>
              <w:rPr>
                <w:b/>
                <w:color w:val="000000"/>
                <w:sz w:val="22"/>
                <w:u w:val="single"/>
              </w:rPr>
              <w:t>75,000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$500,000</w:t>
            </w:r>
          </w:p>
        </w:tc>
        <w:tc>
          <w:tcPr>
            <w:tcW w:w="272" w:type="dxa"/>
          </w:tcPr>
          <w:p w:rsidR="001D09AD" w:rsidRDefault="001D09AD">
            <w:pPr>
              <w:pStyle w:val="TableContents"/>
              <w:tabs>
                <w:tab w:val="right" w:pos="210"/>
              </w:tabs>
              <w:spacing w:line="300" w:lineRule="atLeast"/>
              <w:ind w:left="57" w:right="57"/>
              <w:rPr>
                <w:rFonts w:ascii="Calibri" w:hAnsi="Calibri"/>
                <w:color w:val="000000"/>
                <w:sz w:val="22"/>
              </w:rPr>
            </w:pPr>
          </w:p>
        </w:tc>
        <w:tc>
          <w:tcPr>
            <w:tcW w:w="992" w:type="dxa"/>
          </w:tcPr>
          <w:p w:rsidR="001D09AD" w:rsidRDefault="001D09AD">
            <w:pPr>
              <w:pStyle w:val="TableContents"/>
              <w:tabs>
                <w:tab w:val="left" w:pos="658"/>
                <w:tab w:val="left" w:pos="777"/>
                <w:tab w:val="right" w:pos="936"/>
              </w:tabs>
              <w:spacing w:line="300" w:lineRule="atLeast"/>
              <w:ind w:left="57" w:right="57"/>
              <w:jc w:val="center"/>
              <w:rPr>
                <w:b/>
                <w:color w:val="000000"/>
                <w:sz w:val="22"/>
              </w:rPr>
            </w:pPr>
            <w:r>
              <w:rPr>
                <w:b/>
                <w:color w:val="000000"/>
                <w:sz w:val="22"/>
              </w:rPr>
              <w:t>$</w:t>
            </w:r>
            <w:r>
              <w:rPr>
                <w:b/>
                <w:color w:val="000000"/>
                <w:sz w:val="22"/>
              </w:rPr>
              <w:t> </w:t>
            </w:r>
            <w:r>
              <w:rPr>
                <w:b/>
                <w:color w:val="000000"/>
                <w:sz w:val="22"/>
              </w:rPr>
              <w:t>90,000</w:t>
            </w:r>
          </w:p>
          <w:p w:rsidR="001D09AD" w:rsidRDefault="001D09AD">
            <w:pPr>
              <w:pStyle w:val="TableContents"/>
              <w:tabs>
                <w:tab w:val="left" w:pos="613"/>
                <w:tab w:val="left" w:pos="777"/>
                <w:tab w:val="right" w:pos="862"/>
              </w:tabs>
              <w:spacing w:line="300" w:lineRule="atLeast"/>
              <w:ind w:left="57" w:right="130"/>
              <w:jc w:val="right"/>
              <w:rPr>
                <w:b/>
                <w:color w:val="000000"/>
                <w:sz w:val="22"/>
                <w:u w:val="single"/>
              </w:rPr>
            </w:pPr>
            <w:r>
              <w:rPr>
                <w:b/>
                <w:color w:val="000000"/>
                <w:sz w:val="22"/>
                <w:u w:val="single"/>
              </w:rPr>
              <w:t xml:space="preserve">         0  </w:t>
            </w:r>
            <w:r>
              <w:rPr>
                <w:b/>
                <w:color w:val="000000"/>
                <w:sz w:val="22"/>
                <w:u w:val="single"/>
              </w:rPr>
              <w:t> </w:t>
            </w:r>
            <w:r>
              <w:rPr>
                <w:b/>
                <w:color w:val="000000"/>
                <w:sz w:val="22"/>
                <w:u w:val="single"/>
              </w:rPr>
              <w:t>90,000</w:t>
            </w:r>
          </w:p>
          <w:p w:rsidR="001D09AD" w:rsidRDefault="001D09AD">
            <w:pPr>
              <w:pStyle w:val="TableContents"/>
              <w:tabs>
                <w:tab w:val="left" w:pos="658"/>
                <w:tab w:val="left" w:pos="777"/>
                <w:tab w:val="right" w:pos="936"/>
              </w:tabs>
              <w:spacing w:line="300" w:lineRule="atLeast"/>
              <w:ind w:left="57" w:right="57"/>
              <w:jc w:val="center"/>
              <w:rPr>
                <w:b/>
                <w:color w:val="000000"/>
                <w:sz w:val="22"/>
              </w:rPr>
            </w:pPr>
            <w:r>
              <w:rPr>
                <w:b/>
                <w:color w:val="000000"/>
                <w:sz w:val="22"/>
              </w:rPr>
              <w:t xml:space="preserve">  </w:t>
            </w:r>
            <w:r>
              <w:rPr>
                <w:b/>
                <w:color w:val="000000"/>
                <w:sz w:val="22"/>
              </w:rPr>
              <w:t> </w:t>
            </w:r>
            <w:r>
              <w:rPr>
                <w:b/>
                <w:color w:val="000000"/>
                <w:sz w:val="22"/>
              </w:rPr>
              <w:t>49,000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 xml:space="preserve">  </w:t>
            </w:r>
            <w:r>
              <w:rPr>
                <w:b/>
                <w:color w:val="000000"/>
                <w:sz w:val="22"/>
                <w:u w:val="single"/>
              </w:rPr>
              <w:t> </w:t>
            </w:r>
            <w:r>
              <w:rPr>
                <w:b/>
                <w:color w:val="000000"/>
                <w:sz w:val="22"/>
                <w:u w:val="single"/>
              </w:rPr>
              <w:t>30,000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 xml:space="preserve">  </w:t>
            </w:r>
            <w:r>
              <w:rPr>
                <w:b/>
                <w:color w:val="000000"/>
                <w:sz w:val="22"/>
                <w:u w:val="single"/>
              </w:rPr>
              <w:t> </w:t>
            </w:r>
            <w:r>
              <w:rPr>
                <w:b/>
                <w:color w:val="000000"/>
                <w:sz w:val="22"/>
                <w:u w:val="single"/>
              </w:rPr>
              <w:t>79,000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 xml:space="preserve">  </w:t>
            </w:r>
            <w:r>
              <w:rPr>
                <w:b/>
                <w:color w:val="000000"/>
                <w:sz w:val="22"/>
                <w:u w:val="single"/>
              </w:rPr>
              <w:t> </w:t>
            </w:r>
            <w:r>
              <w:rPr>
                <w:b/>
                <w:color w:val="000000"/>
                <w:sz w:val="22"/>
                <w:u w:val="single"/>
              </w:rPr>
              <w:t>11,000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$115,000</w:t>
            </w:r>
          </w:p>
        </w:tc>
        <w:tc>
          <w:tcPr>
            <w:tcW w:w="266" w:type="dxa"/>
          </w:tcPr>
          <w:p w:rsidR="001D09AD" w:rsidRDefault="001D09AD">
            <w:pPr>
              <w:pStyle w:val="TableContents"/>
              <w:tabs>
                <w:tab w:val="right" w:pos="210"/>
              </w:tabs>
              <w:spacing w:line="300" w:lineRule="atLeast"/>
              <w:ind w:left="57" w:right="57"/>
              <w:rPr>
                <w:rFonts w:ascii="Calibri" w:hAnsi="Calibri"/>
                <w:color w:val="000000"/>
                <w:sz w:val="22"/>
              </w:rPr>
            </w:pPr>
          </w:p>
        </w:tc>
        <w:tc>
          <w:tcPr>
            <w:tcW w:w="992" w:type="dxa"/>
          </w:tcPr>
          <w:p w:rsidR="001D09AD" w:rsidRDefault="001D09AD">
            <w:pPr>
              <w:pStyle w:val="TableContents"/>
              <w:tabs>
                <w:tab w:val="left" w:pos="658"/>
                <w:tab w:val="left" w:pos="777"/>
                <w:tab w:val="right" w:pos="936"/>
              </w:tabs>
              <w:spacing w:line="300" w:lineRule="atLeast"/>
              <w:ind w:left="57" w:right="57"/>
              <w:jc w:val="center"/>
              <w:rPr>
                <w:b/>
                <w:color w:val="000000"/>
                <w:sz w:val="22"/>
              </w:rPr>
            </w:pPr>
            <w:r>
              <w:rPr>
                <w:b/>
                <w:color w:val="000000"/>
                <w:sz w:val="22"/>
              </w:rPr>
              <w:t>$670,000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 xml:space="preserve">  120,000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 xml:space="preserve">  790,000</w:t>
            </w:r>
          </w:p>
          <w:p w:rsidR="001D09AD" w:rsidRDefault="001D09AD">
            <w:pPr>
              <w:pStyle w:val="TableContents"/>
              <w:tabs>
                <w:tab w:val="left" w:pos="658"/>
                <w:tab w:val="left" w:pos="777"/>
                <w:tab w:val="right" w:pos="936"/>
              </w:tabs>
              <w:spacing w:line="300" w:lineRule="atLeast"/>
              <w:ind w:left="57" w:right="57"/>
              <w:jc w:val="center"/>
              <w:rPr>
                <w:b/>
                <w:color w:val="000000"/>
                <w:sz w:val="22"/>
              </w:rPr>
            </w:pPr>
          </w:p>
          <w:p w:rsidR="001D09AD" w:rsidRDefault="001D09AD">
            <w:pPr>
              <w:pStyle w:val="TableContents"/>
              <w:tabs>
                <w:tab w:val="left" w:pos="658"/>
                <w:tab w:val="left" w:pos="777"/>
                <w:tab w:val="right" w:pos="936"/>
              </w:tabs>
              <w:spacing w:line="300" w:lineRule="atLeast"/>
              <w:ind w:left="57" w:right="57"/>
              <w:jc w:val="center"/>
              <w:rPr>
                <w:b/>
                <w:color w:val="000000"/>
                <w:sz w:val="22"/>
              </w:rPr>
            </w:pPr>
          </w:p>
          <w:p w:rsidR="001D09AD" w:rsidRDefault="001D09AD">
            <w:pPr>
              <w:pStyle w:val="TableContents"/>
              <w:tabs>
                <w:tab w:val="left" w:pos="658"/>
                <w:tab w:val="left" w:pos="777"/>
                <w:tab w:val="right" w:pos="936"/>
              </w:tabs>
              <w:spacing w:line="300" w:lineRule="atLeast"/>
              <w:ind w:left="57" w:right="57"/>
              <w:jc w:val="center"/>
              <w:rPr>
                <w:b/>
                <w:color w:val="000000"/>
                <w:sz w:val="22"/>
              </w:rPr>
            </w:pP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 xml:space="preserve">  </w:t>
            </w:r>
            <w:r>
              <w:rPr>
                <w:b/>
                <w:color w:val="000000"/>
                <w:sz w:val="22"/>
                <w:u w:val="single"/>
              </w:rPr>
              <w:t> </w:t>
            </w:r>
            <w:r>
              <w:rPr>
                <w:b/>
                <w:color w:val="000000"/>
                <w:sz w:val="22"/>
                <w:u w:val="single"/>
              </w:rPr>
              <w:t>87,000</w:t>
            </w:r>
          </w:p>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$710,000</w:t>
            </w:r>
          </w:p>
        </w:tc>
      </w:tr>
      <w:tr w:rsidR="001D09AD">
        <w:trPr>
          <w:cantSplit/>
        </w:trPr>
        <w:tc>
          <w:tcPr>
            <w:tcW w:w="2506" w:type="dxa"/>
          </w:tcPr>
          <w:p w:rsidR="001D09AD" w:rsidRDefault="001D09AD">
            <w:pPr>
              <w:pStyle w:val="TableContents"/>
              <w:tabs>
                <w:tab w:val="right" w:pos="210"/>
              </w:tabs>
              <w:spacing w:line="300" w:lineRule="atLeast"/>
              <w:ind w:left="57" w:right="57"/>
              <w:rPr>
                <w:b/>
                <w:color w:val="000000"/>
                <w:sz w:val="22"/>
              </w:rPr>
            </w:pPr>
            <w:r>
              <w:rPr>
                <w:b/>
                <w:color w:val="000000"/>
                <w:sz w:val="22"/>
              </w:rPr>
              <w:t>Liabilities</w:t>
            </w:r>
          </w:p>
        </w:tc>
        <w:tc>
          <w:tcPr>
            <w:tcW w:w="1037" w:type="dxa"/>
          </w:tcPr>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$22,000</w:t>
            </w:r>
          </w:p>
        </w:tc>
        <w:tc>
          <w:tcPr>
            <w:tcW w:w="238" w:type="dxa"/>
          </w:tcPr>
          <w:p w:rsidR="001D09AD" w:rsidRDefault="001D09AD">
            <w:pPr>
              <w:pStyle w:val="TableContents"/>
              <w:tabs>
                <w:tab w:val="right" w:pos="210"/>
              </w:tabs>
              <w:spacing w:line="300" w:lineRule="atLeast"/>
              <w:ind w:left="57" w:right="57"/>
              <w:rPr>
                <w:rFonts w:ascii="Calibri" w:hAnsi="Calibri"/>
                <w:color w:val="000000"/>
                <w:sz w:val="22"/>
              </w:rPr>
            </w:pPr>
          </w:p>
        </w:tc>
        <w:tc>
          <w:tcPr>
            <w:tcW w:w="969" w:type="dxa"/>
          </w:tcPr>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$ 31,000</w:t>
            </w:r>
          </w:p>
        </w:tc>
        <w:tc>
          <w:tcPr>
            <w:tcW w:w="272" w:type="dxa"/>
          </w:tcPr>
          <w:p w:rsidR="001D09AD" w:rsidRDefault="001D09AD">
            <w:pPr>
              <w:pStyle w:val="TableContents"/>
              <w:tabs>
                <w:tab w:val="right" w:pos="210"/>
              </w:tabs>
              <w:spacing w:line="300" w:lineRule="atLeast"/>
              <w:ind w:left="57" w:right="57"/>
              <w:rPr>
                <w:rFonts w:ascii="Calibri" w:hAnsi="Calibri"/>
                <w:color w:val="000000"/>
                <w:sz w:val="22"/>
              </w:rPr>
            </w:pPr>
          </w:p>
        </w:tc>
        <w:tc>
          <w:tcPr>
            <w:tcW w:w="1077" w:type="dxa"/>
          </w:tcPr>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$443,000</w:t>
            </w:r>
          </w:p>
        </w:tc>
        <w:tc>
          <w:tcPr>
            <w:tcW w:w="272" w:type="dxa"/>
          </w:tcPr>
          <w:p w:rsidR="001D09AD" w:rsidRDefault="001D09AD">
            <w:pPr>
              <w:pStyle w:val="TableContents"/>
              <w:tabs>
                <w:tab w:val="right" w:pos="210"/>
              </w:tabs>
              <w:spacing w:line="300" w:lineRule="atLeast"/>
              <w:ind w:left="57" w:right="57"/>
              <w:rPr>
                <w:rFonts w:ascii="Calibri" w:hAnsi="Calibri"/>
                <w:color w:val="000000"/>
                <w:sz w:val="22"/>
              </w:rPr>
            </w:pPr>
          </w:p>
        </w:tc>
        <w:tc>
          <w:tcPr>
            <w:tcW w:w="992" w:type="dxa"/>
          </w:tcPr>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  41,000</w:t>
            </w:r>
          </w:p>
        </w:tc>
        <w:tc>
          <w:tcPr>
            <w:tcW w:w="266" w:type="dxa"/>
          </w:tcPr>
          <w:p w:rsidR="001D09AD" w:rsidRDefault="001D09AD">
            <w:pPr>
              <w:pStyle w:val="TableContents"/>
              <w:tabs>
                <w:tab w:val="right" w:pos="210"/>
              </w:tabs>
              <w:spacing w:line="300" w:lineRule="atLeast"/>
              <w:ind w:left="57" w:right="57"/>
              <w:rPr>
                <w:rFonts w:ascii="Calibri" w:hAnsi="Calibri"/>
                <w:color w:val="000000"/>
                <w:sz w:val="22"/>
              </w:rPr>
            </w:pPr>
          </w:p>
        </w:tc>
        <w:tc>
          <w:tcPr>
            <w:tcW w:w="992" w:type="dxa"/>
          </w:tcPr>
          <w:p w:rsidR="001D09AD" w:rsidRDefault="001D09AD">
            <w:pPr>
              <w:pStyle w:val="TableContents"/>
              <w:tabs>
                <w:tab w:val="left" w:pos="658"/>
                <w:tab w:val="left" w:pos="777"/>
                <w:tab w:val="right" w:pos="936"/>
              </w:tabs>
              <w:spacing w:line="300" w:lineRule="atLeast"/>
              <w:ind w:left="57" w:right="57"/>
              <w:jc w:val="center"/>
              <w:rPr>
                <w:b/>
                <w:color w:val="000000"/>
                <w:sz w:val="22"/>
                <w:u w:val="single"/>
              </w:rPr>
            </w:pPr>
            <w:r>
              <w:rPr>
                <w:b/>
                <w:color w:val="000000"/>
                <w:sz w:val="22"/>
                <w:u w:val="single"/>
              </w:rPr>
              <w:t>$537,000</w:t>
            </w:r>
          </w:p>
        </w:tc>
      </w:tr>
    </w:tbl>
    <w:p w:rsidR="001D09AD" w:rsidRDefault="001D09AD">
      <w:pPr>
        <w:tabs>
          <w:tab w:val="left" w:pos="60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p>
    <w:p w:rsidR="001D09AD" w:rsidRDefault="001D09AD">
      <w:pPr>
        <w:tabs>
          <w:tab w:val="left" w:pos="601"/>
          <w:tab w:val="right" w:pos="8640"/>
          <w:tab w:val="right" w:pos="8731"/>
          <w:tab w:val="right" w:pos="9360"/>
        </w:tabs>
        <w:spacing w:before="40" w:line="317" w:lineRule="atLeast"/>
        <w:rPr>
          <w:b/>
          <w:color w:val="000000"/>
          <w:sz w:val="22"/>
          <w:u w:val="single"/>
        </w:rPr>
      </w:pPr>
      <w:r>
        <w:rPr>
          <w:b/>
          <w:color w:val="000000"/>
          <w:sz w:val="22"/>
        </w:rPr>
        <w:tab/>
      </w:r>
      <w:r>
        <w:rPr>
          <w:b/>
          <w:color w:val="000000"/>
          <w:sz w:val="22"/>
          <w:u w:val="single"/>
        </w:rPr>
        <w:t>Reconciliation of revenues</w:t>
      </w:r>
    </w:p>
    <w:p w:rsidR="001D09AD" w:rsidRDefault="001D09AD">
      <w:pPr>
        <w:tabs>
          <w:tab w:val="left" w:pos="601"/>
          <w:tab w:val="right" w:pos="8640"/>
          <w:tab w:val="right" w:pos="8731"/>
          <w:tab w:val="right" w:pos="9360"/>
        </w:tabs>
        <w:spacing w:before="40" w:line="317" w:lineRule="atLeast"/>
        <w:rPr>
          <w:b/>
          <w:color w:val="000000"/>
          <w:sz w:val="22"/>
        </w:rPr>
      </w:pPr>
      <w:r>
        <w:rPr>
          <w:b/>
          <w:color w:val="000000"/>
          <w:sz w:val="22"/>
        </w:rPr>
        <w:tab/>
        <w:t>Total segment revenues</w:t>
      </w:r>
      <w:r>
        <w:rPr>
          <w:b/>
          <w:color w:val="000000"/>
          <w:sz w:val="22"/>
        </w:rPr>
        <w:tab/>
        <w:t>$790,000</w:t>
      </w:r>
      <w:r>
        <w:rPr>
          <w:b/>
          <w:color w:val="000000"/>
          <w:sz w:val="22"/>
        </w:rPr>
        <w:tab/>
      </w:r>
    </w:p>
    <w:p w:rsidR="001D09AD" w:rsidRDefault="001D09AD">
      <w:pPr>
        <w:tabs>
          <w:tab w:val="left" w:pos="601"/>
          <w:tab w:val="right" w:pos="8640"/>
          <w:tab w:val="right" w:pos="8731"/>
          <w:tab w:val="right" w:pos="9360"/>
        </w:tabs>
        <w:spacing w:line="317" w:lineRule="atLeast"/>
        <w:rPr>
          <w:b/>
          <w:color w:val="000000"/>
          <w:sz w:val="22"/>
        </w:rPr>
      </w:pPr>
      <w:r>
        <w:rPr>
          <w:b/>
          <w:color w:val="000000"/>
          <w:sz w:val="22"/>
        </w:rPr>
        <w:tab/>
        <w:t>Revenues of immaterial segments</w:t>
      </w:r>
      <w:r>
        <w:rPr>
          <w:b/>
          <w:color w:val="000000"/>
          <w:sz w:val="22"/>
        </w:rPr>
        <w:tab/>
      </w:r>
      <w:r>
        <w:rPr>
          <w:b/>
          <w:color w:val="000000"/>
          <w:sz w:val="22"/>
        </w:rPr>
        <w:t> </w:t>
      </w:r>
      <w:r>
        <w:rPr>
          <w:b/>
          <w:color w:val="000000"/>
          <w:sz w:val="22"/>
        </w:rPr>
        <w:t xml:space="preserve"> (90,000</w:t>
      </w:r>
      <w:r>
        <w:rPr>
          <w:b/>
          <w:color w:val="000000"/>
          <w:sz w:val="22"/>
        </w:rPr>
        <w:tab/>
        <w:t>)</w:t>
      </w:r>
    </w:p>
    <w:p w:rsidR="001D09AD" w:rsidRDefault="001D09AD">
      <w:pPr>
        <w:tabs>
          <w:tab w:val="left" w:pos="601"/>
          <w:tab w:val="right" w:pos="8640"/>
          <w:tab w:val="right" w:pos="8731"/>
          <w:tab w:val="right" w:pos="9360"/>
        </w:tabs>
        <w:spacing w:line="317" w:lineRule="atLeast"/>
        <w:rPr>
          <w:b/>
          <w:color w:val="000000"/>
          <w:sz w:val="22"/>
        </w:rPr>
      </w:pPr>
      <w:r>
        <w:rPr>
          <w:b/>
          <w:color w:val="000000"/>
          <w:sz w:val="22"/>
        </w:rPr>
        <w:lastRenderedPageBreak/>
        <w:tab/>
        <w:t>Elimination of inter-segment revenues</w:t>
      </w:r>
      <w:r>
        <w:rPr>
          <w:b/>
          <w:color w:val="000000"/>
          <w:sz w:val="22"/>
        </w:rPr>
        <w:tab/>
      </w:r>
      <w:r>
        <w:rPr>
          <w:b/>
          <w:color w:val="000000"/>
          <w:sz w:val="22"/>
          <w:u w:val="single"/>
        </w:rPr>
        <w:t xml:space="preserve"> (120,000</w:t>
      </w:r>
      <w:r>
        <w:rPr>
          <w:b/>
          <w:color w:val="000000"/>
          <w:sz w:val="22"/>
        </w:rPr>
        <w:tab/>
        <w:t>)</w:t>
      </w:r>
    </w:p>
    <w:p w:rsidR="001D09AD" w:rsidRDefault="001D09AD">
      <w:pPr>
        <w:tabs>
          <w:tab w:val="left" w:pos="601"/>
          <w:tab w:val="right" w:pos="8640"/>
          <w:tab w:val="right" w:pos="8731"/>
          <w:tab w:val="right" w:pos="9360"/>
        </w:tabs>
        <w:spacing w:line="317" w:lineRule="atLeast"/>
        <w:rPr>
          <w:b/>
          <w:color w:val="000000"/>
          <w:sz w:val="22"/>
        </w:rPr>
      </w:pPr>
      <w:r>
        <w:rPr>
          <w:b/>
          <w:color w:val="000000"/>
          <w:sz w:val="22"/>
        </w:rPr>
        <w:tab/>
        <w:t>Revenues from reportable segments</w:t>
      </w:r>
      <w:r>
        <w:rPr>
          <w:b/>
          <w:color w:val="000000"/>
          <w:sz w:val="22"/>
        </w:rPr>
        <w:tab/>
      </w:r>
      <w:r>
        <w:rPr>
          <w:b/>
          <w:color w:val="000000"/>
          <w:sz w:val="22"/>
          <w:u w:val="single"/>
        </w:rPr>
        <w:t>$580,000</w:t>
      </w:r>
      <w:r>
        <w:rPr>
          <w:b/>
          <w:color w:val="000000"/>
          <w:sz w:val="22"/>
        </w:rPr>
        <w:tab/>
      </w:r>
    </w:p>
    <w:p w:rsidR="001D09AD" w:rsidRDefault="001D09AD">
      <w:pPr>
        <w:tabs>
          <w:tab w:val="left" w:pos="601"/>
          <w:tab w:val="right" w:pos="9360"/>
        </w:tabs>
        <w:spacing w:line="317" w:lineRule="atLeast"/>
        <w:rPr>
          <w:b/>
          <w:color w:val="000000"/>
          <w:sz w:val="22"/>
        </w:rPr>
      </w:pPr>
    </w:p>
    <w:p w:rsidR="001D09AD" w:rsidRDefault="001D09AD">
      <w:pPr>
        <w:tabs>
          <w:tab w:val="left" w:pos="601"/>
          <w:tab w:val="right" w:pos="8640"/>
          <w:tab w:val="right" w:pos="8731"/>
          <w:tab w:val="right" w:pos="9360"/>
        </w:tabs>
        <w:spacing w:line="317" w:lineRule="atLeast"/>
        <w:rPr>
          <w:b/>
          <w:color w:val="000000"/>
          <w:sz w:val="22"/>
          <w:u w:val="single"/>
        </w:rPr>
      </w:pPr>
      <w:r>
        <w:rPr>
          <w:b/>
          <w:color w:val="000000"/>
          <w:sz w:val="22"/>
        </w:rPr>
        <w:tab/>
      </w:r>
      <w:r>
        <w:rPr>
          <w:b/>
          <w:color w:val="000000"/>
          <w:sz w:val="22"/>
          <w:u w:val="single"/>
        </w:rPr>
        <w:t>Reconciliation of profit or loss</w:t>
      </w:r>
    </w:p>
    <w:p w:rsidR="001D09AD" w:rsidRDefault="001D09AD">
      <w:pPr>
        <w:tabs>
          <w:tab w:val="left" w:pos="601"/>
          <w:tab w:val="right" w:pos="8640"/>
          <w:tab w:val="right" w:pos="8731"/>
          <w:tab w:val="right" w:pos="9360"/>
        </w:tabs>
        <w:spacing w:before="40" w:line="317" w:lineRule="atLeast"/>
        <w:rPr>
          <w:b/>
          <w:color w:val="000000"/>
          <w:sz w:val="22"/>
        </w:rPr>
      </w:pPr>
      <w:r>
        <w:rPr>
          <w:b/>
          <w:color w:val="000000"/>
          <w:sz w:val="22"/>
        </w:rPr>
        <w:tab/>
        <w:t>Total segment operating profit</w:t>
      </w:r>
      <w:r>
        <w:rPr>
          <w:b/>
          <w:color w:val="000000"/>
          <w:sz w:val="22"/>
        </w:rPr>
        <w:tab/>
        <w:t>$</w:t>
      </w:r>
      <w:r>
        <w:rPr>
          <w:b/>
          <w:color w:val="000000"/>
          <w:sz w:val="22"/>
        </w:rPr>
        <w:t> </w:t>
      </w:r>
      <w:r>
        <w:rPr>
          <w:b/>
          <w:color w:val="000000"/>
          <w:sz w:val="22"/>
        </w:rPr>
        <w:t>87,000</w:t>
      </w:r>
      <w:r>
        <w:rPr>
          <w:b/>
          <w:color w:val="000000"/>
          <w:sz w:val="22"/>
        </w:rPr>
        <w:tab/>
      </w:r>
    </w:p>
    <w:p w:rsidR="001D09AD" w:rsidRDefault="001D09AD">
      <w:pPr>
        <w:tabs>
          <w:tab w:val="left" w:pos="601"/>
          <w:tab w:val="right" w:pos="8640"/>
          <w:tab w:val="right" w:pos="8731"/>
          <w:tab w:val="right" w:pos="9360"/>
        </w:tabs>
        <w:spacing w:line="317" w:lineRule="atLeast"/>
        <w:rPr>
          <w:b/>
          <w:color w:val="000000"/>
          <w:sz w:val="22"/>
        </w:rPr>
      </w:pPr>
      <w:r>
        <w:rPr>
          <w:b/>
          <w:color w:val="000000"/>
          <w:sz w:val="22"/>
        </w:rPr>
        <w:tab/>
        <w:t>Profits of immaterial segments</w:t>
      </w:r>
      <w:r>
        <w:rPr>
          <w:b/>
          <w:color w:val="000000"/>
          <w:sz w:val="22"/>
        </w:rPr>
        <w:tab/>
      </w:r>
      <w:r>
        <w:rPr>
          <w:b/>
          <w:color w:val="000000"/>
          <w:sz w:val="22"/>
          <w:u w:val="single"/>
        </w:rPr>
        <w:t> </w:t>
      </w:r>
      <w:r>
        <w:rPr>
          <w:b/>
          <w:color w:val="000000"/>
          <w:sz w:val="22"/>
          <w:u w:val="single"/>
        </w:rPr>
        <w:t xml:space="preserve"> (11,000</w:t>
      </w:r>
      <w:r>
        <w:rPr>
          <w:b/>
          <w:color w:val="000000"/>
          <w:sz w:val="22"/>
        </w:rPr>
        <w:tab/>
        <w:t>)</w:t>
      </w:r>
    </w:p>
    <w:p w:rsidR="001D09AD" w:rsidRDefault="001D09AD">
      <w:pPr>
        <w:tabs>
          <w:tab w:val="left" w:pos="601"/>
          <w:tab w:val="right" w:pos="8640"/>
          <w:tab w:val="right" w:pos="8731"/>
          <w:tab w:val="right" w:pos="9360"/>
        </w:tabs>
        <w:spacing w:line="317" w:lineRule="atLeast"/>
        <w:rPr>
          <w:b/>
          <w:color w:val="000000"/>
          <w:sz w:val="22"/>
        </w:rPr>
      </w:pPr>
      <w:r>
        <w:rPr>
          <w:b/>
          <w:color w:val="000000"/>
          <w:sz w:val="22"/>
        </w:rPr>
        <w:tab/>
        <w:t>Profits from reportable segments</w:t>
      </w:r>
      <w:r>
        <w:rPr>
          <w:b/>
          <w:color w:val="000000"/>
          <w:sz w:val="22"/>
        </w:rPr>
        <w:tab/>
      </w:r>
      <w:r>
        <w:rPr>
          <w:b/>
          <w:color w:val="000000"/>
          <w:sz w:val="22"/>
          <w:u w:val="single"/>
        </w:rPr>
        <w:t>$</w:t>
      </w:r>
      <w:r>
        <w:rPr>
          <w:b/>
          <w:color w:val="000000"/>
          <w:sz w:val="22"/>
          <w:u w:val="single"/>
        </w:rPr>
        <w:t> </w:t>
      </w:r>
      <w:r>
        <w:rPr>
          <w:b/>
          <w:color w:val="000000"/>
          <w:sz w:val="22"/>
          <w:u w:val="single"/>
        </w:rPr>
        <w:t>76,000</w:t>
      </w:r>
      <w:r>
        <w:rPr>
          <w:b/>
          <w:color w:val="000000"/>
          <w:sz w:val="22"/>
        </w:rPr>
        <w:tab/>
      </w:r>
    </w:p>
    <w:p w:rsidR="001D09AD" w:rsidRDefault="001D09AD">
      <w:pPr>
        <w:tabs>
          <w:tab w:val="right" w:pos="8640"/>
          <w:tab w:val="right" w:pos="8731"/>
          <w:tab w:val="right" w:pos="9360"/>
        </w:tabs>
        <w:spacing w:line="317" w:lineRule="atLeast"/>
        <w:rPr>
          <w:b/>
          <w:color w:val="000000"/>
          <w:sz w:val="22"/>
        </w:rPr>
      </w:pPr>
    </w:p>
    <w:p w:rsidR="001D09AD" w:rsidRDefault="001D09AD">
      <w:pPr>
        <w:tabs>
          <w:tab w:val="left" w:pos="601"/>
          <w:tab w:val="right" w:pos="8640"/>
          <w:tab w:val="right" w:pos="8731"/>
          <w:tab w:val="right" w:pos="9360"/>
        </w:tabs>
        <w:spacing w:before="40" w:line="317" w:lineRule="atLeast"/>
        <w:rPr>
          <w:b/>
          <w:color w:val="000000"/>
          <w:sz w:val="22"/>
          <w:u w:val="single"/>
        </w:rPr>
      </w:pPr>
      <w:r>
        <w:rPr>
          <w:b/>
          <w:color w:val="000000"/>
          <w:sz w:val="22"/>
        </w:rPr>
        <w:tab/>
      </w:r>
      <w:r>
        <w:rPr>
          <w:b/>
          <w:color w:val="000000"/>
          <w:sz w:val="22"/>
          <w:u w:val="single"/>
        </w:rPr>
        <w:t>Reconciliation of assets</w:t>
      </w:r>
    </w:p>
    <w:p w:rsidR="001D09AD" w:rsidRDefault="001D09AD">
      <w:pPr>
        <w:tabs>
          <w:tab w:val="left" w:pos="601"/>
          <w:tab w:val="right" w:pos="8640"/>
          <w:tab w:val="right" w:pos="8731"/>
          <w:tab w:val="right" w:pos="9360"/>
        </w:tabs>
        <w:spacing w:before="40" w:line="317" w:lineRule="atLeast"/>
        <w:rPr>
          <w:b/>
          <w:color w:val="000000"/>
          <w:sz w:val="22"/>
        </w:rPr>
      </w:pPr>
      <w:r>
        <w:rPr>
          <w:b/>
          <w:color w:val="000000"/>
          <w:sz w:val="22"/>
        </w:rPr>
        <w:tab/>
        <w:t>Total segment assets</w:t>
      </w:r>
      <w:r>
        <w:rPr>
          <w:b/>
          <w:color w:val="000000"/>
          <w:sz w:val="22"/>
        </w:rPr>
        <w:tab/>
        <w:t>$710,000</w:t>
      </w:r>
      <w:r>
        <w:rPr>
          <w:b/>
          <w:color w:val="000000"/>
          <w:sz w:val="22"/>
        </w:rPr>
        <w:tab/>
      </w:r>
    </w:p>
    <w:p w:rsidR="001D09AD" w:rsidRDefault="001D09AD">
      <w:pPr>
        <w:tabs>
          <w:tab w:val="left" w:pos="601"/>
          <w:tab w:val="right" w:pos="8640"/>
          <w:tab w:val="right" w:pos="8731"/>
          <w:tab w:val="right" w:pos="9360"/>
        </w:tabs>
        <w:spacing w:line="317" w:lineRule="atLeast"/>
        <w:rPr>
          <w:b/>
          <w:color w:val="000000"/>
          <w:sz w:val="22"/>
        </w:rPr>
      </w:pPr>
      <w:r>
        <w:rPr>
          <w:b/>
          <w:color w:val="000000"/>
          <w:sz w:val="22"/>
        </w:rPr>
        <w:tab/>
        <w:t>Assets of immaterial segments ($65,000 + $50,000)</w:t>
      </w:r>
      <w:r>
        <w:rPr>
          <w:b/>
          <w:color w:val="000000"/>
          <w:sz w:val="22"/>
        </w:rPr>
        <w:tab/>
      </w:r>
      <w:r>
        <w:rPr>
          <w:b/>
          <w:color w:val="000000"/>
          <w:sz w:val="22"/>
          <w:u w:val="single"/>
        </w:rPr>
        <w:t xml:space="preserve"> (115,000</w:t>
      </w:r>
      <w:r>
        <w:rPr>
          <w:b/>
          <w:color w:val="000000"/>
          <w:sz w:val="22"/>
          <w:u w:val="single"/>
        </w:rPr>
        <w:tab/>
      </w:r>
      <w:r>
        <w:rPr>
          <w:b/>
          <w:color w:val="000000"/>
          <w:sz w:val="22"/>
        </w:rPr>
        <w:t>)</w:t>
      </w:r>
    </w:p>
    <w:p w:rsidR="001D09AD" w:rsidRDefault="001D09AD">
      <w:pPr>
        <w:tabs>
          <w:tab w:val="left" w:pos="601"/>
          <w:tab w:val="right" w:pos="8640"/>
          <w:tab w:val="right" w:pos="8731"/>
          <w:tab w:val="right" w:pos="9360"/>
        </w:tabs>
        <w:spacing w:line="317" w:lineRule="atLeast"/>
        <w:rPr>
          <w:b/>
          <w:color w:val="000000"/>
          <w:sz w:val="22"/>
        </w:rPr>
      </w:pPr>
      <w:r>
        <w:rPr>
          <w:b/>
          <w:color w:val="000000"/>
          <w:sz w:val="22"/>
        </w:rPr>
        <w:tab/>
        <w:t>Assets from reportable segments</w:t>
      </w:r>
      <w:r>
        <w:rPr>
          <w:b/>
          <w:color w:val="000000"/>
          <w:sz w:val="22"/>
        </w:rPr>
        <w:tab/>
      </w:r>
      <w:r>
        <w:rPr>
          <w:b/>
          <w:color w:val="000000"/>
          <w:sz w:val="22"/>
          <w:u w:val="single"/>
        </w:rPr>
        <w:t>$595,000</w:t>
      </w:r>
      <w:r>
        <w:rPr>
          <w:b/>
          <w:color w:val="000000"/>
          <w:sz w:val="22"/>
        </w:rPr>
        <w:tab/>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p>
    <w:p w:rsidR="001D09AD" w:rsidRDefault="001D09AD">
      <w:pPr>
        <w:tabs>
          <w:tab w:val="left" w:pos="601"/>
          <w:tab w:val="right" w:pos="8640"/>
          <w:tab w:val="right" w:pos="8731"/>
          <w:tab w:val="right" w:pos="9360"/>
        </w:tabs>
        <w:spacing w:before="40" w:line="317" w:lineRule="atLeast"/>
        <w:rPr>
          <w:b/>
          <w:color w:val="000000"/>
          <w:sz w:val="22"/>
          <w:u w:val="single"/>
        </w:rPr>
      </w:pPr>
      <w:r>
        <w:rPr>
          <w:b/>
          <w:color w:val="000000"/>
          <w:sz w:val="22"/>
        </w:rPr>
        <w:tab/>
      </w:r>
      <w:r>
        <w:rPr>
          <w:b/>
          <w:color w:val="000000"/>
          <w:sz w:val="22"/>
          <w:u w:val="single"/>
        </w:rPr>
        <w:t>Reconciliation of liabilities</w:t>
      </w:r>
    </w:p>
    <w:p w:rsidR="001D09AD" w:rsidRDefault="001D09AD">
      <w:pPr>
        <w:tabs>
          <w:tab w:val="left" w:pos="601"/>
          <w:tab w:val="right" w:pos="8640"/>
          <w:tab w:val="right" w:pos="8731"/>
          <w:tab w:val="right" w:pos="9360"/>
        </w:tabs>
        <w:spacing w:before="40" w:line="317" w:lineRule="atLeast"/>
        <w:rPr>
          <w:b/>
          <w:color w:val="000000"/>
          <w:sz w:val="22"/>
        </w:rPr>
      </w:pPr>
      <w:r>
        <w:rPr>
          <w:b/>
          <w:color w:val="000000"/>
          <w:sz w:val="22"/>
        </w:rPr>
        <w:tab/>
        <w:t>Total segment liabilities</w:t>
      </w:r>
      <w:r>
        <w:rPr>
          <w:b/>
          <w:color w:val="000000"/>
          <w:sz w:val="22"/>
        </w:rPr>
        <w:tab/>
        <w:t>$537,000</w:t>
      </w:r>
      <w:r>
        <w:rPr>
          <w:b/>
          <w:color w:val="000000"/>
          <w:sz w:val="22"/>
        </w:rPr>
        <w:tab/>
      </w:r>
    </w:p>
    <w:p w:rsidR="001D09AD" w:rsidRDefault="001D09AD">
      <w:pPr>
        <w:tabs>
          <w:tab w:val="left" w:pos="601"/>
          <w:tab w:val="right" w:pos="8640"/>
          <w:tab w:val="right" w:pos="8731"/>
          <w:tab w:val="right" w:pos="9360"/>
        </w:tabs>
        <w:spacing w:line="317" w:lineRule="atLeast"/>
        <w:rPr>
          <w:b/>
          <w:color w:val="000000"/>
          <w:sz w:val="22"/>
        </w:rPr>
      </w:pPr>
      <w:r>
        <w:rPr>
          <w:b/>
          <w:color w:val="000000"/>
          <w:sz w:val="22"/>
        </w:rPr>
        <w:tab/>
        <w:t>Liab. of immaterial segments ($12,000 + $29,000)</w:t>
      </w:r>
      <w:r>
        <w:rPr>
          <w:b/>
          <w:color w:val="000000"/>
          <w:sz w:val="22"/>
        </w:rPr>
        <w:tab/>
      </w:r>
      <w:r>
        <w:rPr>
          <w:b/>
          <w:color w:val="000000"/>
          <w:sz w:val="22"/>
          <w:u w:val="single"/>
        </w:rPr>
        <w:t xml:space="preserve"> (41,000</w:t>
      </w:r>
      <w:r>
        <w:rPr>
          <w:b/>
          <w:color w:val="000000"/>
          <w:sz w:val="22"/>
          <w:u w:val="single"/>
        </w:rPr>
        <w:tab/>
      </w:r>
      <w:r>
        <w:rPr>
          <w:b/>
          <w:color w:val="000000"/>
          <w:sz w:val="22"/>
        </w:rPr>
        <w:t>)</w:t>
      </w:r>
    </w:p>
    <w:p w:rsidR="001D09AD" w:rsidRDefault="001D09AD">
      <w:pPr>
        <w:tabs>
          <w:tab w:val="left" w:pos="601"/>
          <w:tab w:val="right" w:pos="8640"/>
          <w:tab w:val="right" w:pos="8731"/>
          <w:tab w:val="right" w:pos="9360"/>
        </w:tabs>
        <w:spacing w:line="317" w:lineRule="atLeast"/>
        <w:rPr>
          <w:b/>
          <w:color w:val="000000"/>
          <w:sz w:val="22"/>
        </w:rPr>
      </w:pPr>
      <w:r>
        <w:rPr>
          <w:b/>
          <w:color w:val="000000"/>
          <w:sz w:val="22"/>
        </w:rPr>
        <w:tab/>
        <w:t>Liabilities from reportable segments</w:t>
      </w:r>
      <w:r>
        <w:rPr>
          <w:b/>
          <w:color w:val="000000"/>
          <w:sz w:val="22"/>
        </w:rPr>
        <w:tab/>
      </w:r>
      <w:r>
        <w:rPr>
          <w:b/>
          <w:color w:val="000000"/>
          <w:sz w:val="22"/>
          <w:u w:val="single"/>
        </w:rPr>
        <w:t>$496,000</w:t>
      </w:r>
      <w:r>
        <w:rPr>
          <w:b/>
          <w:color w:val="000000"/>
          <w:sz w:val="22"/>
        </w:rPr>
        <w:tab/>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p>
    <w:p w:rsidR="001D09AD" w:rsidRDefault="001D09AD">
      <w:pPr>
        <w:tabs>
          <w:tab w:val="left" w:pos="1145"/>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spacing w:line="317" w:lineRule="atLeast"/>
        <w:ind w:left="601" w:hanging="600"/>
        <w:jc w:val="both"/>
        <w:rPr>
          <w:b/>
          <w:color w:val="000000"/>
          <w:sz w:val="22"/>
        </w:rPr>
      </w:pPr>
      <w:r>
        <w:rPr>
          <w:b/>
          <w:color w:val="000000"/>
          <w:sz w:val="22"/>
        </w:rPr>
        <w:t>(c)</w:t>
      </w:r>
      <w:r>
        <w:rPr>
          <w:b/>
          <w:color w:val="000000"/>
          <w:sz w:val="22"/>
        </w:rPr>
        <w:tab/>
        <w:t>One of the major arguments against providing segment information is that competitors will then be able to determine the profitable segments and enter that product line themselves. If this occurs and the other company is successful, then the present shareholders of Franklin Corporation may suffer. Disclosure of segments undoubtedly provides some needed information, but some disclosures desired by external parties may be confidential.</w:t>
      </w:r>
    </w:p>
    <w:p w:rsidR="001D09AD" w:rsidRDefault="001D09AD">
      <w:pPr>
        <w:tabs>
          <w:tab w:val="left" w:pos="1145"/>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spacing w:line="317" w:lineRule="atLeast"/>
        <w:ind w:left="601" w:hanging="600"/>
        <w:jc w:val="both"/>
        <w:rPr>
          <w:b/>
          <w:color w:val="000000"/>
          <w:sz w:val="22"/>
        </w:rPr>
      </w:pPr>
    </w:p>
    <w:p w:rsidR="001D09AD" w:rsidRDefault="001D09AD">
      <w:pPr>
        <w:tabs>
          <w:tab w:val="left" w:pos="1145"/>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spacing w:line="317" w:lineRule="atLeast"/>
        <w:ind w:left="601" w:hanging="600"/>
        <w:jc w:val="both"/>
        <w:rPr>
          <w:b/>
          <w:color w:val="000000"/>
          <w:sz w:val="22"/>
        </w:rPr>
      </w:pPr>
    </w:p>
    <w:tbl>
      <w:tblPr>
        <w:tblW w:w="0" w:type="auto"/>
        <w:tblInd w:w="2" w:type="dxa"/>
        <w:tblLayout w:type="fixed"/>
        <w:tblCellMar>
          <w:left w:w="0" w:type="dxa"/>
          <w:right w:w="0" w:type="dxa"/>
        </w:tblCellMar>
        <w:tblLook w:val="0000" w:firstRow="0" w:lastRow="0" w:firstColumn="0" w:lastColumn="0" w:noHBand="0" w:noVBand="0"/>
      </w:tblPr>
      <w:tblGrid>
        <w:gridCol w:w="3419"/>
      </w:tblGrid>
      <w:tr w:rsidR="001D09AD">
        <w:trPr>
          <w:cantSplit/>
        </w:trPr>
        <w:tc>
          <w:tcPr>
            <w:tcW w:w="3419" w:type="dxa"/>
            <w:tcBorders>
              <w:top w:val="single" w:sz="8" w:space="0" w:color="000000"/>
              <w:left w:val="single" w:sz="8" w:space="0" w:color="000000"/>
              <w:bottom w:val="single" w:sz="8" w:space="0" w:color="000000"/>
              <w:right w:val="single" w:sz="8" w:space="0" w:color="000000"/>
            </w:tcBorders>
          </w:tcPr>
          <w:p w:rsidR="001D09AD" w:rsidRDefault="001D09AD">
            <w:pPr>
              <w:pStyle w:val="TableContents"/>
              <w:tabs>
                <w:tab w:val="left" w:pos="777"/>
                <w:tab w:val="left" w:pos="1497"/>
                <w:tab w:val="left" w:pos="2217"/>
                <w:tab w:val="left" w:pos="2937"/>
                <w:tab w:val="right" w:pos="3362"/>
              </w:tabs>
              <w:spacing w:line="317" w:lineRule="atLeast"/>
              <w:ind w:left="57" w:right="57"/>
              <w:jc w:val="center"/>
              <w:rPr>
                <w:b/>
                <w:color w:val="000000"/>
                <w:sz w:val="22"/>
              </w:rPr>
            </w:pPr>
            <w:r>
              <w:rPr>
                <w:b/>
                <w:color w:val="000000"/>
                <w:sz w:val="22"/>
              </w:rPr>
              <w:t>PROBLEM 23-6</w:t>
            </w:r>
          </w:p>
        </w:tc>
      </w:tr>
    </w:tbl>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p>
    <w:p w:rsidR="001D09AD" w:rsidRDefault="001D09AD">
      <w:pPr>
        <w:tabs>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spacing w:after="198"/>
        <w:ind w:left="601" w:hanging="600"/>
        <w:jc w:val="both"/>
        <w:rPr>
          <w:b/>
          <w:color w:val="000000"/>
          <w:sz w:val="22"/>
        </w:rPr>
      </w:pPr>
      <w:r>
        <w:rPr>
          <w:b/>
          <w:color w:val="000000"/>
          <w:sz w:val="22"/>
        </w:rPr>
        <w:t>(a)</w:t>
      </w:r>
      <w:r>
        <w:rPr>
          <w:b/>
          <w:color w:val="000000"/>
          <w:sz w:val="22"/>
        </w:rPr>
        <w:tab/>
        <w:t>Some companies such as H. J. Heinz have only one dominant product or service and therefore it is impossible to provide segmented data in a meaningful fashion. Dominant means that a given segment has 90% of all the sales, profit and identifiable assets of the company. In this case, segmented data are not provided, but the industry in which the dominant segment operates must be identified.</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rPr>
          <w:b/>
          <w:color w:val="000000"/>
          <w:sz w:val="22"/>
        </w:rPr>
      </w:pPr>
    </w:p>
    <w:p w:rsidR="001D09AD" w:rsidRDefault="001D09AD">
      <w:pPr>
        <w:tabs>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ind w:left="601" w:hanging="600"/>
        <w:jc w:val="both"/>
        <w:rPr>
          <w:b/>
          <w:color w:val="000000"/>
          <w:sz w:val="22"/>
        </w:rPr>
      </w:pPr>
      <w:r>
        <w:rPr>
          <w:b/>
          <w:color w:val="000000"/>
          <w:sz w:val="22"/>
        </w:rPr>
        <w:t xml:space="preserve"> (b)</w:t>
      </w:r>
      <w:r>
        <w:rPr>
          <w:b/>
          <w:color w:val="000000"/>
          <w:sz w:val="22"/>
        </w:rPr>
        <w:tab/>
        <w:t>Reporting sales by geographical area is extremely important. Countries have widely differing political and economic risk profiles, which may affect earnings prospects. Less stable geographic areas should be evaluated carefully, whereas more stable areas may require less analysis and attention.</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rPr>
          <w:b/>
          <w:color w:val="000000"/>
          <w:sz w:val="22"/>
        </w:rPr>
      </w:pP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color w:val="000000"/>
          <w:sz w:val="22"/>
        </w:rPr>
      </w:pPr>
      <w:r>
        <w:rPr>
          <w:b/>
          <w:color w:val="000000"/>
          <w:sz w:val="22"/>
        </w:rPr>
        <w:tab/>
        <w:t xml:space="preserve">The IASB requires that financial statements include selected information on a </w:t>
      </w:r>
      <w:r>
        <w:rPr>
          <w:b/>
          <w:color w:val="000000"/>
          <w:sz w:val="22"/>
          <w:u w:val="single"/>
        </w:rPr>
        <w:t>single basis</w:t>
      </w:r>
      <w:r>
        <w:rPr>
          <w:b/>
          <w:color w:val="000000"/>
          <w:sz w:val="22"/>
        </w:rPr>
        <w:t xml:space="preserve"> of segmentation. The method chosen is sometimes referred to as the management approach. The </w:t>
      </w:r>
      <w:r>
        <w:rPr>
          <w:b/>
          <w:color w:val="000000"/>
          <w:sz w:val="22"/>
          <w:u w:val="single"/>
        </w:rPr>
        <w:t>management approach</w:t>
      </w:r>
      <w:r>
        <w:rPr>
          <w:b/>
          <w:color w:val="000000"/>
          <w:sz w:val="22"/>
        </w:rPr>
        <w:t xml:space="preserve"> is based on the way that management segments the company for making </w:t>
      </w:r>
      <w:r>
        <w:rPr>
          <w:b/>
          <w:color w:val="000000"/>
          <w:sz w:val="22"/>
        </w:rPr>
        <w:lastRenderedPageBreak/>
        <w:t>operating decisions, which is made evident by the company’s organization structure. As this approach focuses on information about the components of the business that management looks at in making its decisions about operating matters, the components are referred to as operating segments rather than geographic or industry segments.</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b/>
          <w:color w:val="000000"/>
          <w:sz w:val="22"/>
        </w:rPr>
      </w:pPr>
    </w:p>
    <w:tbl>
      <w:tblPr>
        <w:tblW w:w="0" w:type="auto"/>
        <w:tblInd w:w="2" w:type="dxa"/>
        <w:tblLayout w:type="fixed"/>
        <w:tblCellMar>
          <w:left w:w="0" w:type="dxa"/>
          <w:right w:w="0" w:type="dxa"/>
        </w:tblCellMar>
        <w:tblLook w:val="0000" w:firstRow="0" w:lastRow="0" w:firstColumn="0" w:lastColumn="0" w:noHBand="0" w:noVBand="0"/>
      </w:tblPr>
      <w:tblGrid>
        <w:gridCol w:w="3419"/>
      </w:tblGrid>
      <w:tr w:rsidR="001D09AD">
        <w:trPr>
          <w:cantSplit/>
        </w:trPr>
        <w:tc>
          <w:tcPr>
            <w:tcW w:w="3419" w:type="dxa"/>
            <w:tcBorders>
              <w:top w:val="single" w:sz="8" w:space="0" w:color="000000"/>
              <w:left w:val="single" w:sz="8" w:space="0" w:color="000000"/>
              <w:bottom w:val="single" w:sz="8" w:space="0" w:color="000000"/>
              <w:right w:val="single" w:sz="8" w:space="0" w:color="000000"/>
            </w:tcBorders>
          </w:tcPr>
          <w:p w:rsidR="001D09AD" w:rsidRDefault="001D09AD">
            <w:pPr>
              <w:pStyle w:val="TableContents"/>
              <w:tabs>
                <w:tab w:val="left" w:pos="777"/>
                <w:tab w:val="left" w:pos="1497"/>
                <w:tab w:val="left" w:pos="2217"/>
                <w:tab w:val="left" w:pos="2937"/>
                <w:tab w:val="right" w:pos="3362"/>
              </w:tabs>
              <w:spacing w:line="317" w:lineRule="atLeast"/>
              <w:ind w:left="57" w:right="57"/>
              <w:jc w:val="center"/>
              <w:rPr>
                <w:b/>
                <w:color w:val="000000"/>
                <w:sz w:val="22"/>
              </w:rPr>
            </w:pPr>
            <w:r>
              <w:rPr>
                <w:b/>
                <w:color w:val="000000"/>
                <w:sz w:val="22"/>
              </w:rPr>
              <w:t>PROBLEM 23-9</w:t>
            </w:r>
          </w:p>
        </w:tc>
      </w:tr>
    </w:tbl>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317" w:lineRule="atLeast"/>
        <w:rPr>
          <w:b/>
          <w:color w:val="000000"/>
          <w:sz w:val="22"/>
        </w:rPr>
      </w:pPr>
    </w:p>
    <w:p w:rsidR="001D09AD" w:rsidRDefault="001D09AD">
      <w:pPr>
        <w:tabs>
          <w:tab w:val="left" w:pos="120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rPr>
          <w:b/>
          <w:color w:val="000000"/>
          <w:sz w:val="22"/>
        </w:rPr>
      </w:pPr>
      <w:r>
        <w:rPr>
          <w:b/>
          <w:color w:val="000000"/>
          <w:sz w:val="22"/>
        </w:rPr>
        <w:t>To:</w:t>
      </w:r>
      <w:r>
        <w:rPr>
          <w:b/>
          <w:color w:val="000000"/>
          <w:sz w:val="22"/>
        </w:rPr>
        <w:tab/>
        <w:t>Timothy Chow, Accountant</w:t>
      </w:r>
    </w:p>
    <w:p w:rsidR="001D09AD" w:rsidRDefault="001D09AD">
      <w:pPr>
        <w:tabs>
          <w:tab w:val="left" w:pos="120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rPr>
          <w:b/>
          <w:color w:val="000000"/>
          <w:sz w:val="22"/>
        </w:rPr>
      </w:pPr>
      <w:r>
        <w:rPr>
          <w:b/>
          <w:color w:val="000000"/>
          <w:sz w:val="22"/>
        </w:rPr>
        <w:t>From:</w:t>
      </w:r>
      <w:r>
        <w:rPr>
          <w:b/>
          <w:color w:val="000000"/>
          <w:sz w:val="22"/>
        </w:rPr>
        <w:tab/>
        <w:t>Student</w:t>
      </w:r>
    </w:p>
    <w:p w:rsidR="001D09AD" w:rsidRDefault="001D09AD">
      <w:pPr>
        <w:tabs>
          <w:tab w:val="left" w:pos="120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rPr>
          <w:b/>
          <w:color w:val="000000"/>
          <w:sz w:val="22"/>
        </w:rPr>
      </w:pPr>
      <w:r>
        <w:rPr>
          <w:b/>
          <w:color w:val="000000"/>
          <w:sz w:val="22"/>
        </w:rPr>
        <w:t>Date:</w:t>
      </w:r>
      <w:r>
        <w:rPr>
          <w:b/>
          <w:color w:val="000000"/>
          <w:sz w:val="22"/>
        </w:rPr>
        <w:tab/>
        <w:t>Current date</w:t>
      </w:r>
    </w:p>
    <w:p w:rsidR="001D09AD" w:rsidRDefault="001D09AD">
      <w:pPr>
        <w:tabs>
          <w:tab w:val="left" w:pos="120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rPr>
          <w:b/>
          <w:color w:val="000000"/>
          <w:sz w:val="22"/>
        </w:rPr>
      </w:pPr>
      <w:r>
        <w:rPr>
          <w:b/>
          <w:color w:val="000000"/>
          <w:sz w:val="22"/>
        </w:rPr>
        <w:t>Subject:</w:t>
      </w:r>
      <w:r>
        <w:rPr>
          <w:b/>
          <w:color w:val="000000"/>
          <w:sz w:val="22"/>
        </w:rPr>
        <w:tab/>
        <w:t>Determination of reportable segments for Vu Corporation International</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jc w:val="both"/>
        <w:rPr>
          <w:b/>
          <w:color w:val="000000"/>
          <w:sz w:val="22"/>
        </w:rPr>
      </w:pPr>
      <w:r>
        <w:rPr>
          <w:b/>
          <w:color w:val="000000"/>
          <w:sz w:val="22"/>
        </w:rPr>
        <w:t xml:space="preserve">The following comments assume that the information provided to me represents the company’s operating segments defined according to IFRS 8.5. Please note that “Corporate” cannot be defined as an operating or reportable segment because it does not generate revenues, but only serves to incur common costs that are not allocated out to each segment. I also assume that you have applied the qualitative tests to these segments and determined that none of them has the same basic economic characteristics that would suggest combining some of them into reportable segments. The next step, then, is to apply the quantitative threshold requirements.  </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jc w:val="both"/>
        <w:rPr>
          <w:b/>
          <w:color w:val="000000"/>
          <w:sz w:val="22"/>
        </w:rPr>
      </w:pPr>
      <w:r>
        <w:rPr>
          <w:b/>
          <w:color w:val="000000"/>
          <w:sz w:val="22"/>
        </w:rPr>
        <w:t>I have analyzed the information and determined that the funeral, the cem</w:t>
      </w:r>
      <w:r>
        <w:rPr>
          <w:b/>
          <w:color w:val="000000"/>
          <w:sz w:val="22"/>
        </w:rPr>
        <w:softHyphen/>
        <w:t xml:space="preserve">etery, and the limousine segments should be reported separately. The remaining two—the floral, and catering segments—can be combined under the category of </w:t>
      </w:r>
      <w:r>
        <w:rPr>
          <w:b/>
          <w:color w:val="000000"/>
          <w:sz w:val="22"/>
          <w:u w:val="single"/>
        </w:rPr>
        <w:t>other with the corporate data indicated as unallocated</w:t>
      </w:r>
      <w:r>
        <w:rPr>
          <w:b/>
          <w:color w:val="000000"/>
          <w:sz w:val="22"/>
        </w:rPr>
        <w:t>.</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jc w:val="both"/>
        <w:rPr>
          <w:b/>
          <w:color w:val="000000"/>
          <w:sz w:val="22"/>
        </w:rPr>
      </w:pPr>
      <w:r>
        <w:rPr>
          <w:b/>
          <w:color w:val="000000"/>
          <w:sz w:val="22"/>
        </w:rPr>
        <w:t xml:space="preserve">To make this determination, I applied three criteria put forth by the </w:t>
      </w:r>
      <w:r>
        <w:rPr>
          <w:b/>
          <w:i/>
          <w:color w:val="000000"/>
          <w:sz w:val="22"/>
        </w:rPr>
        <w:t>IFRS 8</w:t>
      </w:r>
      <w:r>
        <w:rPr>
          <w:b/>
          <w:color w:val="000000"/>
          <w:sz w:val="22"/>
        </w:rPr>
        <w:t xml:space="preserve"> to the information provided from 2014. Meeting any one of the three criteria makes the segment reportable. First, a segment must be reported separately if its revenue is greater than or equal to 10 percent of the enterprise’s combined revenue. This is the case with both the funeral and the cemetery segments, as revenue for both is greater than $41,600 (10 percent of combined revenue).</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jc w:val="both"/>
        <w:rPr>
          <w:b/>
          <w:color w:val="000000"/>
          <w:sz w:val="22"/>
        </w:rPr>
      </w:pPr>
      <w:r>
        <w:rPr>
          <w:b/>
          <w:color w:val="000000"/>
          <w:sz w:val="22"/>
        </w:rPr>
        <w:t>Second, a segment is considered significant enough to be reported separately if its absolute operating profit or operating loss is greater than or equal to: (a) the combined operating profit of all segments without an operating loss or (b) the combined operating loss of all segments that incurred a loss. Combined operating profit for all profitable segments totals $ 65,000 + $36,000 = $101,000. The funeral, cemetery, and limousine segments all meet this requirement. Thus, all three must be separately reported.</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jc w:val="both"/>
        <w:rPr>
          <w:b/>
          <w:color w:val="000000"/>
          <w:sz w:val="22"/>
        </w:rPr>
      </w:pPr>
      <w:r>
        <w:rPr>
          <w:b/>
          <w:color w:val="000000"/>
          <w:sz w:val="22"/>
        </w:rPr>
        <w:t>Third, a segment must be reported separately if its identifiable assets are greater than or equal to 10 percent of the combined identifiable assets for all operating segments. Again, the funeral and the cemetery segments meet this test. Note that the floral and catering segments meet none of the above criteria, so they are not reported separately, yet are combined to enable a reconciliation of segment data to consolidated amounts. The unallocated Corporate data will also be needed to complete the reconciliation.</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jc w:val="both"/>
        <w:rPr>
          <w:b/>
          <w:color w:val="000000"/>
          <w:sz w:val="22"/>
        </w:rPr>
      </w:pPr>
      <w:r>
        <w:rPr>
          <w:b/>
          <w:color w:val="000000"/>
          <w:sz w:val="22"/>
        </w:rPr>
        <w:t xml:space="preserve">When reporting segment information, you must include the profit as well as the total assets and liabilities for each. Additional information by segment is required only if the amounts are regularly reviewed by the chief decision-maker/management in their review and assessment of the segments. These include revenues from external customers, inter-segment revenues, interest revenue and expense, depreciation, amortization, unusual items, equity method investment income, </w:t>
      </w:r>
      <w:r>
        <w:rPr>
          <w:b/>
          <w:color w:val="000000"/>
          <w:sz w:val="22"/>
        </w:rPr>
        <w:lastRenderedPageBreak/>
        <w:t xml:space="preserve">income tax expense or benefit revenues, operating profit (loss), identifiable assets, liabilities, depreciation and amortization expense and other significant non-cash items, and amount of capital expenditures. </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jc w:val="both"/>
        <w:rPr>
          <w:b/>
          <w:color w:val="000000"/>
          <w:sz w:val="22"/>
        </w:rPr>
      </w:pPr>
      <w:r>
        <w:rPr>
          <w:b/>
          <w:color w:val="000000"/>
          <w:sz w:val="22"/>
        </w:rPr>
        <w:t>Reconciliations of segment revenues, operating profits and losses and assets and liabilities to the totals reported on the consolidated financial statements must be provided.</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jc w:val="both"/>
        <w:rPr>
          <w:b/>
          <w:color w:val="000000"/>
          <w:sz w:val="22"/>
        </w:rPr>
      </w:pPr>
      <w:r>
        <w:rPr>
          <w:b/>
          <w:color w:val="000000"/>
          <w:sz w:val="22"/>
        </w:rPr>
        <w:t>Please also note that other entity-wide disclosures are also required, even if a company determines that it operates in only one segment: how the segments were determined, the amount of revenue from external customers (not applicable in your case), Canadian and foreign revenues, capital assets and goodwill. I do not expect that you have any major customers that account for more than 10% of your total revenue, as that would also be a required disclosure.</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jc w:val="both"/>
        <w:rPr>
          <w:b/>
          <w:color w:val="000000"/>
          <w:sz w:val="22"/>
        </w:rPr>
      </w:pPr>
      <w:r>
        <w:rPr>
          <w:b/>
          <w:color w:val="000000"/>
          <w:sz w:val="22"/>
        </w:rPr>
        <w:t>I hope that this information helps you in determining future reportable segments. If you have any other questions, please contact me.</w:t>
      </w:r>
    </w:p>
    <w:p w:rsidR="001D09AD" w:rsidRDefault="001D09AD">
      <w:pPr>
        <w:tabs>
          <w:tab w:val="left" w:pos="1774"/>
          <w:tab w:val="left" w:pos="1916"/>
          <w:tab w:val="left" w:pos="2636"/>
          <w:tab w:val="left" w:pos="3356"/>
          <w:tab w:val="left" w:pos="4076"/>
          <w:tab w:val="left" w:pos="4796"/>
          <w:tab w:val="left" w:pos="5516"/>
          <w:tab w:val="left" w:pos="6236"/>
          <w:tab w:val="left" w:pos="6956"/>
          <w:tab w:val="left" w:pos="7676"/>
          <w:tab w:val="left" w:pos="8396"/>
          <w:tab w:val="left" w:pos="9116"/>
          <w:tab w:val="right" w:pos="9836"/>
        </w:tabs>
        <w:ind w:left="476" w:hanging="475"/>
        <w:rPr>
          <w:b/>
          <w:color w:val="000000"/>
          <w:sz w:val="22"/>
        </w:rPr>
      </w:pPr>
      <w:r>
        <w:rPr>
          <w:b/>
          <w:color w:val="000000"/>
          <w:sz w:val="22"/>
        </w:rPr>
        <w:t>WA 23-2</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b/>
          <w:color w:val="000000"/>
          <w:sz w:val="22"/>
        </w:rPr>
      </w:pPr>
    </w:p>
    <w:p w:rsidR="001D09AD" w:rsidRDefault="001D09AD">
      <w:pPr>
        <w:tabs>
          <w:tab w:val="left" w:pos="1003"/>
          <w:tab w:val="left" w:pos="1723"/>
          <w:tab w:val="left" w:pos="2443"/>
          <w:tab w:val="left" w:pos="3163"/>
          <w:tab w:val="left" w:pos="3883"/>
          <w:tab w:val="left" w:pos="4603"/>
          <w:tab w:val="left" w:pos="5323"/>
          <w:tab w:val="left" w:pos="6043"/>
          <w:tab w:val="left" w:pos="6763"/>
          <w:tab w:val="left" w:pos="7483"/>
          <w:tab w:val="left" w:pos="8203"/>
          <w:tab w:val="left" w:pos="8923"/>
          <w:tab w:val="right" w:pos="9643"/>
        </w:tabs>
        <w:spacing w:after="119" w:line="317" w:lineRule="atLeast"/>
        <w:ind w:left="283"/>
        <w:rPr>
          <w:b/>
          <w:color w:val="000000"/>
          <w:sz w:val="22"/>
        </w:rPr>
      </w:pPr>
      <w:r>
        <w:rPr>
          <w:b/>
          <w:color w:val="000000"/>
          <w:sz w:val="22"/>
        </w:rPr>
        <w:t>(a)</w:t>
      </w:r>
      <w:r>
        <w:rPr>
          <w:b/>
          <w:color w:val="000000"/>
          <w:sz w:val="22"/>
        </w:rPr>
        <w:tab/>
        <w:t>1.</w:t>
      </w:r>
      <w:r>
        <w:rPr>
          <w:b/>
          <w:color w:val="000000"/>
          <w:sz w:val="22"/>
        </w:rPr>
        <w:tab/>
        <w:t>IFRS favours the discrete view for interim reporting.  This means that Kersee should report its operating results for the quarter as if the quarter were an entirely separate reporting period.</w:t>
      </w:r>
    </w:p>
    <w:p w:rsidR="001D09AD" w:rsidRDefault="001D09AD">
      <w:pPr>
        <w:tabs>
          <w:tab w:val="left" w:pos="1003"/>
          <w:tab w:val="left" w:pos="1723"/>
          <w:tab w:val="left" w:pos="2443"/>
          <w:tab w:val="left" w:pos="3163"/>
          <w:tab w:val="left" w:pos="3883"/>
          <w:tab w:val="left" w:pos="4603"/>
          <w:tab w:val="left" w:pos="5323"/>
          <w:tab w:val="left" w:pos="6043"/>
          <w:tab w:val="left" w:pos="6763"/>
          <w:tab w:val="left" w:pos="7483"/>
          <w:tab w:val="left" w:pos="8203"/>
          <w:tab w:val="left" w:pos="8923"/>
          <w:tab w:val="right" w:pos="9643"/>
        </w:tabs>
        <w:spacing w:after="119" w:line="317" w:lineRule="atLeast"/>
        <w:ind w:left="283"/>
        <w:rPr>
          <w:b/>
          <w:color w:val="000000"/>
          <w:sz w:val="22"/>
        </w:rPr>
      </w:pPr>
      <w:r>
        <w:rPr>
          <w:b/>
          <w:color w:val="000000"/>
          <w:sz w:val="22"/>
        </w:rPr>
        <w:tab/>
        <w:t>(b) 2.</w:t>
      </w:r>
      <w:r>
        <w:rPr>
          <w:b/>
          <w:color w:val="000000"/>
          <w:sz w:val="22"/>
        </w:rPr>
        <w:tab/>
        <w:t>The company’s revenue and expenses would be reported as follows on its quarterly report prepared for the first quarter of the 2014 fiscal year:</w:t>
      </w:r>
    </w:p>
    <w:p w:rsidR="001D09AD" w:rsidRDefault="001D09AD">
      <w:pPr>
        <w:tabs>
          <w:tab w:val="left" w:pos="1747"/>
          <w:tab w:val="left" w:pos="2580"/>
          <w:tab w:val="left" w:pos="3300"/>
          <w:tab w:val="left" w:pos="4020"/>
          <w:tab w:val="left" w:pos="4740"/>
          <w:tab w:val="left" w:pos="5460"/>
          <w:tab w:val="left" w:pos="6180"/>
          <w:tab w:val="left" w:pos="6900"/>
          <w:tab w:val="left" w:pos="7620"/>
          <w:tab w:val="left" w:pos="8340"/>
          <w:tab w:val="left" w:pos="9060"/>
          <w:tab w:val="left" w:pos="9780"/>
          <w:tab w:val="right" w:pos="10500"/>
        </w:tabs>
        <w:spacing w:after="198" w:line="317" w:lineRule="atLeast"/>
        <w:ind w:left="1140" w:hanging="1139"/>
        <w:jc w:val="both"/>
        <w:rPr>
          <w:b/>
          <w:color w:val="000000"/>
          <w:sz w:val="22"/>
        </w:rPr>
      </w:pPr>
    </w:p>
    <w:p w:rsidR="001D09AD" w:rsidRDefault="001D09AD">
      <w:pPr>
        <w:tabs>
          <w:tab w:val="left" w:pos="601"/>
          <w:tab w:val="left" w:pos="1140"/>
          <w:tab w:val="left" w:pos="1678"/>
          <w:tab w:val="right" w:pos="8640"/>
          <w:tab w:val="right" w:pos="9360"/>
        </w:tabs>
        <w:spacing w:line="317" w:lineRule="atLeast"/>
        <w:rPr>
          <w:b/>
          <w:color w:val="000000"/>
          <w:sz w:val="22"/>
        </w:rPr>
      </w:pPr>
      <w:r>
        <w:rPr>
          <w:b/>
          <w:color w:val="000000"/>
          <w:sz w:val="22"/>
        </w:rPr>
        <w:tab/>
      </w:r>
      <w:r>
        <w:rPr>
          <w:b/>
          <w:color w:val="000000"/>
          <w:sz w:val="22"/>
        </w:rPr>
        <w:tab/>
        <w:t>Sales</w:t>
      </w:r>
      <w:r>
        <w:rPr>
          <w:b/>
          <w:color w:val="000000"/>
          <w:sz w:val="22"/>
        </w:rPr>
        <w:tab/>
        <w:t>$60,000,000</w:t>
      </w:r>
    </w:p>
    <w:p w:rsidR="001D09AD" w:rsidRDefault="001D09AD">
      <w:pPr>
        <w:tabs>
          <w:tab w:val="left" w:pos="601"/>
          <w:tab w:val="left" w:pos="1140"/>
          <w:tab w:val="left" w:pos="1678"/>
          <w:tab w:val="right" w:pos="8640"/>
          <w:tab w:val="right" w:pos="9360"/>
        </w:tabs>
        <w:spacing w:line="317" w:lineRule="atLeast"/>
        <w:rPr>
          <w:b/>
          <w:color w:val="000000"/>
          <w:sz w:val="22"/>
        </w:rPr>
      </w:pPr>
      <w:r>
        <w:rPr>
          <w:b/>
          <w:color w:val="000000"/>
          <w:sz w:val="22"/>
        </w:rPr>
        <w:tab/>
      </w:r>
      <w:r>
        <w:rPr>
          <w:b/>
          <w:color w:val="000000"/>
          <w:sz w:val="22"/>
        </w:rPr>
        <w:tab/>
        <w:t>Cost of goods sold ($36,000,000 + $245,000)</w:t>
      </w:r>
      <w:r>
        <w:rPr>
          <w:b/>
          <w:color w:val="000000"/>
          <w:sz w:val="22"/>
        </w:rPr>
        <w:tab/>
      </w:r>
      <w:r>
        <w:rPr>
          <w:b/>
          <w:color w:val="000000"/>
          <w:sz w:val="22"/>
        </w:rPr>
        <w:t> </w:t>
      </w:r>
      <w:r>
        <w:rPr>
          <w:b/>
          <w:color w:val="000000"/>
          <w:sz w:val="22"/>
        </w:rPr>
        <w:t>36,245,000</w:t>
      </w:r>
    </w:p>
    <w:p w:rsidR="001D09AD" w:rsidRDefault="001D09AD">
      <w:pPr>
        <w:tabs>
          <w:tab w:val="left" w:pos="601"/>
          <w:tab w:val="left" w:pos="1140"/>
          <w:tab w:val="left" w:pos="1678"/>
          <w:tab w:val="right" w:pos="8640"/>
          <w:tab w:val="right" w:pos="9360"/>
        </w:tabs>
        <w:spacing w:line="317" w:lineRule="atLeast"/>
        <w:rPr>
          <w:b/>
          <w:color w:val="000000"/>
          <w:sz w:val="22"/>
        </w:rPr>
      </w:pPr>
      <w:r>
        <w:rPr>
          <w:b/>
          <w:color w:val="000000"/>
          <w:sz w:val="22"/>
        </w:rPr>
        <w:tab/>
      </w:r>
      <w:r>
        <w:rPr>
          <w:b/>
          <w:color w:val="000000"/>
          <w:sz w:val="22"/>
        </w:rPr>
        <w:tab/>
        <w:t>Variable selling expenses</w:t>
      </w:r>
      <w:r>
        <w:rPr>
          <w:b/>
          <w:color w:val="000000"/>
          <w:sz w:val="22"/>
        </w:rPr>
        <w:tab/>
      </w:r>
      <w:r>
        <w:rPr>
          <w:b/>
          <w:color w:val="000000"/>
          <w:sz w:val="22"/>
        </w:rPr>
        <w:t> </w:t>
      </w:r>
      <w:r>
        <w:rPr>
          <w:b/>
          <w:color w:val="000000"/>
          <w:sz w:val="22"/>
        </w:rPr>
        <w:t> </w:t>
      </w:r>
      <w:r>
        <w:rPr>
          <w:b/>
          <w:color w:val="000000"/>
          <w:sz w:val="22"/>
        </w:rPr>
        <w:t>2,000,000</w:t>
      </w:r>
    </w:p>
    <w:p w:rsidR="001D09AD" w:rsidRDefault="001D09AD">
      <w:pPr>
        <w:tabs>
          <w:tab w:val="left" w:pos="601"/>
          <w:tab w:val="left" w:pos="1140"/>
          <w:tab w:val="left" w:pos="1678"/>
          <w:tab w:val="right" w:pos="8640"/>
          <w:tab w:val="right" w:pos="9360"/>
        </w:tabs>
        <w:spacing w:line="317" w:lineRule="atLeast"/>
        <w:rPr>
          <w:b/>
          <w:color w:val="000000"/>
          <w:sz w:val="22"/>
        </w:rPr>
      </w:pPr>
      <w:r>
        <w:rPr>
          <w:b/>
          <w:color w:val="000000"/>
          <w:sz w:val="22"/>
        </w:rPr>
        <w:tab/>
      </w:r>
      <w:r>
        <w:rPr>
          <w:b/>
          <w:color w:val="000000"/>
          <w:sz w:val="22"/>
        </w:rPr>
        <w:tab/>
        <w:t>Fixed selling expenses</w:t>
      </w:r>
    </w:p>
    <w:p w:rsidR="001D09AD" w:rsidRDefault="001D09AD">
      <w:pPr>
        <w:tabs>
          <w:tab w:val="left" w:pos="601"/>
          <w:tab w:val="left" w:pos="1140"/>
          <w:tab w:val="left" w:pos="1678"/>
          <w:tab w:val="right" w:pos="8640"/>
          <w:tab w:val="right" w:pos="9360"/>
        </w:tabs>
        <w:spacing w:line="317" w:lineRule="atLeast"/>
        <w:rPr>
          <w:b/>
          <w:color w:val="000000"/>
          <w:sz w:val="22"/>
        </w:rPr>
      </w:pPr>
      <w:r>
        <w:rPr>
          <w:b/>
          <w:color w:val="000000"/>
          <w:sz w:val="22"/>
        </w:rPr>
        <w:tab/>
      </w:r>
      <w:r>
        <w:rPr>
          <w:b/>
          <w:color w:val="000000"/>
          <w:sz w:val="22"/>
        </w:rPr>
        <w:tab/>
      </w:r>
      <w:r>
        <w:rPr>
          <w:b/>
          <w:color w:val="000000"/>
          <w:sz w:val="22"/>
        </w:rPr>
        <w:tab/>
        <w:t>Advertising</w:t>
      </w:r>
      <w:r>
        <w:rPr>
          <w:b/>
          <w:color w:val="000000"/>
          <w:sz w:val="22"/>
        </w:rPr>
        <w:tab/>
        <w:t>2,000,000</w:t>
      </w:r>
    </w:p>
    <w:p w:rsidR="001D09AD" w:rsidRDefault="001D09AD">
      <w:pPr>
        <w:tabs>
          <w:tab w:val="left" w:pos="601"/>
          <w:tab w:val="left" w:pos="1140"/>
          <w:tab w:val="left" w:pos="1678"/>
          <w:tab w:val="right" w:pos="8640"/>
          <w:tab w:val="right" w:pos="9360"/>
        </w:tabs>
        <w:spacing w:line="317" w:lineRule="atLeast"/>
        <w:rPr>
          <w:b/>
          <w:color w:val="000000"/>
          <w:sz w:val="22"/>
        </w:rPr>
      </w:pPr>
      <w:r>
        <w:rPr>
          <w:b/>
          <w:color w:val="000000"/>
          <w:sz w:val="22"/>
        </w:rPr>
        <w:tab/>
      </w:r>
      <w:r>
        <w:rPr>
          <w:b/>
          <w:color w:val="000000"/>
          <w:sz w:val="22"/>
        </w:rPr>
        <w:tab/>
      </w:r>
      <w:r>
        <w:rPr>
          <w:b/>
          <w:color w:val="000000"/>
          <w:sz w:val="22"/>
        </w:rPr>
        <w:tab/>
        <w:t>Other ($1,500,000 – $500,000)</w:t>
      </w:r>
      <w:r>
        <w:rPr>
          <w:b/>
          <w:color w:val="000000"/>
          <w:sz w:val="22"/>
        </w:rPr>
        <w:tab/>
      </w:r>
      <w:r>
        <w:rPr>
          <w:b/>
          <w:color w:val="000000"/>
          <w:sz w:val="22"/>
        </w:rPr>
        <w:t> </w:t>
      </w:r>
      <w:r>
        <w:rPr>
          <w:b/>
          <w:color w:val="000000"/>
          <w:sz w:val="22"/>
        </w:rPr>
        <w:t> </w:t>
      </w:r>
      <w:r>
        <w:rPr>
          <w:b/>
          <w:color w:val="000000"/>
          <w:sz w:val="22"/>
        </w:rPr>
        <w:t>1,000,000</w:t>
      </w:r>
    </w:p>
    <w:p w:rsidR="001D09AD" w:rsidRDefault="001D09AD">
      <w:pPr>
        <w:tabs>
          <w:tab w:val="left" w:pos="1747"/>
          <w:tab w:val="left" w:pos="2580"/>
          <w:tab w:val="left" w:pos="3300"/>
          <w:tab w:val="left" w:pos="4020"/>
          <w:tab w:val="left" w:pos="4740"/>
          <w:tab w:val="left" w:pos="5460"/>
          <w:tab w:val="left" w:pos="6180"/>
          <w:tab w:val="left" w:pos="6900"/>
          <w:tab w:val="left" w:pos="7620"/>
          <w:tab w:val="left" w:pos="8340"/>
          <w:tab w:val="left" w:pos="9060"/>
          <w:tab w:val="left" w:pos="9780"/>
          <w:tab w:val="right" w:pos="10500"/>
        </w:tabs>
        <w:spacing w:after="198" w:line="317" w:lineRule="atLeast"/>
        <w:ind w:left="1140" w:hanging="1139"/>
        <w:jc w:val="both"/>
        <w:rPr>
          <w:b/>
          <w:color w:val="000000"/>
          <w:sz w:val="22"/>
        </w:rPr>
      </w:pPr>
    </w:p>
    <w:p w:rsidR="001D09AD" w:rsidRDefault="001D09AD">
      <w:pPr>
        <w:tabs>
          <w:tab w:val="left" w:pos="1747"/>
          <w:tab w:val="left" w:pos="2580"/>
          <w:tab w:val="left" w:pos="3300"/>
          <w:tab w:val="left" w:pos="4020"/>
          <w:tab w:val="left" w:pos="4740"/>
          <w:tab w:val="left" w:pos="5460"/>
          <w:tab w:val="left" w:pos="6180"/>
          <w:tab w:val="left" w:pos="6900"/>
          <w:tab w:val="left" w:pos="7620"/>
          <w:tab w:val="left" w:pos="8340"/>
          <w:tab w:val="left" w:pos="9060"/>
          <w:tab w:val="left" w:pos="9780"/>
          <w:tab w:val="right" w:pos="10500"/>
        </w:tabs>
        <w:spacing w:after="198" w:line="317" w:lineRule="atLeast"/>
        <w:ind w:left="1140" w:hanging="1139"/>
        <w:jc w:val="both"/>
        <w:rPr>
          <w:b/>
          <w:color w:val="000000"/>
          <w:sz w:val="22"/>
        </w:rPr>
      </w:pPr>
      <w:r>
        <w:rPr>
          <w:b/>
          <w:color w:val="000000"/>
          <w:sz w:val="22"/>
        </w:rPr>
        <w:tab/>
      </w:r>
      <w:r>
        <w:rPr>
          <w:b/>
          <w:color w:val="000000"/>
          <w:sz w:val="22"/>
        </w:rPr>
        <w:tab/>
        <w:t>Sales and cost of goods sold receive the same treatment as if this were an annual report. Under IFRS the inventory variance cannot be deferred even though the company believes it will reverse before the third quarter.  Consequently, the inventory must be reduced and cost of goods sold increased by the amount of the price variance of $245,000.  Costs and expenses other than product costs should be charged to expense in interim periods as incurred or allocated among interim periods. Consequently, the variable selling expense and the portion of fixed selling expenses not related to the television advertising should be reported in full. With respect to the advertising costs, if the costs cannot be recognized as an asset and deferred at the year end, then this treatment is not be allowed for the interim period.  Consequently, the full advertising expense must be expensed.</w:t>
      </w:r>
    </w:p>
    <w:p w:rsidR="001D09AD" w:rsidRDefault="001D09AD">
      <w:pPr>
        <w:tabs>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spacing w:after="198" w:line="317" w:lineRule="atLeast"/>
        <w:ind w:left="601" w:hanging="600"/>
        <w:jc w:val="both"/>
        <w:rPr>
          <w:b/>
          <w:color w:val="000000"/>
          <w:sz w:val="22"/>
        </w:rPr>
      </w:pPr>
      <w:r>
        <w:rPr>
          <w:b/>
          <w:color w:val="000000"/>
          <w:sz w:val="22"/>
        </w:rPr>
        <w:lastRenderedPageBreak/>
        <w:t>(c)</w:t>
      </w:r>
      <w:r>
        <w:rPr>
          <w:b/>
          <w:color w:val="000000"/>
          <w:sz w:val="22"/>
        </w:rPr>
        <w:tab/>
        <w:t>The financial information to be disclosed to its shareholders in its quarterly reports, as a minimum, includes:</w:t>
      </w:r>
    </w:p>
    <w:p w:rsidR="001D09AD" w:rsidRDefault="001D09AD">
      <w:pPr>
        <w:numPr>
          <w:ilvl w:val="0"/>
          <w:numId w:val="1"/>
        </w:numPr>
        <w:tabs>
          <w:tab w:val="left" w:pos="1673"/>
          <w:tab w:val="left" w:pos="2393"/>
          <w:tab w:val="left" w:pos="3113"/>
          <w:tab w:val="left" w:pos="3833"/>
          <w:tab w:val="left" w:pos="4553"/>
          <w:tab w:val="left" w:pos="5273"/>
          <w:tab w:val="left" w:pos="5993"/>
          <w:tab w:val="left" w:pos="6713"/>
          <w:tab w:val="left" w:pos="7433"/>
          <w:tab w:val="left" w:pos="8153"/>
          <w:tab w:val="right" w:pos="8873"/>
        </w:tabs>
        <w:spacing w:line="317" w:lineRule="atLeast"/>
        <w:ind w:left="1072"/>
        <w:jc w:val="both"/>
        <w:rPr>
          <w:b/>
          <w:color w:val="000000"/>
          <w:sz w:val="22"/>
        </w:rPr>
      </w:pPr>
      <w:r>
        <w:rPr>
          <w:b/>
          <w:color w:val="000000"/>
          <w:sz w:val="22"/>
        </w:rPr>
        <w:t>a condensed balance sheet showing comparative information for the immediately preceding fiscal year (December 31, 2013);</w:t>
      </w:r>
    </w:p>
    <w:p w:rsidR="001D09AD" w:rsidRDefault="001D09AD">
      <w:pPr>
        <w:numPr>
          <w:ilvl w:val="0"/>
          <w:numId w:val="1"/>
        </w:numPr>
        <w:tabs>
          <w:tab w:val="left" w:pos="1673"/>
          <w:tab w:val="left" w:pos="2393"/>
          <w:tab w:val="left" w:pos="3113"/>
          <w:tab w:val="left" w:pos="3833"/>
          <w:tab w:val="left" w:pos="4553"/>
          <w:tab w:val="left" w:pos="5273"/>
          <w:tab w:val="left" w:pos="5993"/>
          <w:tab w:val="left" w:pos="6713"/>
          <w:tab w:val="left" w:pos="7433"/>
          <w:tab w:val="left" w:pos="8153"/>
          <w:tab w:val="right" w:pos="8873"/>
        </w:tabs>
        <w:spacing w:line="317" w:lineRule="atLeast"/>
        <w:ind w:left="1072"/>
        <w:jc w:val="both"/>
        <w:rPr>
          <w:b/>
          <w:color w:val="000000"/>
          <w:sz w:val="22"/>
        </w:rPr>
      </w:pPr>
      <w:r>
        <w:rPr>
          <w:b/>
          <w:color w:val="000000"/>
          <w:sz w:val="22"/>
        </w:rPr>
        <w:t>a statement of comprehensive income showing the current interim period and year-to-date and comparable information for the preceding year ;</w:t>
      </w:r>
    </w:p>
    <w:p w:rsidR="001D09AD" w:rsidRDefault="001D09AD">
      <w:pPr>
        <w:numPr>
          <w:ilvl w:val="0"/>
          <w:numId w:val="1"/>
        </w:numPr>
        <w:tabs>
          <w:tab w:val="left" w:pos="1673"/>
          <w:tab w:val="left" w:pos="2393"/>
          <w:tab w:val="left" w:pos="3113"/>
          <w:tab w:val="left" w:pos="3833"/>
          <w:tab w:val="left" w:pos="4553"/>
          <w:tab w:val="left" w:pos="5273"/>
          <w:tab w:val="left" w:pos="5993"/>
          <w:tab w:val="left" w:pos="6713"/>
          <w:tab w:val="left" w:pos="7433"/>
          <w:tab w:val="left" w:pos="8153"/>
          <w:tab w:val="right" w:pos="8873"/>
        </w:tabs>
        <w:spacing w:line="317" w:lineRule="atLeast"/>
        <w:ind w:left="1072"/>
        <w:jc w:val="both"/>
        <w:rPr>
          <w:b/>
          <w:color w:val="000000"/>
          <w:sz w:val="22"/>
        </w:rPr>
      </w:pPr>
      <w:r>
        <w:rPr>
          <w:b/>
          <w:color w:val="000000"/>
          <w:sz w:val="22"/>
        </w:rPr>
        <w:t>a statement of changes in equity showing cumulative totals to date and comparable information for the previous year;</w:t>
      </w:r>
    </w:p>
    <w:p w:rsidR="001D09AD" w:rsidRDefault="001D09AD">
      <w:pPr>
        <w:numPr>
          <w:ilvl w:val="0"/>
          <w:numId w:val="1"/>
        </w:numPr>
        <w:tabs>
          <w:tab w:val="left" w:pos="1673"/>
          <w:tab w:val="left" w:pos="2393"/>
          <w:tab w:val="left" w:pos="3113"/>
          <w:tab w:val="left" w:pos="3833"/>
          <w:tab w:val="left" w:pos="4553"/>
          <w:tab w:val="left" w:pos="5273"/>
          <w:tab w:val="left" w:pos="5993"/>
          <w:tab w:val="left" w:pos="6713"/>
          <w:tab w:val="left" w:pos="7433"/>
          <w:tab w:val="left" w:pos="8153"/>
          <w:tab w:val="right" w:pos="8873"/>
        </w:tabs>
        <w:spacing w:line="317" w:lineRule="atLeast"/>
        <w:ind w:left="1072"/>
        <w:jc w:val="both"/>
        <w:rPr>
          <w:b/>
          <w:color w:val="000000"/>
          <w:sz w:val="22"/>
        </w:rPr>
      </w:pPr>
      <w:r>
        <w:rPr>
          <w:b/>
          <w:color w:val="000000"/>
          <w:sz w:val="22"/>
        </w:rPr>
        <w:t xml:space="preserve">a statement of cash flows showing cumulative year to date information and comparable information for the preceding year.  </w:t>
      </w:r>
    </w:p>
    <w:p w:rsidR="001D09AD" w:rsidRDefault="001D09AD">
      <w:pPr>
        <w:numPr>
          <w:ilvl w:val="0"/>
          <w:numId w:val="1"/>
        </w:numPr>
        <w:tabs>
          <w:tab w:val="left" w:pos="1673"/>
          <w:tab w:val="left" w:pos="2393"/>
          <w:tab w:val="left" w:pos="3113"/>
          <w:tab w:val="left" w:pos="3833"/>
          <w:tab w:val="left" w:pos="4553"/>
          <w:tab w:val="left" w:pos="5273"/>
          <w:tab w:val="left" w:pos="5993"/>
          <w:tab w:val="left" w:pos="6713"/>
          <w:tab w:val="left" w:pos="7433"/>
          <w:tab w:val="left" w:pos="8153"/>
          <w:tab w:val="right" w:pos="8873"/>
        </w:tabs>
        <w:spacing w:line="317" w:lineRule="atLeast"/>
        <w:ind w:left="1072"/>
        <w:jc w:val="both"/>
        <w:rPr>
          <w:b/>
          <w:color w:val="000000"/>
          <w:sz w:val="22"/>
        </w:rPr>
      </w:pPr>
      <w:r>
        <w:rPr>
          <w:b/>
          <w:color w:val="000000"/>
          <w:sz w:val="22"/>
        </w:rPr>
        <w:tab/>
        <w:t>basic and fully diluted earnings per share;</w:t>
      </w:r>
    </w:p>
    <w:p w:rsidR="001D09AD" w:rsidRDefault="001D09AD">
      <w:pPr>
        <w:numPr>
          <w:ilvl w:val="0"/>
          <w:numId w:val="1"/>
        </w:numPr>
        <w:tabs>
          <w:tab w:val="left" w:pos="1673"/>
          <w:tab w:val="left" w:pos="2393"/>
          <w:tab w:val="left" w:pos="3113"/>
          <w:tab w:val="left" w:pos="3833"/>
          <w:tab w:val="left" w:pos="4553"/>
          <w:tab w:val="left" w:pos="5273"/>
          <w:tab w:val="left" w:pos="5993"/>
          <w:tab w:val="left" w:pos="6713"/>
          <w:tab w:val="left" w:pos="7433"/>
          <w:tab w:val="left" w:pos="8153"/>
          <w:tab w:val="right" w:pos="8873"/>
        </w:tabs>
        <w:spacing w:line="317" w:lineRule="atLeast"/>
        <w:ind w:left="1072"/>
        <w:jc w:val="both"/>
        <w:rPr>
          <w:b/>
          <w:color w:val="000000"/>
          <w:sz w:val="22"/>
        </w:rPr>
      </w:pPr>
      <w:r>
        <w:rPr>
          <w:b/>
          <w:color w:val="000000"/>
          <w:sz w:val="22"/>
        </w:rPr>
        <w:t>nature and amount of any unusual items;</w:t>
      </w:r>
    </w:p>
    <w:p w:rsidR="001D09AD" w:rsidRDefault="001D09AD">
      <w:pPr>
        <w:numPr>
          <w:ilvl w:val="0"/>
          <w:numId w:val="1"/>
        </w:numPr>
        <w:tabs>
          <w:tab w:val="left" w:pos="1673"/>
          <w:tab w:val="left" w:pos="2393"/>
          <w:tab w:val="left" w:pos="3113"/>
          <w:tab w:val="left" w:pos="3833"/>
          <w:tab w:val="left" w:pos="4553"/>
          <w:tab w:val="left" w:pos="5273"/>
          <w:tab w:val="left" w:pos="5993"/>
          <w:tab w:val="left" w:pos="6713"/>
          <w:tab w:val="left" w:pos="7433"/>
          <w:tab w:val="left" w:pos="8153"/>
          <w:tab w:val="right" w:pos="8873"/>
        </w:tabs>
        <w:spacing w:line="317" w:lineRule="atLeast"/>
        <w:ind w:left="1072"/>
        <w:jc w:val="both"/>
        <w:rPr>
          <w:b/>
          <w:color w:val="000000"/>
          <w:sz w:val="22"/>
        </w:rPr>
      </w:pPr>
      <w:r>
        <w:rPr>
          <w:b/>
          <w:color w:val="000000"/>
          <w:sz w:val="22"/>
        </w:rPr>
        <w:t>nature and amount of any changes in estimates;</w:t>
      </w:r>
    </w:p>
    <w:p w:rsidR="001D09AD" w:rsidRDefault="001D09AD">
      <w:pPr>
        <w:numPr>
          <w:ilvl w:val="0"/>
          <w:numId w:val="1"/>
        </w:numPr>
        <w:tabs>
          <w:tab w:val="left" w:pos="1673"/>
          <w:tab w:val="left" w:pos="2393"/>
          <w:tab w:val="left" w:pos="3113"/>
          <w:tab w:val="left" w:pos="3833"/>
          <w:tab w:val="left" w:pos="4553"/>
          <w:tab w:val="left" w:pos="5273"/>
          <w:tab w:val="left" w:pos="5993"/>
          <w:tab w:val="left" w:pos="6713"/>
          <w:tab w:val="left" w:pos="7433"/>
          <w:tab w:val="left" w:pos="8153"/>
          <w:tab w:val="right" w:pos="8873"/>
        </w:tabs>
        <w:spacing w:line="317" w:lineRule="atLeast"/>
        <w:ind w:left="1072"/>
        <w:jc w:val="both"/>
        <w:rPr>
          <w:b/>
          <w:color w:val="000000"/>
          <w:sz w:val="22"/>
        </w:rPr>
      </w:pPr>
      <w:r>
        <w:rPr>
          <w:b/>
          <w:color w:val="000000"/>
          <w:sz w:val="22"/>
        </w:rPr>
        <w:t xml:space="preserve">disclosure that the statements comply with IFRS; </w:t>
      </w:r>
    </w:p>
    <w:p w:rsidR="001D09AD" w:rsidRDefault="001D09AD">
      <w:pPr>
        <w:numPr>
          <w:ilvl w:val="0"/>
          <w:numId w:val="1"/>
        </w:numPr>
        <w:tabs>
          <w:tab w:val="left" w:pos="1673"/>
          <w:tab w:val="left" w:pos="2393"/>
          <w:tab w:val="left" w:pos="3113"/>
          <w:tab w:val="left" w:pos="3833"/>
          <w:tab w:val="left" w:pos="4553"/>
          <w:tab w:val="left" w:pos="5273"/>
          <w:tab w:val="left" w:pos="5993"/>
          <w:tab w:val="left" w:pos="6713"/>
          <w:tab w:val="left" w:pos="7433"/>
          <w:tab w:val="left" w:pos="8153"/>
          <w:tab w:val="right" w:pos="8873"/>
        </w:tabs>
        <w:spacing w:line="317" w:lineRule="atLeast"/>
        <w:ind w:left="1072"/>
        <w:jc w:val="both"/>
        <w:rPr>
          <w:b/>
          <w:color w:val="000000"/>
          <w:sz w:val="22"/>
        </w:rPr>
      </w:pPr>
      <w:r>
        <w:rPr>
          <w:b/>
          <w:color w:val="000000"/>
          <w:sz w:val="22"/>
        </w:rPr>
        <w:t>a statement that the company follows the same accounting policies as at the previous fiscal year end</w:t>
      </w:r>
    </w:p>
    <w:p w:rsidR="001D09AD" w:rsidRDefault="001D09AD">
      <w:pPr>
        <w:numPr>
          <w:ilvl w:val="0"/>
          <w:numId w:val="1"/>
        </w:numPr>
        <w:tabs>
          <w:tab w:val="left" w:pos="1532"/>
          <w:tab w:val="left" w:pos="2252"/>
          <w:tab w:val="left" w:pos="2972"/>
          <w:tab w:val="left" w:pos="3692"/>
          <w:tab w:val="left" w:pos="4412"/>
          <w:tab w:val="left" w:pos="5132"/>
          <w:tab w:val="left" w:pos="5852"/>
          <w:tab w:val="left" w:pos="6572"/>
          <w:tab w:val="left" w:pos="7292"/>
          <w:tab w:val="left" w:pos="8012"/>
          <w:tab w:val="right" w:pos="8732"/>
        </w:tabs>
        <w:spacing w:line="317" w:lineRule="atLeast"/>
        <w:ind w:left="931"/>
        <w:jc w:val="both"/>
        <w:rPr>
          <w:b/>
          <w:color w:val="000000"/>
          <w:sz w:val="22"/>
        </w:rPr>
      </w:pPr>
      <w:r>
        <w:rPr>
          <w:b/>
          <w:color w:val="000000"/>
          <w:sz w:val="22"/>
        </w:rPr>
        <w:t>a description of any changes in accounting principles;</w:t>
      </w:r>
    </w:p>
    <w:p w:rsidR="001D09AD" w:rsidRDefault="001D09AD">
      <w:pPr>
        <w:numPr>
          <w:ilvl w:val="0"/>
          <w:numId w:val="1"/>
        </w:numPr>
        <w:tabs>
          <w:tab w:val="left" w:pos="1532"/>
          <w:tab w:val="left" w:pos="2252"/>
          <w:tab w:val="left" w:pos="2972"/>
          <w:tab w:val="left" w:pos="3692"/>
          <w:tab w:val="left" w:pos="4412"/>
          <w:tab w:val="left" w:pos="5132"/>
          <w:tab w:val="left" w:pos="5852"/>
          <w:tab w:val="left" w:pos="6572"/>
          <w:tab w:val="left" w:pos="7292"/>
          <w:tab w:val="left" w:pos="8012"/>
          <w:tab w:val="right" w:pos="8732"/>
        </w:tabs>
        <w:spacing w:line="317" w:lineRule="atLeast"/>
        <w:ind w:left="931"/>
        <w:jc w:val="both"/>
        <w:rPr>
          <w:b/>
          <w:color w:val="000000"/>
          <w:sz w:val="22"/>
        </w:rPr>
      </w:pPr>
      <w:r>
        <w:rPr>
          <w:b/>
          <w:color w:val="000000"/>
          <w:sz w:val="22"/>
        </w:rPr>
        <w:t>any subsequent events to the interim period;</w:t>
      </w:r>
    </w:p>
    <w:p w:rsidR="001D09AD" w:rsidRDefault="001D09AD">
      <w:pPr>
        <w:numPr>
          <w:ilvl w:val="0"/>
          <w:numId w:val="1"/>
        </w:numPr>
        <w:tabs>
          <w:tab w:val="left" w:pos="1532"/>
          <w:tab w:val="left" w:pos="2252"/>
          <w:tab w:val="left" w:pos="2972"/>
          <w:tab w:val="left" w:pos="3692"/>
          <w:tab w:val="left" w:pos="4412"/>
          <w:tab w:val="left" w:pos="5132"/>
          <w:tab w:val="left" w:pos="5852"/>
          <w:tab w:val="left" w:pos="6572"/>
          <w:tab w:val="left" w:pos="7292"/>
          <w:tab w:val="left" w:pos="8012"/>
          <w:tab w:val="right" w:pos="8732"/>
        </w:tabs>
        <w:spacing w:line="317" w:lineRule="atLeast"/>
        <w:ind w:left="931"/>
        <w:jc w:val="both"/>
        <w:rPr>
          <w:b/>
          <w:color w:val="000000"/>
          <w:sz w:val="22"/>
        </w:rPr>
      </w:pPr>
      <w:r>
        <w:rPr>
          <w:b/>
          <w:color w:val="000000"/>
          <w:sz w:val="22"/>
        </w:rPr>
        <w:t>issuances, repurchases or repayments of debt or equity;</w:t>
      </w:r>
    </w:p>
    <w:p w:rsidR="001D09AD" w:rsidRDefault="001D09AD">
      <w:pPr>
        <w:numPr>
          <w:ilvl w:val="0"/>
          <w:numId w:val="1"/>
        </w:numPr>
        <w:tabs>
          <w:tab w:val="left" w:pos="1532"/>
          <w:tab w:val="left" w:pos="2252"/>
          <w:tab w:val="left" w:pos="2972"/>
          <w:tab w:val="left" w:pos="3692"/>
          <w:tab w:val="left" w:pos="4412"/>
          <w:tab w:val="left" w:pos="5132"/>
          <w:tab w:val="left" w:pos="5852"/>
          <w:tab w:val="left" w:pos="6572"/>
          <w:tab w:val="left" w:pos="7292"/>
          <w:tab w:val="left" w:pos="8012"/>
          <w:tab w:val="right" w:pos="8732"/>
        </w:tabs>
        <w:spacing w:line="317" w:lineRule="atLeast"/>
        <w:ind w:left="931"/>
        <w:jc w:val="both"/>
        <w:rPr>
          <w:b/>
          <w:color w:val="000000"/>
          <w:sz w:val="22"/>
        </w:rPr>
      </w:pPr>
      <w:r>
        <w:rPr>
          <w:b/>
          <w:color w:val="000000"/>
          <w:sz w:val="22"/>
        </w:rPr>
        <w:t>dividends paid;</w:t>
      </w:r>
    </w:p>
    <w:p w:rsidR="001D09AD" w:rsidRDefault="001D09AD">
      <w:pPr>
        <w:numPr>
          <w:ilvl w:val="0"/>
          <w:numId w:val="1"/>
        </w:numPr>
        <w:tabs>
          <w:tab w:val="left" w:pos="1532"/>
          <w:tab w:val="left" w:pos="2252"/>
          <w:tab w:val="left" w:pos="2972"/>
          <w:tab w:val="left" w:pos="3692"/>
          <w:tab w:val="left" w:pos="4412"/>
          <w:tab w:val="left" w:pos="5132"/>
          <w:tab w:val="left" w:pos="5852"/>
          <w:tab w:val="left" w:pos="6572"/>
          <w:tab w:val="left" w:pos="7292"/>
          <w:tab w:val="left" w:pos="8012"/>
          <w:tab w:val="right" w:pos="8732"/>
        </w:tabs>
        <w:spacing w:line="317" w:lineRule="atLeast"/>
        <w:ind w:left="931"/>
        <w:jc w:val="both"/>
        <w:rPr>
          <w:b/>
          <w:color w:val="000000"/>
          <w:sz w:val="22"/>
        </w:rPr>
      </w:pPr>
      <w:r>
        <w:rPr>
          <w:b/>
          <w:color w:val="000000"/>
          <w:sz w:val="22"/>
        </w:rPr>
        <w:t>information about the reportable segments;</w:t>
      </w:r>
    </w:p>
    <w:p w:rsidR="001D09AD" w:rsidRDefault="001D09AD">
      <w:pPr>
        <w:numPr>
          <w:ilvl w:val="0"/>
          <w:numId w:val="1"/>
        </w:numPr>
        <w:tabs>
          <w:tab w:val="left" w:pos="1532"/>
          <w:tab w:val="left" w:pos="2252"/>
          <w:tab w:val="left" w:pos="2972"/>
          <w:tab w:val="left" w:pos="3692"/>
          <w:tab w:val="left" w:pos="4412"/>
          <w:tab w:val="left" w:pos="5132"/>
          <w:tab w:val="left" w:pos="5852"/>
          <w:tab w:val="left" w:pos="6572"/>
          <w:tab w:val="left" w:pos="7292"/>
          <w:tab w:val="left" w:pos="8012"/>
          <w:tab w:val="right" w:pos="8732"/>
        </w:tabs>
        <w:spacing w:line="317" w:lineRule="atLeast"/>
        <w:ind w:left="931"/>
        <w:jc w:val="both"/>
        <w:rPr>
          <w:b/>
          <w:color w:val="000000"/>
          <w:sz w:val="22"/>
        </w:rPr>
      </w:pPr>
      <w:r>
        <w:rPr>
          <w:b/>
          <w:color w:val="000000"/>
          <w:sz w:val="22"/>
        </w:rPr>
        <w:t xml:space="preserve">information about any changes in composition of the entity; </w:t>
      </w:r>
    </w:p>
    <w:p w:rsidR="001D09AD" w:rsidRDefault="001D09AD">
      <w:pPr>
        <w:numPr>
          <w:ilvl w:val="0"/>
          <w:numId w:val="1"/>
        </w:numPr>
        <w:tabs>
          <w:tab w:val="left" w:pos="1532"/>
          <w:tab w:val="left" w:pos="2252"/>
          <w:tab w:val="left" w:pos="2972"/>
          <w:tab w:val="left" w:pos="3692"/>
          <w:tab w:val="left" w:pos="4412"/>
          <w:tab w:val="left" w:pos="5132"/>
          <w:tab w:val="left" w:pos="5852"/>
          <w:tab w:val="left" w:pos="6572"/>
          <w:tab w:val="left" w:pos="7292"/>
          <w:tab w:val="left" w:pos="8012"/>
          <w:tab w:val="right" w:pos="8732"/>
        </w:tabs>
        <w:spacing w:line="317" w:lineRule="atLeast"/>
        <w:ind w:left="931"/>
        <w:jc w:val="both"/>
        <w:rPr>
          <w:b/>
          <w:color w:val="000000"/>
          <w:sz w:val="22"/>
        </w:rPr>
      </w:pPr>
      <w:r>
        <w:rPr>
          <w:b/>
          <w:color w:val="000000"/>
          <w:sz w:val="22"/>
        </w:rPr>
        <w:t xml:space="preserve">information about any contingencies; </w:t>
      </w:r>
    </w:p>
    <w:p w:rsidR="001D09AD" w:rsidRDefault="001D09AD">
      <w:pPr>
        <w:numPr>
          <w:ilvl w:val="0"/>
          <w:numId w:val="1"/>
        </w:numPr>
        <w:tabs>
          <w:tab w:val="left" w:pos="1532"/>
          <w:tab w:val="left" w:pos="2252"/>
          <w:tab w:val="left" w:pos="2972"/>
          <w:tab w:val="left" w:pos="3692"/>
          <w:tab w:val="left" w:pos="4412"/>
          <w:tab w:val="left" w:pos="5132"/>
          <w:tab w:val="left" w:pos="5852"/>
          <w:tab w:val="left" w:pos="6572"/>
          <w:tab w:val="left" w:pos="7292"/>
          <w:tab w:val="left" w:pos="8012"/>
          <w:tab w:val="right" w:pos="8732"/>
        </w:tabs>
        <w:spacing w:line="317" w:lineRule="atLeast"/>
        <w:ind w:left="931"/>
        <w:jc w:val="both"/>
        <w:rPr>
          <w:b/>
          <w:color w:val="000000"/>
          <w:sz w:val="22"/>
        </w:rPr>
      </w:pPr>
      <w:r>
        <w:rPr>
          <w:b/>
          <w:color w:val="000000"/>
          <w:sz w:val="22"/>
        </w:rPr>
        <w:t>a description of any seasonality or cyclicality of interim period        operations and</w:t>
      </w:r>
    </w:p>
    <w:p w:rsidR="001D09AD" w:rsidRDefault="001D09AD">
      <w:pPr>
        <w:numPr>
          <w:ilvl w:val="0"/>
          <w:numId w:val="1"/>
        </w:numPr>
        <w:tabs>
          <w:tab w:val="left" w:pos="1532"/>
          <w:tab w:val="left" w:pos="2252"/>
          <w:tab w:val="left" w:pos="2972"/>
          <w:tab w:val="left" w:pos="3692"/>
          <w:tab w:val="left" w:pos="4412"/>
          <w:tab w:val="left" w:pos="5132"/>
          <w:tab w:val="left" w:pos="5852"/>
          <w:tab w:val="left" w:pos="6572"/>
          <w:tab w:val="left" w:pos="7292"/>
          <w:tab w:val="left" w:pos="8012"/>
          <w:tab w:val="right" w:pos="8732"/>
        </w:tabs>
        <w:spacing w:line="317" w:lineRule="atLeast"/>
        <w:ind w:left="931"/>
        <w:jc w:val="both"/>
        <w:rPr>
          <w:b/>
          <w:color w:val="000000"/>
          <w:sz w:val="22"/>
        </w:rPr>
      </w:pPr>
      <w:r>
        <w:rPr>
          <w:b/>
          <w:color w:val="000000"/>
          <w:sz w:val="22"/>
        </w:rPr>
        <w:t>other material matters not previously reported.</w:t>
      </w:r>
    </w:p>
    <w:p w:rsidR="001D09AD" w:rsidRDefault="001D09AD">
      <w:pPr>
        <w:tabs>
          <w:tab w:val="left" w:pos="3719"/>
          <w:tab w:val="left" w:pos="4439"/>
          <w:tab w:val="left" w:pos="5159"/>
          <w:tab w:val="left" w:pos="5879"/>
          <w:tab w:val="left" w:pos="6599"/>
          <w:tab w:val="left" w:pos="7319"/>
          <w:tab w:val="left" w:pos="8039"/>
          <w:tab w:val="left" w:pos="8759"/>
          <w:tab w:val="left" w:pos="9479"/>
          <w:tab w:val="left" w:pos="10199"/>
          <w:tab w:val="right" w:pos="10919"/>
        </w:tabs>
        <w:spacing w:after="119" w:line="317" w:lineRule="atLeast"/>
        <w:ind w:left="1559"/>
        <w:rPr>
          <w:b/>
          <w:color w:val="000000"/>
          <w:sz w:val="22"/>
        </w:rPr>
      </w:pPr>
    </w:p>
    <w:p w:rsidR="001D09AD" w:rsidRDefault="001D09AD">
      <w:pPr>
        <w:tabs>
          <w:tab w:val="left" w:pos="1774"/>
          <w:tab w:val="left" w:pos="1916"/>
          <w:tab w:val="left" w:pos="2636"/>
          <w:tab w:val="left" w:pos="3356"/>
          <w:tab w:val="left" w:pos="4076"/>
          <w:tab w:val="left" w:pos="4796"/>
          <w:tab w:val="left" w:pos="5516"/>
          <w:tab w:val="left" w:pos="6236"/>
          <w:tab w:val="left" w:pos="6956"/>
          <w:tab w:val="left" w:pos="7676"/>
          <w:tab w:val="left" w:pos="8396"/>
          <w:tab w:val="left" w:pos="9116"/>
          <w:tab w:val="right" w:pos="9836"/>
        </w:tabs>
        <w:ind w:left="476" w:hanging="475"/>
        <w:rPr>
          <w:b/>
          <w:color w:val="000000"/>
          <w:sz w:val="22"/>
        </w:rPr>
      </w:pPr>
      <w:r>
        <w:rPr>
          <w:b/>
          <w:color w:val="000000"/>
          <w:sz w:val="22"/>
        </w:rPr>
        <w:t>WA 23-3</w:t>
      </w:r>
    </w:p>
    <w:p w:rsidR="001D09AD" w:rsidRDefault="001D09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b/>
          <w:color w:val="000000"/>
          <w:sz w:val="22"/>
        </w:rPr>
      </w:pPr>
    </w:p>
    <w:p w:rsidR="001D09AD" w:rsidRDefault="001D09AD">
      <w:pPr>
        <w:tabs>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spacing w:after="198"/>
        <w:ind w:left="601" w:hanging="600"/>
        <w:jc w:val="both"/>
        <w:rPr>
          <w:b/>
          <w:color w:val="000000"/>
          <w:sz w:val="22"/>
        </w:rPr>
      </w:pPr>
      <w:r>
        <w:rPr>
          <w:b/>
          <w:color w:val="000000"/>
          <w:sz w:val="22"/>
        </w:rPr>
        <w:t>(a)</w:t>
      </w:r>
      <w:r>
        <w:rPr>
          <w:b/>
          <w:color w:val="000000"/>
          <w:sz w:val="22"/>
        </w:rPr>
        <w:tab/>
        <w:t>Acceptable. The use of estimated gross profit rates to determine the cost of goods sold is acceptable for interim reporting purposes as long as the method and rates utilized are reasonable. The company should disclose the method employed and any significant adjustments that result from reconciliations with annual physical inventory.</w:t>
      </w:r>
    </w:p>
    <w:p w:rsidR="001D09AD" w:rsidRDefault="001D09AD">
      <w:pPr>
        <w:tabs>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spacing w:after="198"/>
        <w:ind w:left="601" w:hanging="600"/>
        <w:jc w:val="both"/>
        <w:rPr>
          <w:b/>
          <w:color w:val="000000"/>
          <w:sz w:val="22"/>
        </w:rPr>
      </w:pPr>
    </w:p>
    <w:p w:rsidR="001D09AD" w:rsidRDefault="001D09AD">
      <w:pPr>
        <w:tabs>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spacing w:after="198"/>
        <w:ind w:left="601" w:hanging="600"/>
        <w:jc w:val="both"/>
        <w:rPr>
          <w:b/>
          <w:color w:val="000000"/>
          <w:sz w:val="22"/>
        </w:rPr>
      </w:pPr>
      <w:r>
        <w:rPr>
          <w:b/>
          <w:color w:val="000000"/>
          <w:sz w:val="22"/>
        </w:rPr>
        <w:t>(b)</w:t>
      </w:r>
      <w:r>
        <w:rPr>
          <w:b/>
          <w:color w:val="000000"/>
          <w:sz w:val="22"/>
        </w:rPr>
        <w:tab/>
        <w:t>Not acceptable. Even though pension costs are identifiable with a time period rather than with the sale of a product or service, the pension expense for the interim period is to be calculated using actuarial estimates of costs.  In addition, any one-time adjustments for significant market fluctuations, curtailments, settlements and any other events must be included in the interim period. Consequently, the full gain or loss on settlement should be recognized in the quarter in which the settlement occurred (IAS 19.110).</w:t>
      </w:r>
    </w:p>
    <w:p w:rsidR="001D09AD" w:rsidRDefault="001D09AD">
      <w:pPr>
        <w:tabs>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spacing w:after="198"/>
        <w:ind w:left="601" w:hanging="600"/>
        <w:jc w:val="both"/>
        <w:rPr>
          <w:b/>
          <w:color w:val="000000"/>
          <w:sz w:val="22"/>
        </w:rPr>
      </w:pPr>
      <w:r>
        <w:rPr>
          <w:b/>
          <w:color w:val="000000"/>
          <w:sz w:val="22"/>
        </w:rPr>
        <w:t>(c)</w:t>
      </w:r>
      <w:r>
        <w:rPr>
          <w:b/>
          <w:color w:val="000000"/>
          <w:sz w:val="22"/>
        </w:rPr>
        <w:tab/>
        <w:t xml:space="preserve">Acceptable. Any loss in inventory value should be reported when the decline occurs. Any </w:t>
      </w:r>
      <w:r>
        <w:rPr>
          <w:b/>
          <w:color w:val="000000"/>
          <w:sz w:val="22"/>
        </w:rPr>
        <w:lastRenderedPageBreak/>
        <w:t>recoveries of the losses on the same inventory in later periods should be recognized as gains (recovery of loss) in the later interim periods of the same fiscal year. However, the gains should not exceed the previously recorded losses.</w:t>
      </w:r>
    </w:p>
    <w:p w:rsidR="001D09AD" w:rsidRDefault="001D09AD">
      <w:pPr>
        <w:tabs>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spacing w:after="198"/>
        <w:ind w:left="601" w:hanging="600"/>
        <w:jc w:val="both"/>
        <w:rPr>
          <w:b/>
          <w:color w:val="000000"/>
          <w:sz w:val="22"/>
        </w:rPr>
      </w:pPr>
      <w:r>
        <w:rPr>
          <w:b/>
          <w:color w:val="000000"/>
          <w:sz w:val="22"/>
        </w:rPr>
        <w:t>(d)</w:t>
      </w:r>
      <w:r>
        <w:rPr>
          <w:b/>
          <w:color w:val="000000"/>
          <w:sz w:val="22"/>
        </w:rPr>
        <w:tab/>
        <w:t>Not acceptable. Gains on the sale of investments would not be deferred if they occurred at year-end. Consequently, they should not be deferred to future interim periods but should be reported in the quarter the gain was realized.</w:t>
      </w:r>
    </w:p>
    <w:p w:rsidR="001D09AD" w:rsidRDefault="001D09AD">
      <w:pPr>
        <w:tabs>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spacing w:after="198"/>
        <w:ind w:left="601" w:hanging="600"/>
        <w:jc w:val="both"/>
        <w:rPr>
          <w:b/>
          <w:color w:val="000000"/>
          <w:sz w:val="22"/>
        </w:rPr>
      </w:pPr>
      <w:r>
        <w:rPr>
          <w:b/>
          <w:color w:val="000000"/>
          <w:sz w:val="22"/>
        </w:rPr>
        <w:t>(e)</w:t>
      </w:r>
      <w:r>
        <w:rPr>
          <w:b/>
          <w:color w:val="000000"/>
          <w:sz w:val="22"/>
        </w:rPr>
        <w:tab/>
        <w:t>Acceptable. The annual audit fee is an expense that benefits the company’s entire year. Companies are encouraged to make quarterly estimates of these items that usually result in year-end adjustments. Therefore, this expense can be prorated over the four quarters.</w:t>
      </w:r>
    </w:p>
    <w:p w:rsidR="001D09AD" w:rsidRDefault="001D09AD">
      <w:pPr>
        <w:tabs>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ind w:left="601" w:hanging="600"/>
        <w:jc w:val="both"/>
        <w:rPr>
          <w:b/>
          <w:color w:val="000000"/>
          <w:sz w:val="22"/>
        </w:rPr>
      </w:pPr>
      <w:r>
        <w:rPr>
          <w:b/>
          <w:color w:val="000000"/>
          <w:sz w:val="22"/>
        </w:rPr>
        <w:t>(f)</w:t>
      </w:r>
      <w:r>
        <w:rPr>
          <w:b/>
          <w:color w:val="000000"/>
          <w:sz w:val="22"/>
        </w:rPr>
        <w:tab/>
        <w:t>Not acceptable. Revenue from products sold should be recognized as earned during the interim period on the same basis as followed for the full year. Because the company normally recognizes a sale when shipment occurs, it should recognize the revenue in the second quarter and not defer the revenue recognition. To do otherwise would be an inconsistent application of company accounting policy and violate general accounting rules for revenue recognition.</w:t>
      </w:r>
    </w:p>
    <w:p w:rsidR="001D09AD" w:rsidRDefault="001D09AD">
      <w:pPr>
        <w:tabs>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ind w:left="601" w:hanging="600"/>
        <w:jc w:val="both"/>
        <w:rPr>
          <w:b/>
          <w:color w:val="000000"/>
          <w:sz w:val="22"/>
        </w:rPr>
      </w:pPr>
    </w:p>
    <w:p w:rsidR="001D09AD" w:rsidRDefault="001D09AD">
      <w:pPr>
        <w:tabs>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ind w:left="601" w:hanging="600"/>
        <w:jc w:val="both"/>
        <w:rPr>
          <w:b/>
          <w:color w:val="000000"/>
          <w:sz w:val="22"/>
        </w:rPr>
      </w:pPr>
      <w:r>
        <w:rPr>
          <w:b/>
          <w:color w:val="000000"/>
          <w:sz w:val="22"/>
        </w:rPr>
        <w:t>(g)</w:t>
      </w:r>
      <w:r>
        <w:rPr>
          <w:b/>
          <w:color w:val="000000"/>
          <w:sz w:val="22"/>
        </w:rPr>
        <w:tab/>
        <w:t>Not acceptable.  Goodwill impairment losses cannot be reversed in the interim period, which is consistent with yearend treatment.</w:t>
      </w:r>
    </w:p>
    <w:p w:rsidR="001D09AD" w:rsidRDefault="001D09AD">
      <w:pPr>
        <w:tabs>
          <w:tab w:val="left" w:pos="1321"/>
          <w:tab w:val="left" w:pos="2041"/>
          <w:tab w:val="left" w:pos="2761"/>
          <w:tab w:val="left" w:pos="3481"/>
          <w:tab w:val="left" w:pos="4201"/>
          <w:tab w:val="left" w:pos="4921"/>
          <w:tab w:val="left" w:pos="5641"/>
          <w:tab w:val="left" w:pos="6361"/>
          <w:tab w:val="left" w:pos="7081"/>
          <w:tab w:val="left" w:pos="7801"/>
          <w:tab w:val="left" w:pos="8521"/>
          <w:tab w:val="left" w:pos="9241"/>
          <w:tab w:val="right" w:pos="9961"/>
        </w:tabs>
        <w:ind w:left="601" w:hanging="600"/>
        <w:jc w:val="both"/>
        <w:rPr>
          <w:b/>
          <w:color w:val="000000"/>
          <w:sz w:val="22"/>
        </w:rPr>
      </w:pPr>
    </w:p>
    <w:p w:rsidR="001D09AD" w:rsidRDefault="001D09AD">
      <w:pPr>
        <w:ind w:left="601" w:hanging="600"/>
      </w:pPr>
      <w:r>
        <w:rPr>
          <w:b/>
          <w:color w:val="000000"/>
          <w:sz w:val="22"/>
        </w:rPr>
        <w:t>(h)</w:t>
      </w:r>
      <w:r>
        <w:rPr>
          <w:b/>
          <w:color w:val="000000"/>
          <w:sz w:val="22"/>
        </w:rPr>
        <w:tab/>
        <w:t>Not acceptable.  A bonus that is anticipated can only be accrued in the interim period if the bonus is a legal obligation or a constructive obligation, the company is required to pay it, and a reasonable estimate can be made.  In this case, the company will only be legally required to pay the bonus only if the share price at December 31, 2014 is still above the target price.  Since this is not known at the end of June 30, 2014, the bonus should not be accrued.</w:t>
      </w:r>
    </w:p>
    <w:sectPr w:rsidR="001D09AD" w:rsidSect="001D09AD">
      <w:headerReference w:type="default" r:id="rId7"/>
      <w:footerReference w:type="default" r:id="rId8"/>
      <w:footnotePr>
        <w:pos w:val="beneathText"/>
      </w:footnotePr>
      <w:pgSz w:w="12240" w:h="15840"/>
      <w:pgMar w:top="1440" w:right="1440" w:bottom="1440" w:left="144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508E" w:rsidRDefault="00FE508E">
      <w:r>
        <w:separator/>
      </w:r>
    </w:p>
  </w:endnote>
  <w:endnote w:type="continuationSeparator" w:id="0">
    <w:p w:rsidR="00FE508E" w:rsidRDefault="00FE5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09AD" w:rsidRDefault="001D09AD">
    <w:pPr>
      <w:pStyle w:val="Footer"/>
      <w:tabs>
        <w:tab w:val="left" w:pos="363"/>
        <w:tab w:val="center" w:pos="4677"/>
        <w:tab w:val="right" w:pos="8997"/>
        <w:tab w:val="right" w:pos="9360"/>
      </w:tabs>
      <w:rPr>
        <w:rFonts w:ascii="Calibri" w:hAnsi="Calibri"/>
        <w:color w:val="000000"/>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508E" w:rsidRDefault="00FE508E">
      <w:r>
        <w:separator/>
      </w:r>
    </w:p>
  </w:footnote>
  <w:footnote w:type="continuationSeparator" w:id="0">
    <w:p w:rsidR="00FE508E" w:rsidRDefault="00FE50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09AD" w:rsidRDefault="001D09AD">
    <w:pPr>
      <w:pStyle w:val="Header"/>
      <w:tabs>
        <w:tab w:val="left" w:pos="363"/>
        <w:tab w:val="center" w:pos="4677"/>
        <w:tab w:val="right" w:pos="8997"/>
        <w:tab w:val="right" w:pos="9360"/>
      </w:tabs>
      <w:rPr>
        <w:rFonts w:ascii="Calibri" w:hAnsi="Calibri"/>
        <w:color w:val="000000"/>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1559"/>
        </w:tabs>
        <w:ind w:left="1559" w:hanging="357"/>
      </w:pPr>
      <w:rPr>
        <w:rFonts w:ascii="Times New Roman" w:hAnsi="Times New Roman" w:cs="Times New Roman"/>
        <w:b w:val="0"/>
        <w:i w:val="0"/>
        <w:strike w:val="0"/>
        <w:dstrike w:val="0"/>
        <w:color w:val="000000"/>
        <w:position w:val="0"/>
        <w:sz w:val="24"/>
        <w:u w:val="none"/>
        <w:vertAlign w:val="baseline"/>
      </w:rPr>
    </w:lvl>
    <w:lvl w:ilvl="1">
      <w:start w:val="1"/>
      <w:numFmt w:val="lowerLetter"/>
      <w:lvlText w:val="%2."/>
      <w:lvlJc w:val="left"/>
      <w:pPr>
        <w:tabs>
          <w:tab w:val="num" w:pos="2041"/>
        </w:tabs>
        <w:ind w:left="2041" w:hanging="363"/>
      </w:pPr>
      <w:rPr>
        <w:rFonts w:ascii="Times New Roman" w:hAnsi="Times New Roman" w:cs="Times New Roman"/>
        <w:b w:val="0"/>
        <w:i w:val="0"/>
        <w:strike w:val="0"/>
        <w:dstrike w:val="0"/>
        <w:color w:val="000000"/>
        <w:position w:val="0"/>
        <w:sz w:val="24"/>
        <w:u w:val="none"/>
        <w:vertAlign w:val="baseline"/>
      </w:rPr>
    </w:lvl>
    <w:lvl w:ilvl="2">
      <w:start w:val="1"/>
      <w:numFmt w:val="lowerRoman"/>
      <w:lvlText w:val="%3."/>
      <w:lvlJc w:val="right"/>
      <w:pPr>
        <w:tabs>
          <w:tab w:val="num" w:pos="2761"/>
        </w:tabs>
        <w:ind w:left="2761" w:hanging="2761"/>
      </w:pPr>
      <w:rPr>
        <w:rFonts w:ascii="Times New Roman" w:hAnsi="Times New Roman" w:cs="Times New Roman"/>
        <w:b w:val="0"/>
        <w:i w:val="0"/>
        <w:strike w:val="0"/>
        <w:dstrike w:val="0"/>
        <w:color w:val="000000"/>
        <w:position w:val="0"/>
        <w:sz w:val="24"/>
        <w:u w:val="none"/>
        <w:vertAlign w:val="baseline"/>
      </w:rPr>
    </w:lvl>
    <w:lvl w:ilvl="3">
      <w:start w:val="1"/>
      <w:numFmt w:val="decimal"/>
      <w:lvlText w:val="%4."/>
      <w:lvlJc w:val="left"/>
      <w:pPr>
        <w:tabs>
          <w:tab w:val="num" w:pos="3481"/>
        </w:tabs>
        <w:ind w:left="3481" w:hanging="363"/>
      </w:pPr>
      <w:rPr>
        <w:rFonts w:ascii="Times New Roman" w:hAnsi="Times New Roman" w:cs="Times New Roman"/>
        <w:b w:val="0"/>
        <w:i w:val="0"/>
        <w:strike w:val="0"/>
        <w:dstrike w:val="0"/>
        <w:color w:val="000000"/>
        <w:position w:val="0"/>
        <w:sz w:val="24"/>
        <w:u w:val="none"/>
        <w:vertAlign w:val="baseline"/>
      </w:rPr>
    </w:lvl>
    <w:lvl w:ilvl="4">
      <w:start w:val="1"/>
      <w:numFmt w:val="lowerLetter"/>
      <w:lvlText w:val="%5."/>
      <w:lvlJc w:val="left"/>
      <w:pPr>
        <w:tabs>
          <w:tab w:val="num" w:pos="4201"/>
        </w:tabs>
        <w:ind w:left="4201" w:hanging="363"/>
      </w:pPr>
      <w:rPr>
        <w:rFonts w:ascii="Times New Roman" w:hAnsi="Times New Roman" w:cs="Times New Roman"/>
        <w:b w:val="0"/>
        <w:i w:val="0"/>
        <w:strike w:val="0"/>
        <w:dstrike w:val="0"/>
        <w:color w:val="000000"/>
        <w:position w:val="0"/>
        <w:sz w:val="24"/>
        <w:u w:val="none"/>
        <w:vertAlign w:val="baseline"/>
      </w:rPr>
    </w:lvl>
    <w:lvl w:ilvl="5">
      <w:start w:val="1"/>
      <w:numFmt w:val="lowerRoman"/>
      <w:lvlText w:val="%6."/>
      <w:lvlJc w:val="right"/>
      <w:pPr>
        <w:tabs>
          <w:tab w:val="num" w:pos="4921"/>
        </w:tabs>
        <w:ind w:left="4921" w:hanging="4921"/>
      </w:pPr>
      <w:rPr>
        <w:rFonts w:ascii="Times New Roman" w:hAnsi="Times New Roman" w:cs="Times New Roman"/>
        <w:b w:val="0"/>
        <w:i w:val="0"/>
        <w:strike w:val="0"/>
        <w:dstrike w:val="0"/>
        <w:color w:val="000000"/>
        <w:position w:val="0"/>
        <w:sz w:val="24"/>
        <w:u w:val="none"/>
        <w:vertAlign w:val="baseline"/>
      </w:rPr>
    </w:lvl>
    <w:lvl w:ilvl="6">
      <w:start w:val="1"/>
      <w:numFmt w:val="decimal"/>
      <w:lvlText w:val="%7."/>
      <w:lvlJc w:val="left"/>
      <w:pPr>
        <w:tabs>
          <w:tab w:val="num" w:pos="5641"/>
        </w:tabs>
        <w:ind w:left="5641" w:hanging="363"/>
      </w:pPr>
      <w:rPr>
        <w:rFonts w:ascii="Times New Roman" w:hAnsi="Times New Roman" w:cs="Times New Roman"/>
        <w:b w:val="0"/>
        <w:i w:val="0"/>
        <w:strike w:val="0"/>
        <w:dstrike w:val="0"/>
        <w:color w:val="000000"/>
        <w:position w:val="0"/>
        <w:sz w:val="24"/>
        <w:u w:val="none"/>
        <w:vertAlign w:val="baseline"/>
      </w:rPr>
    </w:lvl>
    <w:lvl w:ilvl="7">
      <w:start w:val="1"/>
      <w:numFmt w:val="lowerLetter"/>
      <w:lvlText w:val="%8."/>
      <w:lvlJc w:val="left"/>
      <w:pPr>
        <w:tabs>
          <w:tab w:val="num" w:pos="6361"/>
        </w:tabs>
        <w:ind w:left="6361" w:hanging="363"/>
      </w:pPr>
      <w:rPr>
        <w:rFonts w:ascii="Times New Roman" w:hAnsi="Times New Roman" w:cs="Times New Roman"/>
        <w:b w:val="0"/>
        <w:i w:val="0"/>
        <w:strike w:val="0"/>
        <w:dstrike w:val="0"/>
        <w:color w:val="000000"/>
        <w:position w:val="0"/>
        <w:sz w:val="24"/>
        <w:u w:val="none"/>
        <w:vertAlign w:val="baseline"/>
      </w:rPr>
    </w:lvl>
    <w:lvl w:ilvl="8">
      <w:start w:val="1"/>
      <w:numFmt w:val="lowerRoman"/>
      <w:lvlText w:val="%9."/>
      <w:lvlJc w:val="right"/>
      <w:pPr>
        <w:tabs>
          <w:tab w:val="num" w:pos="7081"/>
        </w:tabs>
        <w:ind w:left="7081" w:hanging="7081"/>
      </w:pPr>
      <w:rPr>
        <w:rFonts w:ascii="Times New Roman" w:hAnsi="Times New Roman" w:cs="Times New Roman"/>
        <w:b w:val="0"/>
        <w:i w:val="0"/>
        <w:strike w:val="0"/>
        <w:dstrike w:val="0"/>
        <w:color w:val="000000"/>
        <w:position w:val="0"/>
        <w:sz w:val="24"/>
        <w:u w:val="none"/>
        <w:vertAlign w:val="baseline"/>
      </w:rPr>
    </w:lvl>
  </w:abstractNum>
  <w:abstractNum w:abstractNumId="1" w15:restartNumberingAfterBreak="0">
    <w:nsid w:val="00000002"/>
    <w:multiLevelType w:val="multilevel"/>
    <w:tmpl w:val="00000002"/>
    <w:lvl w:ilvl="0">
      <w:start w:val="1"/>
      <w:numFmt w:val="none"/>
      <w:lvlText w:val=""/>
      <w:lvlJc w:val="left"/>
      <w:pPr>
        <w:tabs>
          <w:tab w:val="num" w:pos="0"/>
        </w:tabs>
      </w:pPr>
      <w:rPr>
        <w:rFonts w:cs="Times New Roman"/>
      </w:rPr>
    </w:lvl>
    <w:lvl w:ilvl="1">
      <w:start w:val="1"/>
      <w:numFmt w:val="none"/>
      <w:lvlText w:val=""/>
      <w:lvlJc w:val="left"/>
      <w:pPr>
        <w:tabs>
          <w:tab w:val="num" w:pos="0"/>
        </w:tabs>
      </w:pPr>
      <w:rPr>
        <w:rFonts w:cs="Times New Roman"/>
      </w:rPr>
    </w:lvl>
    <w:lvl w:ilvl="2">
      <w:start w:val="1"/>
      <w:numFmt w:val="none"/>
      <w:lvlText w:val=""/>
      <w:lvlJc w:val="left"/>
      <w:pPr>
        <w:tabs>
          <w:tab w:val="num" w:pos="0"/>
        </w:tabs>
      </w:pPr>
      <w:rPr>
        <w:rFonts w:cs="Times New Roman"/>
      </w:rPr>
    </w:lvl>
    <w:lvl w:ilvl="3">
      <w:start w:val="1"/>
      <w:numFmt w:val="none"/>
      <w:lvlText w:val=""/>
      <w:lvlJc w:val="left"/>
      <w:pPr>
        <w:tabs>
          <w:tab w:val="num" w:pos="0"/>
        </w:tabs>
      </w:pPr>
      <w:rPr>
        <w:rFonts w:cs="Times New Roman"/>
      </w:rPr>
    </w:lvl>
    <w:lvl w:ilvl="4">
      <w:start w:val="1"/>
      <w:numFmt w:val="none"/>
      <w:lvlText w:val=""/>
      <w:lvlJc w:val="left"/>
      <w:pPr>
        <w:tabs>
          <w:tab w:val="num" w:pos="0"/>
        </w:tabs>
      </w:pPr>
      <w:rPr>
        <w:rFonts w:cs="Times New Roman"/>
      </w:rPr>
    </w:lvl>
    <w:lvl w:ilvl="5">
      <w:start w:val="1"/>
      <w:numFmt w:val="none"/>
      <w:lvlText w:val=""/>
      <w:lvlJc w:val="left"/>
      <w:pPr>
        <w:tabs>
          <w:tab w:val="num" w:pos="0"/>
        </w:tabs>
      </w:pPr>
      <w:rPr>
        <w:rFonts w:cs="Times New Roman"/>
      </w:rPr>
    </w:lvl>
    <w:lvl w:ilvl="6">
      <w:start w:val="1"/>
      <w:numFmt w:val="none"/>
      <w:lvlText w:val=""/>
      <w:lvlJc w:val="left"/>
      <w:pPr>
        <w:tabs>
          <w:tab w:val="num" w:pos="0"/>
        </w:tabs>
      </w:pPr>
      <w:rPr>
        <w:rFonts w:cs="Times New Roman"/>
      </w:rPr>
    </w:lvl>
    <w:lvl w:ilvl="7">
      <w:start w:val="1"/>
      <w:numFmt w:val="none"/>
      <w:lvlText w:val=""/>
      <w:lvlJc w:val="left"/>
      <w:pPr>
        <w:tabs>
          <w:tab w:val="num" w:pos="0"/>
        </w:tabs>
      </w:pPr>
      <w:rPr>
        <w:rFonts w:cs="Times New Roman"/>
      </w:rPr>
    </w:lvl>
    <w:lvl w:ilvl="8">
      <w:start w:val="1"/>
      <w:numFmt w:val="none"/>
      <w:lvlText w:val=""/>
      <w:lvlJc w:val="left"/>
      <w:pPr>
        <w:tabs>
          <w:tab w:val="num" w:pos="0"/>
        </w:tabs>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134"/>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9AD"/>
    <w:rsid w:val="001D09AD"/>
    <w:rsid w:val="0042162E"/>
    <w:rsid w:val="00FE50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9D9982C-CF26-414A-B39D-8EEC4203A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style>
  <w:style w:type="character" w:customStyle="1" w:styleId="HeaderChar">
    <w:name w:val="Header Char"/>
    <w:basedOn w:val="DefaultParagraphFont"/>
    <w:link w:val="Header"/>
    <w:uiPriority w:val="99"/>
    <w:semiHidden/>
    <w:rsid w:val="001D09AD"/>
    <w:rPr>
      <w:sz w:val="24"/>
    </w:rPr>
  </w:style>
  <w:style w:type="paragraph" w:styleId="Footer">
    <w:name w:val="footer"/>
    <w:basedOn w:val="Normal"/>
    <w:link w:val="FooterChar"/>
    <w:uiPriority w:val="99"/>
    <w:semiHidden/>
  </w:style>
  <w:style w:type="character" w:customStyle="1" w:styleId="FooterChar">
    <w:name w:val="Footer Char"/>
    <w:basedOn w:val="DefaultParagraphFont"/>
    <w:link w:val="Footer"/>
    <w:uiPriority w:val="99"/>
    <w:semiHidden/>
    <w:rsid w:val="001D09AD"/>
    <w:rPr>
      <w:sz w:val="24"/>
    </w:rPr>
  </w:style>
  <w:style w:type="paragraph" w:styleId="BodyText">
    <w:name w:val="Body Text"/>
    <w:basedOn w:val="Normal"/>
    <w:link w:val="BodyTextChar"/>
    <w:uiPriority w:val="99"/>
    <w:semiHidden/>
  </w:style>
  <w:style w:type="character" w:customStyle="1" w:styleId="BodyTextChar">
    <w:name w:val="Body Text Char"/>
    <w:basedOn w:val="DefaultParagraphFont"/>
    <w:link w:val="BodyText"/>
    <w:uiPriority w:val="99"/>
    <w:semiHidden/>
    <w:rsid w:val="001D09AD"/>
    <w:rPr>
      <w:sz w:val="24"/>
    </w:rPr>
  </w:style>
  <w:style w:type="paragraph" w:customStyle="1" w:styleId="TableContents">
    <w:name w:val="Table Contents"/>
    <w:basedOn w:val="BodyTex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2284</Words>
  <Characters>13024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Turturica</dc:creator>
  <cp:keywords/>
  <cp:lastModifiedBy>Ion Turturica</cp:lastModifiedBy>
  <cp:revision>2</cp:revision>
  <dcterms:created xsi:type="dcterms:W3CDTF">2015-07-09T22:51:00Z</dcterms:created>
  <dcterms:modified xsi:type="dcterms:W3CDTF">2015-07-09T22:51:00Z</dcterms:modified>
</cp:coreProperties>
</file>