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57D" w:rsidRPr="006375F4" w:rsidRDefault="00E7457D" w:rsidP="00E7457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6375F4">
        <w:rPr>
          <w:rFonts w:ascii="Times New Roman" w:eastAsia="Times New Roman" w:hAnsi="Times New Roman" w:cs="Times New Roman"/>
          <w:b/>
          <w:bCs/>
          <w:kern w:val="36"/>
          <w:sz w:val="48"/>
          <w:szCs w:val="48"/>
          <w:lang w:eastAsia="en-CA"/>
        </w:rPr>
        <w:t>Lesson 1: Real Est</w:t>
      </w:r>
      <w:r>
        <w:rPr>
          <w:rFonts w:ascii="Times New Roman" w:eastAsia="Times New Roman" w:hAnsi="Times New Roman" w:cs="Times New Roman"/>
          <w:b/>
          <w:bCs/>
          <w:kern w:val="36"/>
          <w:sz w:val="48"/>
          <w:szCs w:val="48"/>
          <w:lang w:eastAsia="en-CA"/>
        </w:rPr>
        <w:t>ate Investment</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 Overview</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172"/>
        <w:gridCol w:w="5308"/>
      </w:tblGrid>
      <w:tr w:rsidR="00E7457D" w:rsidRPr="006375F4" w:rsidTr="006A3063">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E7457D" w:rsidRPr="006375F4" w:rsidRDefault="00E7457D" w:rsidP="006A3063">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Lesson's Key Topics</w:t>
            </w:r>
          </w:p>
        </w:tc>
      </w:tr>
      <w:tr w:rsidR="00E7457D" w:rsidRPr="006375F4" w:rsidTr="006A306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7457D" w:rsidRPr="006375F4" w:rsidRDefault="00E7457D" w:rsidP="006A3063">
            <w:pPr>
              <w:numPr>
                <w:ilvl w:val="0"/>
                <w:numId w:val="1"/>
              </w:numPr>
              <w:spacing w:before="100" w:beforeAutospacing="1" w:after="240" w:line="240" w:lineRule="auto"/>
              <w:rPr>
                <w:rFonts w:ascii="Times New Roman" w:eastAsia="Times New Roman" w:hAnsi="Times New Roman" w:cs="Times New Roman"/>
                <w:sz w:val="24"/>
                <w:szCs w:val="24"/>
                <w:lang w:eastAsia="en-CA"/>
              </w:rPr>
            </w:pPr>
            <w:hyperlink r:id="rId5" w:history="1">
              <w:r w:rsidRPr="006375F4">
                <w:rPr>
                  <w:rFonts w:ascii="Times New Roman" w:eastAsia="Times New Roman" w:hAnsi="Times New Roman" w:cs="Times New Roman"/>
                  <w:color w:val="0000FF"/>
                  <w:sz w:val="24"/>
                  <w:szCs w:val="24"/>
                  <w:u w:val="single"/>
                  <w:lang w:eastAsia="en-CA"/>
                </w:rPr>
                <w:t>The Real Estate Investment (slides 2-3)</w:t>
              </w:r>
            </w:hyperlink>
          </w:p>
          <w:p w:rsidR="00E7457D" w:rsidRPr="006375F4" w:rsidRDefault="00E7457D" w:rsidP="006A3063">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6" w:history="1">
              <w:r w:rsidRPr="006375F4">
                <w:rPr>
                  <w:rFonts w:ascii="Times New Roman" w:eastAsia="Times New Roman" w:hAnsi="Times New Roman" w:cs="Times New Roman"/>
                  <w:color w:val="0000FF"/>
                  <w:sz w:val="24"/>
                  <w:szCs w:val="24"/>
                  <w:u w:val="single"/>
                  <w:lang w:eastAsia="en-CA"/>
                </w:rPr>
                <w:t>Major Participants in REI (slides 4-9)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E7457D" w:rsidRPr="006375F4" w:rsidRDefault="00E7457D" w:rsidP="006A306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7" w:history="1">
              <w:r w:rsidRPr="006375F4">
                <w:rPr>
                  <w:rFonts w:ascii="Times New Roman" w:eastAsia="Times New Roman" w:hAnsi="Times New Roman" w:cs="Times New Roman"/>
                  <w:color w:val="0000FF"/>
                  <w:sz w:val="24"/>
                  <w:szCs w:val="24"/>
                  <w:u w:val="single"/>
                  <w:lang w:eastAsia="en-CA"/>
                </w:rPr>
                <w:t xml:space="preserve">Relationship between REI Participants (slides 10-11) </w:t>
              </w:r>
              <w:r w:rsidRPr="006375F4">
                <w:rPr>
                  <w:rFonts w:ascii="Times New Roman" w:eastAsia="Times New Roman" w:hAnsi="Times New Roman" w:cs="Times New Roman"/>
                  <w:color w:val="0000FF"/>
                  <w:sz w:val="24"/>
                  <w:szCs w:val="24"/>
                  <w:u w:val="single"/>
                  <w:lang w:eastAsia="en-CA"/>
                </w:rPr>
                <w:br/>
              </w:r>
            </w:hyperlink>
          </w:p>
          <w:p w:rsidR="00E7457D" w:rsidRPr="006375F4" w:rsidRDefault="00E7457D" w:rsidP="006A306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8" w:history="1">
              <w:r w:rsidRPr="006375F4">
                <w:rPr>
                  <w:rFonts w:ascii="Times New Roman" w:eastAsia="Times New Roman" w:hAnsi="Times New Roman" w:cs="Times New Roman"/>
                  <w:color w:val="0000FF"/>
                  <w:sz w:val="24"/>
                  <w:szCs w:val="24"/>
                  <w:u w:val="single"/>
                  <w:lang w:eastAsia="en-CA"/>
                </w:rPr>
                <w:t>The Real Estate Investment Process (slides 12-19)</w:t>
              </w:r>
            </w:hyperlink>
          </w:p>
        </w:tc>
      </w:tr>
    </w:tbl>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tblPr>
      <w:tblGrid>
        <w:gridCol w:w="9450"/>
      </w:tblGrid>
      <w:tr w:rsidR="00E7457D" w:rsidRPr="006375F4" w:rsidTr="006A3063">
        <w:trPr>
          <w:tblCellSpacing w:w="15" w:type="dxa"/>
        </w:trPr>
        <w:tc>
          <w:tcPr>
            <w:tcW w:w="0" w:type="auto"/>
            <w:vAlign w:val="center"/>
            <w:hideMark/>
          </w:tcPr>
          <w:p w:rsidR="00E7457D" w:rsidRPr="006375F4" w:rsidRDefault="00E7457D" w:rsidP="006A3063">
            <w:pPr>
              <w:spacing w:after="0" w:line="240" w:lineRule="auto"/>
              <w:rPr>
                <w:rFonts w:ascii="Times New Roman" w:eastAsia="Times New Roman" w:hAnsi="Times New Roman" w:cs="Times New Roman"/>
                <w:sz w:val="24"/>
                <w:szCs w:val="24"/>
                <w:lang w:eastAsia="en-CA"/>
              </w:rPr>
            </w:pPr>
          </w:p>
        </w:tc>
      </w:tr>
    </w:tbl>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2: The Real Estate Investment </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30020" cy="2003425"/>
            <wp:effectExtent l="19050" t="0" r="0" b="0"/>
            <wp:docPr id="3" name="Picture 3"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ant"/>
                    <pic:cNvPicPr>
                      <a:picLocks noChangeAspect="1" noChangeArrowheads="1"/>
                    </pic:cNvPicPr>
                  </pic:nvPicPr>
                  <pic:blipFill>
                    <a:blip r:embed="rId9" cstate="print"/>
                    <a:srcRect/>
                    <a:stretch>
                      <a:fillRect/>
                    </a:stretch>
                  </pic:blipFill>
                  <pic:spPr bwMode="auto">
                    <a:xfrm>
                      <a:off x="0" y="0"/>
                      <a:ext cx="1430020" cy="200342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As other investments, REI comes with risk and return that depend on the market’s cycle. </w:t>
      </w:r>
      <w:r w:rsidRPr="006375F4">
        <w:rPr>
          <w:rFonts w:ascii="Times New Roman" w:eastAsia="Times New Roman" w:hAnsi="Times New Roman" w:cs="Times New Roman"/>
          <w:b/>
          <w:bCs/>
          <w:sz w:val="24"/>
          <w:szCs w:val="24"/>
          <w:lang w:eastAsia="en-CA"/>
        </w:rPr>
        <w:t>The REI cycle</w:t>
      </w:r>
      <w:r w:rsidRPr="006375F4">
        <w:rPr>
          <w:rFonts w:ascii="Times New Roman" w:eastAsia="Times New Roman" w:hAnsi="Times New Roman" w:cs="Times New Roman"/>
          <w:sz w:val="24"/>
          <w:szCs w:val="24"/>
          <w:lang w:eastAsia="en-CA"/>
        </w:rPr>
        <w:t xml:space="preserve"> experiences excess when supply of properties is high; this results in a decrease in property values and indicates a good time for you to buy, but not to sell. Understanding the REI market and being able to assess the cycle’s stage is crucial to real estate investments. </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Several factors affect the real estate market,</w:t>
      </w:r>
      <w:r w:rsidRPr="006375F4">
        <w:rPr>
          <w:rFonts w:ascii="Times New Roman" w:eastAsia="Times New Roman" w:hAnsi="Times New Roman" w:cs="Times New Roman"/>
          <w:sz w:val="24"/>
          <w:szCs w:val="24"/>
          <w:lang w:eastAsia="en-CA"/>
        </w:rPr>
        <w:t xml:space="preserve"> such as interest rates, taxes, legal restrictions, local or provincial economy, population mobility, vacancy, property location, and public opinion of the property. We will discuss these factors in this and following lessons in the course.</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3: The Real Estate Investment (Cont'd) </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4" name="Picture 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Mannadiar"/>
                    <pic:cNvPicPr>
                      <a:picLocks noChangeAspect="1" noChangeArrowheads="1"/>
                    </pic:cNvPicPr>
                  </pic:nvPicPr>
                  <pic:blipFill>
                    <a:blip r:embed="rId10"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REI has advantages and disadvantages:</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39"/>
        <w:gridCol w:w="4651"/>
      </w:tblGrid>
      <w:tr w:rsidR="00E7457D" w:rsidRPr="006375F4" w:rsidTr="006A306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7457D" w:rsidRPr="006375F4" w:rsidRDefault="00E7457D" w:rsidP="006A3063">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Advantages </w:t>
            </w:r>
          </w:p>
        </w:tc>
        <w:tc>
          <w:tcPr>
            <w:tcW w:w="0" w:type="auto"/>
            <w:tcBorders>
              <w:top w:val="outset" w:sz="6" w:space="0" w:color="auto"/>
              <w:left w:val="outset" w:sz="6" w:space="0" w:color="auto"/>
              <w:bottom w:val="outset" w:sz="6" w:space="0" w:color="auto"/>
              <w:right w:val="outset" w:sz="6" w:space="0" w:color="auto"/>
            </w:tcBorders>
            <w:vAlign w:val="center"/>
            <w:hideMark/>
          </w:tcPr>
          <w:p w:rsidR="00E7457D" w:rsidRPr="006375F4" w:rsidRDefault="00E7457D" w:rsidP="006A3063">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Disadvantages</w:t>
            </w:r>
          </w:p>
        </w:tc>
      </w:tr>
      <w:tr w:rsidR="00E7457D" w:rsidRPr="006375F4" w:rsidTr="006A3063">
        <w:trPr>
          <w:tblCellSpacing w:w="0" w:type="dxa"/>
          <w:jc w:val="center"/>
        </w:trPr>
        <w:tc>
          <w:tcPr>
            <w:tcW w:w="5100" w:type="dxa"/>
            <w:tcBorders>
              <w:top w:val="outset" w:sz="6" w:space="0" w:color="auto"/>
              <w:left w:val="outset" w:sz="6" w:space="0" w:color="auto"/>
              <w:bottom w:val="outset" w:sz="6" w:space="0" w:color="auto"/>
              <w:right w:val="outset" w:sz="6" w:space="0" w:color="auto"/>
            </w:tcBorders>
            <w:hideMark/>
          </w:tcPr>
          <w:p w:rsidR="00E7457D" w:rsidRPr="006375F4" w:rsidRDefault="00E7457D" w:rsidP="006A3063">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Risk in REI is low. </w:t>
            </w:r>
            <w:r w:rsidRPr="006375F4">
              <w:rPr>
                <w:rFonts w:ascii="Times New Roman" w:eastAsia="Times New Roman" w:hAnsi="Times New Roman" w:cs="Times New Roman"/>
                <w:sz w:val="24"/>
                <w:szCs w:val="24"/>
                <w:lang w:eastAsia="en-CA"/>
              </w:rPr>
              <w:t>Compared to other types of investment, REI is stable and secure.</w:t>
            </w:r>
          </w:p>
          <w:p w:rsidR="00E7457D" w:rsidRPr="006375F4" w:rsidRDefault="00E7457D" w:rsidP="006A3063">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Appreciation of real estate increases annually. </w:t>
            </w:r>
            <w:r w:rsidRPr="006375F4">
              <w:rPr>
                <w:rFonts w:ascii="Times New Roman" w:eastAsia="Times New Roman" w:hAnsi="Times New Roman" w:cs="Times New Roman"/>
                <w:sz w:val="24"/>
                <w:szCs w:val="24"/>
                <w:lang w:eastAsia="en-CA"/>
              </w:rPr>
              <w:t xml:space="preserve">The Canadian Real Estate Association found that residential real estate is increasing in value an average of 5% per year. </w:t>
            </w:r>
          </w:p>
          <w:p w:rsidR="00E7457D" w:rsidRPr="006375F4" w:rsidRDefault="00E7457D" w:rsidP="006A3063">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Down payment is accessible.</w:t>
            </w:r>
            <w:r w:rsidRPr="006375F4">
              <w:rPr>
                <w:rFonts w:ascii="Times New Roman" w:eastAsia="Times New Roman" w:hAnsi="Times New Roman" w:cs="Times New Roman"/>
                <w:sz w:val="24"/>
                <w:szCs w:val="24"/>
                <w:lang w:eastAsia="en-CA"/>
              </w:rPr>
              <w:t xml:space="preserve"> REIs are of low risk because the property is used as security; therefore, financing can cover up to 90% of the amount needed to </w:t>
            </w:r>
            <w:r w:rsidRPr="006375F4">
              <w:rPr>
                <w:rFonts w:ascii="Times New Roman" w:eastAsia="Times New Roman" w:hAnsi="Times New Roman" w:cs="Times New Roman"/>
                <w:sz w:val="24"/>
                <w:szCs w:val="24"/>
                <w:lang w:eastAsia="en-CA"/>
              </w:rPr>
              <w:lastRenderedPageBreak/>
              <w:t xml:space="preserve">buy a property. </w:t>
            </w:r>
          </w:p>
          <w:p w:rsidR="00E7457D" w:rsidRPr="006375F4" w:rsidRDefault="00E7457D" w:rsidP="006A3063">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return will most likely be high.</w:t>
            </w:r>
            <w:r w:rsidRPr="006375F4">
              <w:rPr>
                <w:rFonts w:ascii="Times New Roman" w:eastAsia="Times New Roman" w:hAnsi="Times New Roman" w:cs="Times New Roman"/>
                <w:sz w:val="24"/>
                <w:szCs w:val="24"/>
                <w:lang w:eastAsia="en-CA"/>
              </w:rPr>
              <w:t xml:space="preserve"> Real estate value increases with time. Thus, by the time you sell a property you will be receiving more than what you spent. </w:t>
            </w:r>
          </w:p>
          <w:p w:rsidR="00E7457D" w:rsidRPr="006375F4" w:rsidRDefault="00E7457D" w:rsidP="006A3063">
            <w:pPr>
              <w:numPr>
                <w:ilvl w:val="0"/>
                <w:numId w:val="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Tax rates are beneficial to REI.</w:t>
            </w:r>
            <w:r w:rsidRPr="006375F4">
              <w:rPr>
                <w:rFonts w:ascii="Times New Roman" w:eastAsia="Times New Roman" w:hAnsi="Times New Roman" w:cs="Times New Roman"/>
                <w:sz w:val="24"/>
                <w:szCs w:val="24"/>
                <w:lang w:eastAsia="en-CA"/>
              </w:rPr>
              <w:t xml:space="preserve"> Canadian laws allow contributors several advantages that go from tax-free to tax savings on capital gains. </w:t>
            </w:r>
          </w:p>
          <w:p w:rsidR="00E7457D" w:rsidRPr="006375F4" w:rsidRDefault="00E7457D" w:rsidP="006A306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REI builds up on equity. </w:t>
            </w:r>
            <w:r w:rsidRPr="006375F4">
              <w:rPr>
                <w:rFonts w:ascii="Times New Roman" w:eastAsia="Times New Roman" w:hAnsi="Times New Roman" w:cs="Times New Roman"/>
                <w:sz w:val="24"/>
                <w:szCs w:val="24"/>
                <w:lang w:eastAsia="en-CA"/>
              </w:rPr>
              <w:t xml:space="preserve">Payments on mortgage mean acquiring equity, the part of the property that becomes yours, and that is clear of debts. </w:t>
            </w:r>
          </w:p>
        </w:tc>
        <w:tc>
          <w:tcPr>
            <w:tcW w:w="5100" w:type="dxa"/>
            <w:tcBorders>
              <w:top w:val="outset" w:sz="6" w:space="0" w:color="auto"/>
              <w:left w:val="outset" w:sz="6" w:space="0" w:color="auto"/>
              <w:bottom w:val="outset" w:sz="6" w:space="0" w:color="auto"/>
              <w:right w:val="outset" w:sz="6" w:space="0" w:color="auto"/>
            </w:tcBorders>
            <w:hideMark/>
          </w:tcPr>
          <w:p w:rsidR="00E7457D" w:rsidRPr="006375F4" w:rsidRDefault="00E7457D" w:rsidP="006A3063">
            <w:pPr>
              <w:numPr>
                <w:ilvl w:val="0"/>
                <w:numId w:val="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lastRenderedPageBreak/>
              <w:t xml:space="preserve">Basic knowledge is essential to make sound decisions. </w:t>
            </w:r>
            <w:r w:rsidRPr="006375F4">
              <w:rPr>
                <w:rFonts w:ascii="Times New Roman" w:eastAsia="Times New Roman" w:hAnsi="Times New Roman" w:cs="Times New Roman"/>
                <w:sz w:val="24"/>
                <w:szCs w:val="24"/>
                <w:lang w:eastAsia="en-CA"/>
              </w:rPr>
              <w:t>Although some REIs do not require that you be an expert on real estate, you will need to allocate time to research and planning to reduce investment risks and ensure the expected outcomes.</w:t>
            </w:r>
          </w:p>
          <w:p w:rsidR="00E7457D" w:rsidRPr="006375F4" w:rsidRDefault="00E7457D" w:rsidP="006A3063">
            <w:pPr>
              <w:numPr>
                <w:ilvl w:val="0"/>
                <w:numId w:val="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Cash is not available immediately. </w:t>
            </w:r>
            <w:r w:rsidRPr="006375F4">
              <w:rPr>
                <w:rFonts w:ascii="Times New Roman" w:eastAsia="Times New Roman" w:hAnsi="Times New Roman" w:cs="Times New Roman"/>
                <w:sz w:val="24"/>
                <w:szCs w:val="24"/>
                <w:lang w:eastAsia="en-CA"/>
              </w:rPr>
              <w:t>Despite having</w:t>
            </w:r>
            <w:r w:rsidRPr="006375F4">
              <w:rPr>
                <w:rFonts w:ascii="Times New Roman" w:eastAsia="Times New Roman" w:hAnsi="Times New Roman" w:cs="Times New Roman"/>
                <w:b/>
                <w:bCs/>
                <w:sz w:val="24"/>
                <w:szCs w:val="24"/>
                <w:lang w:eastAsia="en-CA"/>
              </w:rPr>
              <w:t xml:space="preserve"> </w:t>
            </w:r>
            <w:r w:rsidRPr="006375F4">
              <w:rPr>
                <w:rFonts w:ascii="Times New Roman" w:eastAsia="Times New Roman" w:hAnsi="Times New Roman" w:cs="Times New Roman"/>
                <w:sz w:val="24"/>
                <w:szCs w:val="24"/>
                <w:lang w:eastAsia="en-CA"/>
              </w:rPr>
              <w:t>a big real estate investment, you will need to find a buyer or borrower to turn your investment into cash and this process might take some time.</w:t>
            </w:r>
          </w:p>
          <w:p w:rsidR="00E7457D" w:rsidRPr="006375F4" w:rsidRDefault="00E7457D" w:rsidP="006A3063">
            <w:pPr>
              <w:numPr>
                <w:ilvl w:val="0"/>
                <w:numId w:val="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lastRenderedPageBreak/>
              <w:t xml:space="preserve">REI is a long-term investment. </w:t>
            </w:r>
            <w:r w:rsidRPr="006375F4">
              <w:rPr>
                <w:rFonts w:ascii="Times New Roman" w:eastAsia="Times New Roman" w:hAnsi="Times New Roman" w:cs="Times New Roman"/>
                <w:sz w:val="24"/>
                <w:szCs w:val="24"/>
                <w:lang w:eastAsia="en-CA"/>
              </w:rPr>
              <w:t xml:space="preserve">You might have to wait 5 to 10 years before selling the property to see the expected return. </w:t>
            </w:r>
          </w:p>
          <w:p w:rsidR="00E7457D" w:rsidRPr="006375F4" w:rsidRDefault="00E7457D" w:rsidP="006A3063">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Advice from experts is necessary. </w:t>
            </w:r>
            <w:r w:rsidRPr="006375F4">
              <w:rPr>
                <w:rFonts w:ascii="Times New Roman" w:eastAsia="Times New Roman" w:hAnsi="Times New Roman" w:cs="Times New Roman"/>
                <w:sz w:val="24"/>
                <w:szCs w:val="24"/>
                <w:lang w:eastAsia="en-CA"/>
              </w:rPr>
              <w:t xml:space="preserve">Suggestions from legal, accounting, insurance, and real estate experts will help you plan to reach your REI objectives and avoid any potential problem that any investment might involve. </w:t>
            </w:r>
          </w:p>
        </w:tc>
      </w:tr>
    </w:tbl>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4: Major Participants in the Real Estate Investment Process</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00:11:10)</w:t>
      </w:r>
    </w:p>
    <w:p w:rsidR="00E7457D" w:rsidRPr="006375F4" w:rsidRDefault="00E7457D" w:rsidP="00E7457D">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5" name="Picture 5"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deo Icon"/>
                    <pic:cNvPicPr>
                      <a:picLocks noChangeAspect="1" noChangeArrowheads="1"/>
                    </pic:cNvPicPr>
                  </pic:nvPicPr>
                  <pic:blipFill>
                    <a:blip r:embed="rId11" cstate="print"/>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5: Major Participants in the Real Estate Investment Process</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6" name="Picture 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Mannadiar"/>
                    <pic:cNvPicPr>
                      <a:picLocks noChangeAspect="1" noChangeArrowheads="1"/>
                    </pic:cNvPicPr>
                  </pic:nvPicPr>
                  <pic:blipFill>
                    <a:blip r:embed="rId10"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02605" cy="4962525"/>
            <wp:effectExtent l="19050" t="0" r="0" b="0"/>
            <wp:docPr id="7" name="Picture 7"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icipants"/>
                    <pic:cNvPicPr>
                      <a:picLocks noChangeAspect="1" noChangeArrowheads="1"/>
                    </pic:cNvPicPr>
                  </pic:nvPicPr>
                  <pic:blipFill>
                    <a:blip r:embed="rId12" cstate="print"/>
                    <a:srcRect/>
                    <a:stretch>
                      <a:fillRect/>
                    </a:stretch>
                  </pic:blipFill>
                  <pic:spPr bwMode="auto">
                    <a:xfrm>
                      <a:off x="0" y="0"/>
                      <a:ext cx="5602605" cy="4962525"/>
                    </a:xfrm>
                    <a:prstGeom prst="rect">
                      <a:avLst/>
                    </a:prstGeom>
                    <a:noFill/>
                    <a:ln w="9525">
                      <a:noFill/>
                      <a:miter lim="800000"/>
                      <a:headEnd/>
                      <a:tailEnd/>
                    </a:ln>
                  </pic:spPr>
                </pic:pic>
              </a:graphicData>
            </a:graphic>
          </wp:inline>
        </w:drawing>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6: Major Participants in REI </w:t>
      </w: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8" name="Picture 8" descr="equity_inve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quity_investor"/>
                    <pic:cNvPicPr>
                      <a:picLocks noChangeAspect="1" noChangeArrowheads="1"/>
                    </pic:cNvPicPr>
                  </pic:nvPicPr>
                  <pic:blipFill>
                    <a:blip r:embed="rId13"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147445" cy="1712595"/>
            <wp:effectExtent l="19050" t="0" r="0" b="0"/>
            <wp:docPr id="9" name="Picture 9"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nant"/>
                    <pic:cNvPicPr>
                      <a:picLocks noChangeAspect="1" noChangeArrowheads="1"/>
                    </pic:cNvPicPr>
                  </pic:nvPicPr>
                  <pic:blipFill>
                    <a:blip r:embed="rId14" cstate="print"/>
                    <a:srcRect/>
                    <a:stretch>
                      <a:fillRect/>
                    </a:stretch>
                  </pic:blipFill>
                  <pic:spPr bwMode="auto">
                    <a:xfrm>
                      <a:off x="0" y="0"/>
                      <a:ext cx="1147445" cy="171259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or landlord is the person or entity that acquires the real estate investment. The equity investor assesses how the REI will be taken, as an individual or as an organization. To make a decision, the equity investor will analyse questions such as how the organization will be created and how marketable it is, who the partners will be, how each partner will share liabilities, and what the taxation opportunities and constraints for the specific organization are.</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most common forms of equity investors are:</w:t>
      </w:r>
    </w:p>
    <w:p w:rsidR="00E7457D" w:rsidRPr="006375F4" w:rsidRDefault="00E7457D" w:rsidP="00E7457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Individual</w:t>
      </w:r>
    </w:p>
    <w:p w:rsidR="00E7457D" w:rsidRPr="006375F4" w:rsidRDefault="00E7457D" w:rsidP="00E7457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Corporation</w:t>
      </w:r>
    </w:p>
    <w:p w:rsidR="00E7457D" w:rsidRPr="006375F4" w:rsidRDefault="00E7457D" w:rsidP="00E7457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Partnership</w:t>
      </w:r>
    </w:p>
    <w:p w:rsidR="00E7457D" w:rsidRPr="006375F4" w:rsidRDefault="00E7457D" w:rsidP="00E7457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Investment Trust (REIT)</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7: Major Participants in REI (Cont'd) </w:t>
      </w: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0" name="Picture 10" descr="mortgage_le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rtgage_lenders"/>
                    <pic:cNvPicPr>
                      <a:picLocks noChangeAspect="1" noChangeArrowheads="1"/>
                    </pic:cNvPicPr>
                  </pic:nvPicPr>
                  <pic:blipFill>
                    <a:blip r:embed="rId15"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Mortgage Lender</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147445" cy="1430020"/>
            <wp:effectExtent l="19050" t="0" r="0" b="0"/>
            <wp:docPr id="11" name="Picture 11"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gnature"/>
                    <pic:cNvPicPr>
                      <a:picLocks noChangeAspect="1" noChangeArrowheads="1"/>
                    </pic:cNvPicPr>
                  </pic:nvPicPr>
                  <pic:blipFill>
                    <a:blip r:embed="rId16" cstate="print"/>
                    <a:srcRect/>
                    <a:stretch>
                      <a:fillRect/>
                    </a:stretch>
                  </pic:blipFill>
                  <pic:spPr bwMode="auto">
                    <a:xfrm>
                      <a:off x="0" y="0"/>
                      <a:ext cx="1147445" cy="1430020"/>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mortgage lender is the entity that lends the money that the equity investor needs to start a real estate investment. Among the most common mortgage lenders are:</w:t>
      </w:r>
    </w:p>
    <w:p w:rsidR="00E7457D" w:rsidRPr="006375F4" w:rsidRDefault="00E7457D" w:rsidP="00E7457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Another individual</w:t>
      </w:r>
    </w:p>
    <w:p w:rsidR="00E7457D" w:rsidRPr="006375F4" w:rsidRDefault="00E7457D" w:rsidP="00E7457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Insurance companies</w:t>
      </w:r>
    </w:p>
    <w:p w:rsidR="00E7457D" w:rsidRPr="006375F4" w:rsidRDefault="00E7457D" w:rsidP="00E7457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Banks</w:t>
      </w:r>
    </w:p>
    <w:p w:rsidR="00E7457D" w:rsidRPr="006375F4" w:rsidRDefault="00E7457D" w:rsidP="00E7457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Investment Trust (REIT)</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8: Major Participants in REI (Cont'd) </w:t>
      </w: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2" name="Picture 12"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nant"/>
                    <pic:cNvPicPr>
                      <a:picLocks noChangeAspect="1" noChangeArrowheads="1"/>
                    </pic:cNvPicPr>
                  </pic:nvPicPr>
                  <pic:blipFill>
                    <a:blip r:embed="rId17"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Tenant</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136140" cy="1430020"/>
            <wp:effectExtent l="19050" t="0" r="0" b="0"/>
            <wp:docPr id="13" name="Picture 13"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nant"/>
                    <pic:cNvPicPr>
                      <a:picLocks noChangeAspect="1" noChangeArrowheads="1"/>
                    </pic:cNvPicPr>
                  </pic:nvPicPr>
                  <pic:blipFill>
                    <a:blip r:embed="rId18" cstate="print"/>
                    <a:srcRect/>
                    <a:stretch>
                      <a:fillRect/>
                    </a:stretch>
                  </pic:blipFill>
                  <pic:spPr bwMode="auto">
                    <a:xfrm>
                      <a:off x="0" y="0"/>
                      <a:ext cx="2136140" cy="1430020"/>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tenant is the one who buys the right of possession and use of a property from the equity investor. The object of possession could be used for different purposes:</w:t>
      </w:r>
    </w:p>
    <w:p w:rsidR="00E7457D" w:rsidRPr="006375F4" w:rsidRDefault="00E7457D" w:rsidP="00E7457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Residential</w:t>
      </w:r>
    </w:p>
    <w:p w:rsidR="00E7457D" w:rsidRPr="006375F4" w:rsidRDefault="00E7457D" w:rsidP="00E7457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Commercial</w:t>
      </w:r>
    </w:p>
    <w:p w:rsidR="00E7457D" w:rsidRPr="006375F4" w:rsidRDefault="00E7457D" w:rsidP="00E7457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Industrial</w:t>
      </w:r>
    </w:p>
    <w:p w:rsidR="00E7457D" w:rsidRPr="006375F4" w:rsidRDefault="00E7457D" w:rsidP="00E7457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Special purposes (theatre, sports, reception halls, etc.)</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9: Major Participants in REI (Cont'd) </w:t>
      </w: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4" name="Picture 14"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overnment"/>
                    <pic:cNvPicPr>
                      <a:picLocks noChangeAspect="1" noChangeArrowheads="1"/>
                    </pic:cNvPicPr>
                  </pic:nvPicPr>
                  <pic:blipFill>
                    <a:blip r:embed="rId19"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Government</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144395" cy="1412875"/>
            <wp:effectExtent l="19050" t="0" r="8255" b="0"/>
            <wp:docPr id="15" name="Picture 15"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vernment"/>
                    <pic:cNvPicPr>
                      <a:picLocks noChangeAspect="1" noChangeArrowheads="1"/>
                    </pic:cNvPicPr>
                  </pic:nvPicPr>
                  <pic:blipFill>
                    <a:blip r:embed="rId20" cstate="print"/>
                    <a:srcRect/>
                    <a:stretch>
                      <a:fillRect/>
                    </a:stretch>
                  </pic:blipFill>
                  <pic:spPr bwMode="auto">
                    <a:xfrm>
                      <a:off x="0" y="0"/>
                      <a:ext cx="2144395" cy="141287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regulates the relationship between participants, and restricts participants with the imposition of taxes. Government participation in the process takes place on different levels:</w:t>
      </w:r>
    </w:p>
    <w:p w:rsidR="00E7457D" w:rsidRPr="006375F4" w:rsidRDefault="00E7457D" w:rsidP="00E7457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Federal</w:t>
      </w:r>
    </w:p>
    <w:p w:rsidR="00E7457D" w:rsidRPr="006375F4" w:rsidRDefault="00E7457D" w:rsidP="00E7457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Provincial</w:t>
      </w:r>
    </w:p>
    <w:p w:rsidR="00E7457D" w:rsidRPr="006375F4" w:rsidRDefault="00E7457D" w:rsidP="00E7457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Municipal</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10: Relationship between REI Participants</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16" name="Picture 1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Mannadiar"/>
                    <pic:cNvPicPr>
                      <a:picLocks noChangeAspect="1" noChangeArrowheads="1"/>
                    </pic:cNvPicPr>
                  </pic:nvPicPr>
                  <pic:blipFill>
                    <a:blip r:embed="rId10"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02605" cy="4962525"/>
            <wp:effectExtent l="19050" t="0" r="0" b="0"/>
            <wp:docPr id="17" name="Picture 17" descr="participants_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rticipants_relationships"/>
                    <pic:cNvPicPr>
                      <a:picLocks noChangeAspect="1" noChangeArrowheads="1"/>
                    </pic:cNvPicPr>
                  </pic:nvPicPr>
                  <pic:blipFill>
                    <a:blip r:embed="rId21" cstate="print"/>
                    <a:srcRect/>
                    <a:stretch>
                      <a:fillRect/>
                    </a:stretch>
                  </pic:blipFill>
                  <pic:spPr bwMode="auto">
                    <a:xfrm>
                      <a:off x="0" y="0"/>
                      <a:ext cx="5602605" cy="4962525"/>
                    </a:xfrm>
                    <a:prstGeom prst="rect">
                      <a:avLst/>
                    </a:prstGeom>
                    <a:noFill/>
                    <a:ln w="9525">
                      <a:noFill/>
                      <a:miter lim="800000"/>
                      <a:headEnd/>
                      <a:tailEnd/>
                    </a:ln>
                  </pic:spPr>
                </pic:pic>
              </a:graphicData>
            </a:graphic>
          </wp:inline>
        </w:drawing>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11: Relationship between REI Participants</w:t>
      </w:r>
    </w:p>
    <w:tbl>
      <w:tblPr>
        <w:tblW w:w="0" w:type="auto"/>
        <w:tblCellSpacing w:w="0" w:type="dxa"/>
        <w:tblCellMar>
          <w:left w:w="0" w:type="dxa"/>
          <w:right w:w="0" w:type="dxa"/>
        </w:tblCellMar>
        <w:tblLook w:val="04A0"/>
      </w:tblPr>
      <w:tblGrid>
        <w:gridCol w:w="1852"/>
        <w:gridCol w:w="7508"/>
      </w:tblGrid>
      <w:tr w:rsidR="00E7457D" w:rsidRPr="006375F4" w:rsidTr="006A3063">
        <w:trPr>
          <w:tblCellSpacing w:w="0" w:type="dxa"/>
        </w:trPr>
        <w:tc>
          <w:tcPr>
            <w:tcW w:w="0" w:type="auto"/>
            <w:vAlign w:val="center"/>
            <w:hideMark/>
          </w:tcPr>
          <w:p w:rsidR="00E7457D" w:rsidRPr="006375F4" w:rsidRDefault="00E7457D" w:rsidP="006A3063">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Participants</w:t>
            </w:r>
          </w:p>
        </w:tc>
        <w:tc>
          <w:tcPr>
            <w:tcW w:w="0" w:type="auto"/>
            <w:vAlign w:val="center"/>
            <w:hideMark/>
          </w:tcPr>
          <w:p w:rsidR="00E7457D" w:rsidRPr="006375F4" w:rsidRDefault="00E7457D" w:rsidP="006A3063">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Interrelation</w:t>
            </w:r>
          </w:p>
        </w:tc>
      </w:tr>
      <w:tr w:rsidR="00E7457D" w:rsidRPr="006375F4" w:rsidTr="006A3063">
        <w:trPr>
          <w:tblCellSpacing w:w="0" w:type="dxa"/>
        </w:trPr>
        <w:tc>
          <w:tcPr>
            <w:tcW w:w="0" w:type="auto"/>
            <w:vAlign w:val="center"/>
            <w:hideMark/>
          </w:tcPr>
          <w:p w:rsidR="00E7457D" w:rsidRPr="006375F4" w:rsidRDefault="00E7457D" w:rsidP="006A3063">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 and the Mortgage Lender</w:t>
            </w:r>
          </w:p>
        </w:tc>
        <w:tc>
          <w:tcPr>
            <w:tcW w:w="0" w:type="auto"/>
            <w:vAlign w:val="center"/>
            <w:hideMark/>
          </w:tcPr>
          <w:p w:rsidR="00E7457D" w:rsidRPr="006375F4" w:rsidRDefault="00E7457D" w:rsidP="006A3063">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borrows money from the mortgage lender.</w:t>
            </w:r>
          </w:p>
          <w:p w:rsidR="00E7457D" w:rsidRPr="006375F4" w:rsidRDefault="00E7457D" w:rsidP="006A3063">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As a provider of debt service, the mortgage lender expects mortgage payments that will include the principal plus the interest generated through time.</w:t>
            </w:r>
          </w:p>
          <w:p w:rsidR="00E7457D" w:rsidRPr="006375F4" w:rsidRDefault="00E7457D" w:rsidP="006A3063">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mortgage lender gets a mortgage document as collateral; this document specifies the method of payment, which could consist of the repayment of interest first and principal at the end, or the repayment of both principal and interest in each amortization. </w:t>
            </w:r>
          </w:p>
        </w:tc>
      </w:tr>
      <w:tr w:rsidR="00E7457D" w:rsidRPr="006375F4" w:rsidTr="006A3063">
        <w:trPr>
          <w:tblCellSpacing w:w="0" w:type="dxa"/>
        </w:trPr>
        <w:tc>
          <w:tcPr>
            <w:tcW w:w="0" w:type="auto"/>
            <w:vAlign w:val="center"/>
            <w:hideMark/>
          </w:tcPr>
          <w:p w:rsidR="00E7457D" w:rsidRPr="006375F4" w:rsidRDefault="00E7457D" w:rsidP="006A3063">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lastRenderedPageBreak/>
              <w:t>Equity Investor and Tenant</w:t>
            </w:r>
          </w:p>
        </w:tc>
        <w:tc>
          <w:tcPr>
            <w:tcW w:w="0" w:type="auto"/>
            <w:vAlign w:val="center"/>
            <w:hideMark/>
          </w:tcPr>
          <w:p w:rsidR="00E7457D" w:rsidRPr="006375F4" w:rsidRDefault="00E7457D" w:rsidP="006A3063">
            <w:pPr>
              <w:numPr>
                <w:ilvl w:val="0"/>
                <w:numId w:val="10"/>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leases the right to use a property to the tenant.</w:t>
            </w:r>
          </w:p>
          <w:p w:rsidR="00E7457D" w:rsidRPr="006375F4" w:rsidRDefault="00E7457D" w:rsidP="006A3063">
            <w:pPr>
              <w:numPr>
                <w:ilvl w:val="0"/>
                <w:numId w:val="10"/>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tenant pays rent to the equity investor to use the property.</w:t>
            </w:r>
          </w:p>
          <w:p w:rsidR="00E7457D" w:rsidRPr="006375F4" w:rsidRDefault="00E7457D" w:rsidP="006A3063">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lease document establishes the attributions and restrictions involved in using the property.</w:t>
            </w:r>
          </w:p>
        </w:tc>
      </w:tr>
      <w:tr w:rsidR="00E7457D" w:rsidRPr="006375F4" w:rsidTr="006A3063">
        <w:trPr>
          <w:tblCellSpacing w:w="0" w:type="dxa"/>
        </w:trPr>
        <w:tc>
          <w:tcPr>
            <w:tcW w:w="0" w:type="auto"/>
            <w:vAlign w:val="center"/>
            <w:hideMark/>
          </w:tcPr>
          <w:p w:rsidR="00E7457D" w:rsidRPr="006375F4" w:rsidRDefault="00E7457D" w:rsidP="006A3063">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 and Government</w:t>
            </w:r>
          </w:p>
        </w:tc>
        <w:tc>
          <w:tcPr>
            <w:tcW w:w="0" w:type="auto"/>
            <w:vAlign w:val="center"/>
            <w:hideMark/>
          </w:tcPr>
          <w:p w:rsidR="00E7457D" w:rsidRPr="006375F4" w:rsidRDefault="00E7457D" w:rsidP="006A3063">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pays taxes to the government.</w:t>
            </w:r>
          </w:p>
          <w:p w:rsidR="00E7457D" w:rsidRPr="006375F4" w:rsidRDefault="00E7457D" w:rsidP="006A3063">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sets restrictions on owners, such as police power, taxation and eminent domain.</w:t>
            </w:r>
          </w:p>
          <w:p w:rsidR="00E7457D" w:rsidRPr="006375F4" w:rsidRDefault="00E7457D" w:rsidP="006A3063">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Police may enter a property without requiring the owner's permission.</w:t>
            </w:r>
          </w:p>
          <w:p w:rsidR="00E7457D" w:rsidRPr="006375F4" w:rsidRDefault="00E7457D" w:rsidP="006A3063">
            <w:pPr>
              <w:numPr>
                <w:ilvl w:val="0"/>
                <w:numId w:val="1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 </w:t>
            </w:r>
          </w:p>
          <w:p w:rsidR="00E7457D" w:rsidRPr="006375F4" w:rsidRDefault="00E7457D" w:rsidP="006A3063">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Appealing to eminent domain, the government may expropriate private property at its fair market value in order to create something that favours society in general. </w:t>
            </w:r>
          </w:p>
        </w:tc>
      </w:tr>
      <w:tr w:rsidR="00E7457D" w:rsidRPr="006375F4" w:rsidTr="006A3063">
        <w:trPr>
          <w:tblCellSpacing w:w="0" w:type="dxa"/>
        </w:trPr>
        <w:tc>
          <w:tcPr>
            <w:tcW w:w="0" w:type="auto"/>
            <w:vAlign w:val="center"/>
            <w:hideMark/>
          </w:tcPr>
          <w:p w:rsidR="00E7457D" w:rsidRPr="006375F4" w:rsidRDefault="00E7457D" w:rsidP="006A3063">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Mortgage Lenders and Government</w:t>
            </w:r>
          </w:p>
        </w:tc>
        <w:tc>
          <w:tcPr>
            <w:tcW w:w="0" w:type="auto"/>
            <w:vAlign w:val="center"/>
            <w:hideMark/>
          </w:tcPr>
          <w:p w:rsidR="00E7457D" w:rsidRPr="006375F4" w:rsidRDefault="00E7457D" w:rsidP="006A3063">
            <w:pPr>
              <w:numPr>
                <w:ilvl w:val="0"/>
                <w:numId w:val="1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mortgage lender's relationship to other participants in the REI is regulated by the government.</w:t>
            </w:r>
          </w:p>
          <w:p w:rsidR="00E7457D" w:rsidRPr="006375F4" w:rsidRDefault="00E7457D" w:rsidP="006A3063">
            <w:pPr>
              <w:numPr>
                <w:ilvl w:val="0"/>
                <w:numId w:val="1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imposes restrictions on mortgage lenders which will depend on the nature of the mortgage lender; for example, restrictions on banks will be different from restrictions on corporations.</w:t>
            </w:r>
          </w:p>
          <w:p w:rsidR="00E7457D" w:rsidRPr="006375F4" w:rsidRDefault="00E7457D" w:rsidP="006A3063">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also sets mortgage laws on debt service or mortgage payments for equity investors.</w:t>
            </w:r>
          </w:p>
        </w:tc>
      </w:tr>
      <w:tr w:rsidR="00E7457D" w:rsidRPr="006375F4" w:rsidTr="006A3063">
        <w:trPr>
          <w:tblCellSpacing w:w="0" w:type="dxa"/>
        </w:trPr>
        <w:tc>
          <w:tcPr>
            <w:tcW w:w="0" w:type="auto"/>
            <w:vAlign w:val="center"/>
            <w:hideMark/>
          </w:tcPr>
          <w:p w:rsidR="00E7457D" w:rsidRPr="006375F4" w:rsidRDefault="00E7457D" w:rsidP="006A3063">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Government and Tenant</w:t>
            </w:r>
          </w:p>
        </w:tc>
        <w:tc>
          <w:tcPr>
            <w:tcW w:w="0" w:type="auto"/>
            <w:vAlign w:val="center"/>
            <w:hideMark/>
          </w:tcPr>
          <w:p w:rsidR="00E7457D" w:rsidRPr="006375F4" w:rsidRDefault="00E7457D" w:rsidP="006A3063">
            <w:pPr>
              <w:numPr>
                <w:ilvl w:val="0"/>
                <w:numId w:val="13"/>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regulates the use that the tenant can make of the property on lease.</w:t>
            </w:r>
          </w:p>
          <w:p w:rsidR="00E7457D" w:rsidRPr="006375F4" w:rsidRDefault="00E7457D" w:rsidP="006A3063">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Landlord–tenant law has evolved to detail not only legal aspects between a landlord and tenant but also the actions that tenants should take to protect the property, such as the installment of fire alarms, smoke detectors, and so on.</w:t>
            </w:r>
          </w:p>
        </w:tc>
      </w:tr>
    </w:tbl>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12: The Real Estate Investment Process</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Listen to your professor's introduction to this topic (video length 00:09:42)</w:t>
      </w:r>
    </w:p>
    <w:p w:rsidR="00E7457D" w:rsidRPr="006375F4" w:rsidRDefault="00E7457D" w:rsidP="00E7457D">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81965" cy="440690"/>
            <wp:effectExtent l="19050" t="0" r="0" b="0"/>
            <wp:docPr id="18" name="Picture 18"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deo Icon"/>
                    <pic:cNvPicPr>
                      <a:picLocks noChangeAspect="1" noChangeArrowheads="1"/>
                    </pic:cNvPicPr>
                  </pic:nvPicPr>
                  <pic:blipFill>
                    <a:blip r:embed="rId11" cstate="print"/>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13: The Real Estate Investment Process</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19" name="Picture 19"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Mannadiar"/>
                    <pic:cNvPicPr>
                      <a:picLocks noChangeAspect="1" noChangeArrowheads="1"/>
                    </pic:cNvPicPr>
                  </pic:nvPicPr>
                  <pic:blipFill>
                    <a:blip r:embed="rId10"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109970" cy="4846320"/>
            <wp:effectExtent l="19050" t="0" r="5080" b="0"/>
            <wp:docPr id="20" name="printit" descr="http://www.econcordia.com/courses/real_estate/lesson1_sm/images/investmentProcessPrint_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it" descr="http://www.econcordia.com/courses/real_estate/lesson1_sm/images/investmentProcessPrint_Slide13.jpg"/>
                    <pic:cNvPicPr>
                      <a:picLocks noChangeAspect="1" noChangeArrowheads="1"/>
                    </pic:cNvPicPr>
                  </pic:nvPicPr>
                  <pic:blipFill>
                    <a:blip r:embed="rId22" cstate="print"/>
                    <a:srcRect/>
                    <a:stretch>
                      <a:fillRect/>
                    </a:stretch>
                  </pic:blipFill>
                  <pic:spPr bwMode="auto">
                    <a:xfrm>
                      <a:off x="0" y="0"/>
                      <a:ext cx="6109970" cy="4846320"/>
                    </a:xfrm>
                    <a:prstGeom prst="rect">
                      <a:avLst/>
                    </a:prstGeom>
                    <a:noFill/>
                    <a:ln w="9525">
                      <a:noFill/>
                      <a:miter lim="800000"/>
                      <a:headEnd/>
                      <a:tailEnd/>
                    </a:ln>
                  </pic:spPr>
                </pic:pic>
              </a:graphicData>
            </a:graphic>
          </wp:inline>
        </w:drawing>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14: The Real Estate Investment Process</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21" name="Picture 21"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Mannadiar"/>
                    <pic:cNvPicPr>
                      <a:picLocks noChangeAspect="1" noChangeArrowheads="1"/>
                    </pic:cNvPicPr>
                  </pic:nvPicPr>
                  <pic:blipFill>
                    <a:blip r:embed="rId10"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68365" cy="922655"/>
            <wp:effectExtent l="19050" t="0" r="0" b="0"/>
            <wp:docPr id="22" name="Picture 22" descr="ste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ep1"/>
                    <pic:cNvPicPr>
                      <a:picLocks noChangeAspect="1" noChangeArrowheads="1"/>
                    </pic:cNvPicPr>
                  </pic:nvPicPr>
                  <pic:blipFill>
                    <a:blip r:embed="rId23" cstate="print"/>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Step 1: Identify Investor's Objectives, Goals and Constraints </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It is important to start the REI process by understanding that major participants (equity investor, mortgage lender, tenant and government) bring their own expectations and limitations to the REI. </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477135" cy="1645920"/>
            <wp:effectExtent l="19050" t="0" r="0" b="0"/>
            <wp:docPr id="23" name="Picture 23"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rticipants"/>
                    <pic:cNvPicPr>
                      <a:picLocks noChangeAspect="1" noChangeArrowheads="1"/>
                    </pic:cNvPicPr>
                  </pic:nvPicPr>
                  <pic:blipFill>
                    <a:blip r:embed="rId24" cstate="print"/>
                    <a:srcRect/>
                    <a:stretch>
                      <a:fillRect/>
                    </a:stretch>
                  </pic:blipFill>
                  <pic:spPr bwMode="auto">
                    <a:xfrm>
                      <a:off x="0" y="0"/>
                      <a:ext cx="2477135" cy="1645920"/>
                    </a:xfrm>
                    <a:prstGeom prst="rect">
                      <a:avLst/>
                    </a:prstGeom>
                    <a:noFill/>
                    <a:ln w="9525">
                      <a:noFill/>
                      <a:miter lim="800000"/>
                      <a:headEnd/>
                      <a:tailEnd/>
                    </a:ln>
                  </pic:spPr>
                </pic:pic>
              </a:graphicData>
            </a:graphic>
          </wp:inline>
        </w:drawing>
      </w:r>
    </w:p>
    <w:p w:rsidR="00E7457D" w:rsidRPr="006375F4" w:rsidRDefault="00E7457D" w:rsidP="00E7457D">
      <w:pPr>
        <w:numPr>
          <w:ilvl w:val="0"/>
          <w:numId w:val="1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equity investor</w:t>
      </w:r>
      <w:r w:rsidRPr="006375F4">
        <w:rPr>
          <w:rFonts w:ascii="Times New Roman" w:eastAsia="Times New Roman" w:hAnsi="Times New Roman" w:cs="Times New Roman"/>
          <w:sz w:val="24"/>
          <w:szCs w:val="24"/>
          <w:lang w:eastAsia="en-CA"/>
        </w:rPr>
        <w:t xml:space="preserve"> is interested in the cash flow that will generate the REI.</w:t>
      </w:r>
    </w:p>
    <w:p w:rsidR="00E7457D" w:rsidRPr="006375F4" w:rsidRDefault="00E7457D" w:rsidP="00E7457D">
      <w:pPr>
        <w:numPr>
          <w:ilvl w:val="0"/>
          <w:numId w:val="1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mortgage lender</w:t>
      </w:r>
      <w:r w:rsidRPr="006375F4">
        <w:rPr>
          <w:rFonts w:ascii="Times New Roman" w:eastAsia="Times New Roman" w:hAnsi="Times New Roman" w:cs="Times New Roman"/>
          <w:sz w:val="24"/>
          <w:szCs w:val="24"/>
          <w:lang w:eastAsia="en-CA"/>
        </w:rPr>
        <w:t xml:space="preserve">’s goal is to obtain a rate of return from the money lent to the equity investor. </w:t>
      </w:r>
    </w:p>
    <w:p w:rsidR="00E7457D" w:rsidRPr="006375F4" w:rsidRDefault="00E7457D" w:rsidP="00E7457D">
      <w:pPr>
        <w:numPr>
          <w:ilvl w:val="0"/>
          <w:numId w:val="14"/>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tenant</w:t>
      </w:r>
      <w:r w:rsidRPr="006375F4">
        <w:rPr>
          <w:rFonts w:ascii="Times New Roman" w:eastAsia="Times New Roman" w:hAnsi="Times New Roman" w:cs="Times New Roman"/>
          <w:sz w:val="24"/>
          <w:szCs w:val="24"/>
          <w:lang w:eastAsia="en-CA"/>
        </w:rPr>
        <w:t xml:space="preserve"> does not receive an immediate income, but will be concerned with the legal rights to use the property. </w:t>
      </w:r>
    </w:p>
    <w:p w:rsidR="00E7457D" w:rsidRPr="006375F4" w:rsidRDefault="00E7457D" w:rsidP="00E7457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government </w:t>
      </w:r>
      <w:r w:rsidRPr="006375F4">
        <w:rPr>
          <w:rFonts w:ascii="Times New Roman" w:eastAsia="Times New Roman" w:hAnsi="Times New Roman" w:cs="Times New Roman"/>
          <w:sz w:val="24"/>
          <w:szCs w:val="24"/>
          <w:lang w:eastAsia="en-CA"/>
        </w:rPr>
        <w:t xml:space="preserve">is responsible for regulating the relationships between the other major participants in the REI process, and it also places restrictions on real estate. </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15: The Real Estate Investment Process</w:t>
      </w: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968365" cy="922655"/>
            <wp:effectExtent l="19050" t="0" r="0" b="0"/>
            <wp:docPr id="24" name="Picture 24" descr="ste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ep2"/>
                    <pic:cNvPicPr>
                      <a:picLocks noChangeAspect="1" noChangeArrowheads="1"/>
                    </pic:cNvPicPr>
                  </pic:nvPicPr>
                  <pic:blipFill>
                    <a:blip r:embed="rId25" cstate="print"/>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Step 2: Analyze Investment Climate and Market Conditions </w:t>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second step in the REI process is learning about the market, legal, financing and tax environment. The result of this analysis will have a great impact on your decision making throughout the process. We will discuss these environments in detail in later lessons; here is a brief overview of what you will learn.</w:t>
      </w:r>
    </w:p>
    <w:p w:rsidR="00E7457D" w:rsidRPr="006375F4" w:rsidRDefault="00E7457D" w:rsidP="00E7457D">
      <w:pPr>
        <w:numPr>
          <w:ilvl w:val="0"/>
          <w:numId w:val="1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The market environment.</w:t>
      </w:r>
      <w:r w:rsidRPr="006375F4">
        <w:rPr>
          <w:rFonts w:ascii="Times New Roman" w:eastAsia="Times New Roman" w:hAnsi="Times New Roman" w:cs="Times New Roman"/>
          <w:sz w:val="24"/>
          <w:szCs w:val="24"/>
          <w:lang w:eastAsia="en-CA"/>
        </w:rPr>
        <w:t xml:space="preserve"> This analysis identifies supply and demand in the real estate market at local, provincial, and state levels and how they affect the REI.</w:t>
      </w:r>
    </w:p>
    <w:p w:rsidR="00E7457D" w:rsidRPr="006375F4" w:rsidRDefault="00E7457D" w:rsidP="00E7457D">
      <w:pPr>
        <w:numPr>
          <w:ilvl w:val="0"/>
          <w:numId w:val="15"/>
        </w:numPr>
        <w:spacing w:before="100" w:beforeAutospacing="1" w:after="100" w:afterAutospacing="1" w:line="240" w:lineRule="auto"/>
        <w:ind w:left="851"/>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903730" cy="1903730"/>
            <wp:effectExtent l="19050" t="0" r="1270" b="0"/>
            <wp:docPr id="25" name="Picture 25" descr="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gal"/>
                    <pic:cNvPicPr>
                      <a:picLocks noChangeAspect="1" noChangeArrowheads="1"/>
                    </pic:cNvPicPr>
                  </pic:nvPicPr>
                  <pic:blipFill>
                    <a:blip r:embed="rId26" cstate="print"/>
                    <a:srcRect/>
                    <a:stretch>
                      <a:fillRect/>
                    </a:stretch>
                  </pic:blipFill>
                  <pic:spPr bwMode="auto">
                    <a:xfrm>
                      <a:off x="0" y="0"/>
                      <a:ext cx="1903730" cy="1903730"/>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240" w:line="240" w:lineRule="auto"/>
        <w:ind w:left="720"/>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legal environment. </w:t>
      </w:r>
      <w:r w:rsidRPr="006375F4">
        <w:rPr>
          <w:rFonts w:ascii="Times New Roman" w:eastAsia="Times New Roman" w:hAnsi="Times New Roman" w:cs="Times New Roman"/>
          <w:sz w:val="24"/>
          <w:szCs w:val="24"/>
          <w:lang w:eastAsia="en-CA"/>
        </w:rPr>
        <w:t xml:space="preserve">A complex legal system regulates REI and the relationships between its participants. Analysing the legal opportunities and limitations that a REI may entail will play an important role in the acquisition decision and also in the rest of the REI process. </w:t>
      </w:r>
    </w:p>
    <w:p w:rsidR="00E7457D" w:rsidRPr="006375F4" w:rsidRDefault="00E7457D" w:rsidP="00E7457D">
      <w:pPr>
        <w:numPr>
          <w:ilvl w:val="0"/>
          <w:numId w:val="15"/>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financing environment. </w:t>
      </w:r>
      <w:r w:rsidRPr="006375F4">
        <w:rPr>
          <w:rFonts w:ascii="Times New Roman" w:eastAsia="Times New Roman" w:hAnsi="Times New Roman" w:cs="Times New Roman"/>
          <w:sz w:val="24"/>
          <w:szCs w:val="24"/>
          <w:lang w:eastAsia="en-CA"/>
        </w:rPr>
        <w:t xml:space="preserve">The analysis of the cost of debt or interest rate, and the cost of equity or rate of return, shows how feasible the REI is and how profitable it might be. </w:t>
      </w:r>
    </w:p>
    <w:p w:rsidR="00E7457D" w:rsidRPr="006375F4" w:rsidRDefault="00E7457D" w:rsidP="00E7457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The tax environment. </w:t>
      </w:r>
      <w:r w:rsidRPr="006375F4">
        <w:rPr>
          <w:rFonts w:ascii="Times New Roman" w:eastAsia="Times New Roman" w:hAnsi="Times New Roman" w:cs="Times New Roman"/>
          <w:sz w:val="24"/>
          <w:szCs w:val="24"/>
          <w:lang w:eastAsia="en-CA"/>
        </w:rPr>
        <w:t xml:space="preserve">Taxes decrease the REI’s income; therefore, knowing the taxation system and the impact that it will have on the expected income will help in making the right investment decision to save money or to increase gains. </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16: The Real Estate Investment Process</w:t>
      </w:r>
    </w:p>
    <w:p w:rsidR="00E7457D" w:rsidRPr="006375F4" w:rsidRDefault="00E7457D" w:rsidP="00E7457D">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968365" cy="922655"/>
            <wp:effectExtent l="19050" t="0" r="0" b="0"/>
            <wp:docPr id="26" name="Picture 26" descr="ste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ep3"/>
                    <pic:cNvPicPr>
                      <a:picLocks noChangeAspect="1" noChangeArrowheads="1"/>
                    </pic:cNvPicPr>
                  </pic:nvPicPr>
                  <pic:blipFill>
                    <a:blip r:embed="rId27" cstate="print"/>
                    <a:srcRect/>
                    <a:stretch>
                      <a:fillRect/>
                    </a:stretch>
                  </pic:blipFill>
                  <pic:spPr bwMode="auto">
                    <a:xfrm>
                      <a:off x="0" y="0"/>
                      <a:ext cx="5968365" cy="922655"/>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Step 3: Develop Financial Analysis</w:t>
      </w:r>
    </w:p>
    <w:p w:rsidR="00E7457D" w:rsidRPr="006375F4" w:rsidRDefault="00E7457D" w:rsidP="00E7457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668270" cy="1903730"/>
            <wp:effectExtent l="19050" t="0" r="0" b="0"/>
            <wp:docPr id="27" name="Picture 27" descr="Financi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nancial Analysis"/>
                    <pic:cNvPicPr>
                      <a:picLocks noChangeAspect="1" noChangeArrowheads="1"/>
                    </pic:cNvPicPr>
                  </pic:nvPicPr>
                  <pic:blipFill>
                    <a:blip r:embed="rId28" cstate="print"/>
                    <a:srcRect/>
                    <a:stretch>
                      <a:fillRect/>
                    </a:stretch>
                  </pic:blipFill>
                  <pic:spPr bwMode="auto">
                    <a:xfrm>
                      <a:off x="0" y="0"/>
                      <a:ext cx="2668270" cy="1903730"/>
                    </a:xfrm>
                    <a:prstGeom prst="rect">
                      <a:avLst/>
                    </a:prstGeom>
                    <a:noFill/>
                    <a:ln w="9525">
                      <a:noFill/>
                      <a:miter lim="800000"/>
                      <a:headEnd/>
                      <a:tailEnd/>
                    </a:ln>
                  </pic:spPr>
                </pic:pic>
              </a:graphicData>
            </a:graphic>
          </wp:inline>
        </w:drawing>
      </w:r>
    </w:p>
    <w:p w:rsidR="00E7457D" w:rsidRPr="006375F4" w:rsidRDefault="00E7457D" w:rsidP="00E7457D">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financial analysis deals with financial calculations that will allow you to anticipate the cash flow of the REI. At the end of the analysis you will be able to answer questions such as:</w:t>
      </w:r>
    </w:p>
    <w:p w:rsidR="00E7457D" w:rsidRPr="006375F4" w:rsidRDefault="00E7457D" w:rsidP="00E7457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How much is profit per year? </w:t>
      </w:r>
    </w:p>
    <w:p w:rsidR="00E7457D" w:rsidRPr="006375F4" w:rsidRDefault="00E7457D" w:rsidP="00E7457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How much is the mortgage payment? </w:t>
      </w:r>
    </w:p>
    <w:p w:rsidR="00E7457D" w:rsidRPr="006375F4" w:rsidRDefault="00E7457D" w:rsidP="00E7457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How much is the capital gain when I sell?</w:t>
      </w:r>
    </w:p>
    <w:p w:rsidR="00E7457D" w:rsidRPr="006375F4" w:rsidRDefault="00E7457D" w:rsidP="00E7457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How much will taxes diminish my profit? </w:t>
      </w:r>
    </w:p>
    <w:p w:rsidR="00E7457D" w:rsidRPr="006375F4" w:rsidRDefault="00E7457D" w:rsidP="00E7457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How much will taxes decrease my capital gains?</w:t>
      </w:r>
    </w:p>
    <w:p w:rsidR="00E7457D" w:rsidRPr="006375F4" w:rsidRDefault="00E7457D" w:rsidP="00E7457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What strategies should I use to reduce taxes on profits and capital gains?</w:t>
      </w:r>
    </w:p>
    <w:p w:rsidR="00E7457D" w:rsidRPr="006375F4" w:rsidRDefault="00E7457D" w:rsidP="00E7457D">
      <w:pPr>
        <w:spacing w:after="240" w:line="240" w:lineRule="auto"/>
        <w:rPr>
          <w:rFonts w:ascii="Times New Roman" w:eastAsia="Times New Roman" w:hAnsi="Times New Roman" w:cs="Times New Roman"/>
          <w:sz w:val="24"/>
          <w:szCs w:val="24"/>
          <w:lang w:eastAsia="en-CA"/>
        </w:rPr>
      </w:pPr>
    </w:p>
    <w:p w:rsidR="00E7457D" w:rsidRPr="006375F4" w:rsidRDefault="00E7457D" w:rsidP="00E7457D">
      <w:pPr>
        <w:spacing w:after="0" w:line="240" w:lineRule="auto"/>
        <w:jc w:val="center"/>
        <w:rPr>
          <w:rFonts w:ascii="Times New Roman" w:eastAsia="Times New Roman" w:hAnsi="Times New Roman" w:cs="Times New Roman"/>
          <w:sz w:val="24"/>
          <w:szCs w:val="24"/>
          <w:lang w:eastAsia="en-CA"/>
        </w:rPr>
      </w:pPr>
    </w:p>
    <w:p w:rsidR="00B4056C" w:rsidRDefault="00B4056C"/>
    <w:sectPr w:rsidR="00B4056C" w:rsidSect="00B4056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6671"/>
    <w:multiLevelType w:val="multilevel"/>
    <w:tmpl w:val="8F90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884D77"/>
    <w:multiLevelType w:val="multilevel"/>
    <w:tmpl w:val="192C2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C7175"/>
    <w:multiLevelType w:val="multilevel"/>
    <w:tmpl w:val="D30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33562"/>
    <w:multiLevelType w:val="multilevel"/>
    <w:tmpl w:val="41AE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F300A5"/>
    <w:multiLevelType w:val="multilevel"/>
    <w:tmpl w:val="EDA8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83381F"/>
    <w:multiLevelType w:val="multilevel"/>
    <w:tmpl w:val="604A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565B06"/>
    <w:multiLevelType w:val="multilevel"/>
    <w:tmpl w:val="6B9E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6A31FD"/>
    <w:multiLevelType w:val="multilevel"/>
    <w:tmpl w:val="E89C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992E6E"/>
    <w:multiLevelType w:val="multilevel"/>
    <w:tmpl w:val="CD1A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6253C6"/>
    <w:multiLevelType w:val="multilevel"/>
    <w:tmpl w:val="4F30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6B46DB"/>
    <w:multiLevelType w:val="multilevel"/>
    <w:tmpl w:val="261E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B17A3D"/>
    <w:multiLevelType w:val="multilevel"/>
    <w:tmpl w:val="A4D0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8B56DC"/>
    <w:multiLevelType w:val="multilevel"/>
    <w:tmpl w:val="D92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6F6DC4"/>
    <w:multiLevelType w:val="multilevel"/>
    <w:tmpl w:val="8C1A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F75A18"/>
    <w:multiLevelType w:val="multilevel"/>
    <w:tmpl w:val="2BE0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942C3D"/>
    <w:multiLevelType w:val="multilevel"/>
    <w:tmpl w:val="B1F4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645583"/>
    <w:multiLevelType w:val="multilevel"/>
    <w:tmpl w:val="7BC0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6"/>
  </w:num>
  <w:num w:numId="3">
    <w:abstractNumId w:val="6"/>
  </w:num>
  <w:num w:numId="4">
    <w:abstractNumId w:val="4"/>
  </w:num>
  <w:num w:numId="5">
    <w:abstractNumId w:val="0"/>
  </w:num>
  <w:num w:numId="6">
    <w:abstractNumId w:val="15"/>
  </w:num>
  <w:num w:numId="7">
    <w:abstractNumId w:val="2"/>
  </w:num>
  <w:num w:numId="8">
    <w:abstractNumId w:val="11"/>
  </w:num>
  <w:num w:numId="9">
    <w:abstractNumId w:val="3"/>
  </w:num>
  <w:num w:numId="10">
    <w:abstractNumId w:val="14"/>
  </w:num>
  <w:num w:numId="11">
    <w:abstractNumId w:val="8"/>
  </w:num>
  <w:num w:numId="12">
    <w:abstractNumId w:val="7"/>
  </w:num>
  <w:num w:numId="13">
    <w:abstractNumId w:val="9"/>
  </w:num>
  <w:num w:numId="14">
    <w:abstractNumId w:val="12"/>
  </w:num>
  <w:num w:numId="15">
    <w:abstractNumId w:val="10"/>
  </w:num>
  <w:num w:numId="16">
    <w:abstractNumId w:val="5"/>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E7457D"/>
    <w:rsid w:val="00B4056C"/>
    <w:rsid w:val="00E7457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5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45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5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cordia.com/courses/real_estate/_lib/091.aspx" TargetMode="Externa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gif"/><Relationship Id="rId7" Type="http://schemas.openxmlformats.org/officeDocument/2006/relationships/hyperlink" Target="http://www.econcordia.com/courses/real_estate/_lib/080.aspx" TargetMode="External"/><Relationship Id="rId12" Type="http://schemas.openxmlformats.org/officeDocument/2006/relationships/image" Target="media/image4.gi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concordia.com/courses/real_estate/_lib/021.aspx" TargetMode="Externa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hyperlink" Target="http://www.econcordia.com/courses/real_estate/_lib/010.aspx" TargetMode="Externa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gi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1576</Words>
  <Characters>8985</Characters>
  <Application>Microsoft Office Word</Application>
  <DocSecurity>0</DocSecurity>
  <Lines>74</Lines>
  <Paragraphs>21</Paragraphs>
  <ScaleCrop>false</ScaleCrop>
  <Company>Toshiba</Company>
  <LinksUpToDate>false</LinksUpToDate>
  <CharactersWithSpaces>10540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Jasbir</dc:creator>
  <cp:lastModifiedBy>Jasbir</cp:lastModifiedBy>
  <cp:revision>2</cp:revision>
  <dcterms:created xsi:type="dcterms:W3CDTF">2015-07-31T14:46:00Z</dcterms:created>
  <dcterms:modified xsi:type="dcterms:W3CDTF">2015-07-31T14:48:00Z</dcterms:modified>
</cp:coreProperties>
</file>