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96CC3" w:rsidRPr="006A652A" w:rsidRDefault="00B96CC3" w:rsidP="00B96CC3">
      <w:pPr>
        <w:pStyle w:val="ChapterNumber"/>
        <w:ind w:right="3563"/>
        <w:rPr>
          <w:sz w:val="32"/>
          <w:szCs w:val="32"/>
        </w:rPr>
      </w:pPr>
      <w:r>
        <w:t xml:space="preserve">Chapter 1 </w:t>
      </w:r>
    </w:p>
    <w:p w:rsidR="00B96CC3" w:rsidRDefault="00B96CC3" w:rsidP="00B96CC3">
      <w:pPr>
        <w:pStyle w:val="ChapterTitle"/>
        <w:ind w:right="3563"/>
      </w:pPr>
      <w:r>
        <w:t>Managerial Accounting and the Business Environment</w:t>
      </w:r>
    </w:p>
    <w:p w:rsidR="00B96CC3" w:rsidRDefault="00B96CC3" w:rsidP="00B96CC3">
      <w:pPr>
        <w:pStyle w:val="SolutionstoQuestionsheader"/>
        <w:jc w:val="left"/>
      </w:pPr>
      <w:r>
        <w:t>Solutions to Questions</w:t>
      </w:r>
    </w:p>
    <w:p w:rsidR="00B96CC3" w:rsidRDefault="00B96CC3" w:rsidP="00B96CC3">
      <w:pPr>
        <w:pStyle w:val="Questions"/>
        <w:sectPr w:rsidR="00B96CC3" w:rsidSect="00B96CC3">
          <w:headerReference w:type="default" r:id="rId6"/>
          <w:footerReference w:type="even" r:id="rId7"/>
          <w:footerReference w:type="default" r:id="rId8"/>
          <w:pgSz w:w="12240" w:h="15840" w:code="1"/>
          <w:pgMar w:top="1440" w:right="1440" w:bottom="1440" w:left="1440" w:header="720" w:footer="720" w:gutter="0"/>
          <w:cols w:space="720"/>
          <w:docGrid w:linePitch="360"/>
        </w:sectPr>
      </w:pPr>
    </w:p>
    <w:p w:rsidR="00B96CC3" w:rsidRDefault="00B96CC3" w:rsidP="00B96CC3">
      <w:pPr>
        <w:pStyle w:val="Questions"/>
      </w:pPr>
      <w:r>
        <w:rPr>
          <w:b/>
          <w:bCs/>
        </w:rPr>
        <w:lastRenderedPageBreak/>
        <w:t>1-1</w:t>
      </w:r>
      <w:r>
        <w:tab/>
        <w:t>In contr</w:t>
      </w:r>
      <w:r w:rsidR="00367453">
        <w:t>ast to financial accounting, ma</w:t>
      </w:r>
      <w:r>
        <w:t>nagerial accounting: (1) focuses on the needs of managers rather than outsiders; (2) emphasizes decisions affecting the future rather than the financial consequences of past actions; (3) emphasizes relevance rather than objectivity and verifiability; (4) emphasizes timeliness rather than precision; (5) emphasizes the segments of an organization rather than summary data concerning the ent</w:t>
      </w:r>
      <w:r w:rsidR="00367453">
        <w:t>ire organization; (6) is not go</w:t>
      </w:r>
      <w:r>
        <w:t>verned by GAAP; and (7) is not mandatory.</w:t>
      </w:r>
    </w:p>
    <w:p w:rsidR="00B96CC3" w:rsidRDefault="00B96CC3" w:rsidP="00B96CC3">
      <w:pPr>
        <w:pStyle w:val="Questions"/>
      </w:pPr>
      <w:r>
        <w:rPr>
          <w:b/>
        </w:rPr>
        <w:t>1-2</w:t>
      </w:r>
      <w:r>
        <w:tab/>
        <w:t xml:space="preserve">A business plan is typically prepared by new businesses and contains information about the company’s basic product or service and about the plans for getting it to market (i.e., the customers). Details will included in the plan will include the production method, the marketing plan and the financial resources needed. Key users are the potential providers of financial resources for the business – lenders and investors. </w:t>
      </w:r>
    </w:p>
    <w:p w:rsidR="00B20201" w:rsidRDefault="00FE7C11"/>
    <w:p w:rsidR="00B96CC3" w:rsidRDefault="00B96CC3" w:rsidP="00B96CC3">
      <w:pPr>
        <w:pStyle w:val="ProblemNumber"/>
        <w:rPr>
          <w:rFonts w:cs="Tahoma"/>
        </w:rPr>
      </w:pPr>
      <w:r>
        <w:rPr>
          <w:rFonts w:cs="Tahoma"/>
          <w:b/>
          <w:bCs/>
        </w:rPr>
        <w:t>Exercise 1-1</w:t>
      </w:r>
      <w:r>
        <w:rPr>
          <w:rFonts w:cs="Tahoma"/>
        </w:rPr>
        <w:t xml:space="preserve"> </w:t>
      </w:r>
    </w:p>
    <w:p w:rsidR="00B96CC3" w:rsidRDefault="00B96CC3" w:rsidP="00B96CC3">
      <w:pPr>
        <w:pStyle w:val="NumberedList"/>
        <w:rPr>
          <w:rFonts w:cs="Tahoma"/>
        </w:rPr>
      </w:pPr>
      <w:r>
        <w:rPr>
          <w:rFonts w:cs="Tahoma"/>
        </w:rPr>
        <w:tab/>
        <w:t>1.</w:t>
      </w:r>
      <w:r>
        <w:rPr>
          <w:rFonts w:cs="Tahoma"/>
        </w:rPr>
        <w:tab/>
        <w:t>Managerial accounting, financial accounting</w:t>
      </w:r>
    </w:p>
    <w:p w:rsidR="00B96CC3" w:rsidRDefault="00B96CC3" w:rsidP="00B96CC3">
      <w:pPr>
        <w:pStyle w:val="NumberedList"/>
        <w:rPr>
          <w:rFonts w:cs="Tahoma"/>
        </w:rPr>
      </w:pPr>
      <w:r>
        <w:rPr>
          <w:rFonts w:cs="Tahoma"/>
        </w:rPr>
        <w:tab/>
        <w:t>2.</w:t>
      </w:r>
      <w:r>
        <w:rPr>
          <w:rFonts w:cs="Tahoma"/>
        </w:rPr>
        <w:tab/>
        <w:t>Planning</w:t>
      </w:r>
    </w:p>
    <w:p w:rsidR="00B96CC3" w:rsidRDefault="00B96CC3" w:rsidP="00B96CC3">
      <w:pPr>
        <w:pStyle w:val="NumberedList"/>
        <w:rPr>
          <w:rFonts w:cs="Tahoma"/>
        </w:rPr>
      </w:pPr>
      <w:r>
        <w:rPr>
          <w:rFonts w:cs="Tahoma"/>
        </w:rPr>
        <w:tab/>
        <w:t>3.</w:t>
      </w:r>
      <w:r>
        <w:rPr>
          <w:rFonts w:cs="Tahoma"/>
        </w:rPr>
        <w:tab/>
        <w:t>directing and motivating</w:t>
      </w:r>
    </w:p>
    <w:p w:rsidR="00B96CC3" w:rsidRDefault="00B96CC3" w:rsidP="00B96CC3">
      <w:pPr>
        <w:pStyle w:val="NumberedList"/>
        <w:rPr>
          <w:rFonts w:cs="Tahoma"/>
        </w:rPr>
      </w:pPr>
      <w:r>
        <w:rPr>
          <w:rFonts w:cs="Tahoma"/>
        </w:rPr>
        <w:tab/>
        <w:t>4.</w:t>
      </w:r>
      <w:r>
        <w:rPr>
          <w:rFonts w:cs="Tahoma"/>
        </w:rPr>
        <w:tab/>
        <w:t>feedback</w:t>
      </w:r>
    </w:p>
    <w:p w:rsidR="00B96CC3" w:rsidRDefault="00B96CC3" w:rsidP="00B96CC3">
      <w:pPr>
        <w:pStyle w:val="NumberedList"/>
        <w:rPr>
          <w:rFonts w:cs="Tahoma"/>
        </w:rPr>
      </w:pPr>
      <w:r>
        <w:rPr>
          <w:rFonts w:cs="Tahoma"/>
        </w:rPr>
        <w:tab/>
        <w:t>5.</w:t>
      </w:r>
      <w:r>
        <w:rPr>
          <w:rFonts w:cs="Tahoma"/>
        </w:rPr>
        <w:tab/>
        <w:t>decentralization</w:t>
      </w:r>
    </w:p>
    <w:p w:rsidR="00B96CC3" w:rsidRDefault="00B96CC3" w:rsidP="00B96CC3">
      <w:pPr>
        <w:pStyle w:val="NumberedList"/>
        <w:rPr>
          <w:rFonts w:cs="Tahoma"/>
        </w:rPr>
      </w:pPr>
      <w:r>
        <w:rPr>
          <w:rFonts w:cs="Tahoma"/>
        </w:rPr>
        <w:tab/>
        <w:t>6.</w:t>
      </w:r>
      <w:r>
        <w:rPr>
          <w:rFonts w:cs="Tahoma"/>
        </w:rPr>
        <w:tab/>
        <w:t>line</w:t>
      </w:r>
    </w:p>
    <w:p w:rsidR="00B96CC3" w:rsidRDefault="00B96CC3" w:rsidP="00B96CC3">
      <w:pPr>
        <w:pStyle w:val="NumberedList"/>
        <w:rPr>
          <w:rFonts w:cs="Tahoma"/>
        </w:rPr>
      </w:pPr>
      <w:r>
        <w:rPr>
          <w:rFonts w:cs="Tahoma"/>
        </w:rPr>
        <w:tab/>
        <w:t>7.</w:t>
      </w:r>
      <w:r>
        <w:rPr>
          <w:rFonts w:cs="Tahoma"/>
        </w:rPr>
        <w:tab/>
        <w:t>staff</w:t>
      </w:r>
    </w:p>
    <w:p w:rsidR="00B96CC3" w:rsidRDefault="00B96CC3" w:rsidP="00B96CC3">
      <w:pPr>
        <w:pStyle w:val="NumberedList"/>
        <w:rPr>
          <w:rFonts w:cs="Tahoma"/>
        </w:rPr>
      </w:pPr>
      <w:r>
        <w:rPr>
          <w:rFonts w:cs="Tahoma"/>
        </w:rPr>
        <w:tab/>
        <w:t>8.</w:t>
      </w:r>
      <w:r>
        <w:rPr>
          <w:rFonts w:cs="Tahoma"/>
        </w:rPr>
        <w:tab/>
        <w:t>controller</w:t>
      </w:r>
    </w:p>
    <w:p w:rsidR="00B96CC3" w:rsidRDefault="00B96CC3" w:rsidP="00B96CC3">
      <w:pPr>
        <w:pStyle w:val="NumberedList"/>
        <w:rPr>
          <w:rFonts w:cs="Tahoma"/>
        </w:rPr>
      </w:pPr>
      <w:r>
        <w:rPr>
          <w:rFonts w:cs="Tahoma"/>
        </w:rPr>
        <w:tab/>
        <w:t>9.</w:t>
      </w:r>
      <w:r>
        <w:rPr>
          <w:rFonts w:cs="Tahoma"/>
        </w:rPr>
        <w:tab/>
        <w:t>budgets</w:t>
      </w:r>
    </w:p>
    <w:p w:rsidR="00B96CC3" w:rsidRDefault="00B96CC3" w:rsidP="00B96CC3">
      <w:pPr>
        <w:pStyle w:val="NumberedList"/>
        <w:rPr>
          <w:rFonts w:cs="Tahoma"/>
        </w:rPr>
      </w:pPr>
      <w:r>
        <w:rPr>
          <w:rFonts w:cs="Tahoma"/>
        </w:rPr>
        <w:tab/>
        <w:t>10.</w:t>
      </w:r>
      <w:r>
        <w:rPr>
          <w:rFonts w:cs="Tahoma"/>
        </w:rPr>
        <w:tab/>
        <w:t>performance report</w:t>
      </w:r>
    </w:p>
    <w:p w:rsidR="00B96CC3" w:rsidRDefault="00B96CC3" w:rsidP="00B96CC3">
      <w:pPr>
        <w:pStyle w:val="NumberedList"/>
        <w:rPr>
          <w:rFonts w:cs="Tahoma"/>
        </w:rPr>
      </w:pPr>
      <w:r>
        <w:rPr>
          <w:rFonts w:cs="Tahoma"/>
        </w:rPr>
        <w:tab/>
        <w:t>11.</w:t>
      </w:r>
      <w:r>
        <w:rPr>
          <w:rFonts w:cs="Tahoma"/>
        </w:rPr>
        <w:tab/>
        <w:t>Chief Financial Officer</w:t>
      </w:r>
    </w:p>
    <w:p w:rsidR="00B96CC3" w:rsidRDefault="00B96CC3" w:rsidP="00B96CC3">
      <w:pPr>
        <w:pStyle w:val="NumberedList"/>
        <w:rPr>
          <w:rFonts w:cs="Tahoma"/>
        </w:rPr>
      </w:pPr>
      <w:r>
        <w:rPr>
          <w:rFonts w:cs="Tahoma"/>
        </w:rPr>
        <w:tab/>
        <w:t>12.</w:t>
      </w:r>
      <w:r>
        <w:rPr>
          <w:rFonts w:cs="Tahoma"/>
        </w:rPr>
        <w:tab/>
        <w:t>precision; nonmonetary data</w:t>
      </w:r>
    </w:p>
    <w:p w:rsidR="00B96CC3" w:rsidRDefault="00B96CC3" w:rsidP="00B96CC3">
      <w:pPr>
        <w:pStyle w:val="ProblemNumber"/>
      </w:pPr>
      <w:r>
        <w:br w:type="page"/>
      </w:r>
      <w:r>
        <w:rPr>
          <w:b/>
        </w:rPr>
        <w:lastRenderedPageBreak/>
        <w:t>Exercise 1-2</w:t>
      </w:r>
      <w:r>
        <w:t xml:space="preserve"> </w:t>
      </w:r>
      <w:bookmarkStart w:id="0" w:name="_GoBack"/>
      <w:bookmarkEnd w:id="0"/>
    </w:p>
    <w:p w:rsidR="00B96CC3" w:rsidRDefault="00B96CC3" w:rsidP="00B96CC3">
      <w:pPr>
        <w:pStyle w:val="NumberedPart"/>
        <w:tabs>
          <w:tab w:val="clear" w:pos="120"/>
          <w:tab w:val="clear" w:pos="360"/>
          <w:tab w:val="clear" w:pos="696"/>
          <w:tab w:val="clear" w:pos="936"/>
          <w:tab w:val="decimal" w:pos="288"/>
          <w:tab w:val="left" w:pos="561"/>
        </w:tabs>
      </w:pPr>
      <w:r>
        <w:tab/>
        <w:t>1.</w:t>
      </w:r>
      <w:r>
        <w:tab/>
        <w:t>work in process</w:t>
      </w:r>
    </w:p>
    <w:p w:rsidR="00B96CC3" w:rsidRDefault="00B96CC3" w:rsidP="00B96CC3">
      <w:pPr>
        <w:pStyle w:val="NumberedPart"/>
        <w:tabs>
          <w:tab w:val="clear" w:pos="120"/>
          <w:tab w:val="clear" w:pos="360"/>
          <w:tab w:val="clear" w:pos="696"/>
          <w:tab w:val="clear" w:pos="936"/>
          <w:tab w:val="decimal" w:pos="288"/>
          <w:tab w:val="left" w:pos="561"/>
        </w:tabs>
      </w:pPr>
      <w:r>
        <w:tab/>
        <w:t>2.</w:t>
      </w:r>
      <w:r>
        <w:tab/>
        <w:t>Six Sigma</w:t>
      </w:r>
    </w:p>
    <w:p w:rsidR="00B96CC3" w:rsidRDefault="00B96CC3" w:rsidP="00B96CC3">
      <w:pPr>
        <w:pStyle w:val="NumberedPart"/>
        <w:tabs>
          <w:tab w:val="clear" w:pos="120"/>
          <w:tab w:val="clear" w:pos="360"/>
          <w:tab w:val="clear" w:pos="696"/>
          <w:tab w:val="clear" w:pos="936"/>
          <w:tab w:val="decimal" w:pos="288"/>
          <w:tab w:val="left" w:pos="561"/>
        </w:tabs>
      </w:pPr>
      <w:r>
        <w:tab/>
        <w:t>3.</w:t>
      </w:r>
      <w:r>
        <w:tab/>
        <w:t>business process</w:t>
      </w:r>
    </w:p>
    <w:p w:rsidR="00B96CC3" w:rsidRDefault="00B96CC3" w:rsidP="00B96CC3">
      <w:pPr>
        <w:pStyle w:val="NumberedPart"/>
        <w:tabs>
          <w:tab w:val="clear" w:pos="120"/>
          <w:tab w:val="clear" w:pos="360"/>
          <w:tab w:val="clear" w:pos="696"/>
          <w:tab w:val="clear" w:pos="936"/>
          <w:tab w:val="decimal" w:pos="288"/>
          <w:tab w:val="left" w:pos="561"/>
        </w:tabs>
      </w:pPr>
      <w:r>
        <w:tab/>
        <w:t>4.</w:t>
      </w:r>
      <w:r>
        <w:tab/>
        <w:t>corporate governance</w:t>
      </w:r>
    </w:p>
    <w:p w:rsidR="00B96CC3" w:rsidRDefault="00B96CC3" w:rsidP="00B96CC3">
      <w:pPr>
        <w:pStyle w:val="NumberedPart"/>
        <w:tabs>
          <w:tab w:val="clear" w:pos="120"/>
          <w:tab w:val="clear" w:pos="360"/>
          <w:tab w:val="clear" w:pos="696"/>
          <w:tab w:val="clear" w:pos="936"/>
          <w:tab w:val="decimal" w:pos="288"/>
          <w:tab w:val="left" w:pos="561"/>
        </w:tabs>
      </w:pPr>
      <w:r>
        <w:tab/>
        <w:t>5.</w:t>
      </w:r>
      <w:r>
        <w:tab/>
        <w:t>enterprise risk management</w:t>
      </w:r>
    </w:p>
    <w:p w:rsidR="00B96CC3" w:rsidRDefault="00B96CC3" w:rsidP="00B96CC3">
      <w:pPr>
        <w:pStyle w:val="NumberedPart"/>
        <w:tabs>
          <w:tab w:val="clear" w:pos="120"/>
          <w:tab w:val="clear" w:pos="360"/>
          <w:tab w:val="clear" w:pos="696"/>
          <w:tab w:val="clear" w:pos="936"/>
          <w:tab w:val="decimal" w:pos="288"/>
          <w:tab w:val="left" w:pos="561"/>
        </w:tabs>
      </w:pPr>
      <w:r>
        <w:tab/>
        <w:t>6.</w:t>
      </w:r>
      <w:r>
        <w:tab/>
        <w:t>just-in-time</w:t>
      </w:r>
    </w:p>
    <w:p w:rsidR="00B96CC3" w:rsidRDefault="00B96CC3" w:rsidP="00B96CC3">
      <w:pPr>
        <w:pStyle w:val="NumberedPart"/>
        <w:tabs>
          <w:tab w:val="clear" w:pos="120"/>
          <w:tab w:val="clear" w:pos="360"/>
          <w:tab w:val="clear" w:pos="696"/>
          <w:tab w:val="clear" w:pos="936"/>
          <w:tab w:val="decimal" w:pos="288"/>
          <w:tab w:val="left" w:pos="561"/>
        </w:tabs>
      </w:pPr>
      <w:r>
        <w:tab/>
        <w:t>7.</w:t>
      </w:r>
      <w:r>
        <w:tab/>
        <w:t>business risks</w:t>
      </w:r>
    </w:p>
    <w:p w:rsidR="00B96CC3" w:rsidRDefault="00B96CC3" w:rsidP="00B96CC3">
      <w:pPr>
        <w:pStyle w:val="NumberedPart"/>
        <w:tabs>
          <w:tab w:val="clear" w:pos="120"/>
          <w:tab w:val="clear" w:pos="360"/>
          <w:tab w:val="clear" w:pos="696"/>
          <w:tab w:val="clear" w:pos="936"/>
          <w:tab w:val="decimal" w:pos="288"/>
          <w:tab w:val="left" w:pos="561"/>
        </w:tabs>
      </w:pPr>
      <w:r>
        <w:t xml:space="preserve">  8. Non-value added activity</w:t>
      </w:r>
    </w:p>
    <w:p w:rsidR="00B96CC3" w:rsidRDefault="00B96CC3" w:rsidP="00B96CC3">
      <w:pPr>
        <w:pStyle w:val="NumberedPart"/>
        <w:tabs>
          <w:tab w:val="clear" w:pos="120"/>
          <w:tab w:val="clear" w:pos="360"/>
          <w:tab w:val="clear" w:pos="696"/>
          <w:tab w:val="clear" w:pos="936"/>
          <w:tab w:val="decimal" w:pos="288"/>
          <w:tab w:val="left" w:pos="561"/>
        </w:tabs>
      </w:pPr>
      <w:r>
        <w:tab/>
        <w:t>9.</w:t>
      </w:r>
      <w:r>
        <w:tab/>
        <w:t>value chain</w:t>
      </w:r>
    </w:p>
    <w:p w:rsidR="00B96CC3" w:rsidRDefault="00B96CC3" w:rsidP="00B96CC3">
      <w:pPr>
        <w:pStyle w:val="NumberedPart"/>
        <w:tabs>
          <w:tab w:val="clear" w:pos="120"/>
          <w:tab w:val="clear" w:pos="360"/>
          <w:tab w:val="clear" w:pos="696"/>
          <w:tab w:val="clear" w:pos="936"/>
          <w:tab w:val="decimal" w:pos="288"/>
          <w:tab w:val="left" w:pos="561"/>
        </w:tabs>
      </w:pPr>
      <w:r>
        <w:tab/>
        <w:t>10.</w:t>
      </w:r>
      <w:r>
        <w:tab/>
        <w:t>enterprise system</w:t>
      </w:r>
    </w:p>
    <w:p w:rsidR="00B96CC3" w:rsidRDefault="00B96CC3" w:rsidP="00B96CC3">
      <w:pPr>
        <w:pStyle w:val="NumberedPart"/>
        <w:tabs>
          <w:tab w:val="clear" w:pos="120"/>
          <w:tab w:val="clear" w:pos="360"/>
          <w:tab w:val="clear" w:pos="696"/>
          <w:tab w:val="clear" w:pos="936"/>
          <w:tab w:val="decimal" w:pos="288"/>
          <w:tab w:val="left" w:pos="561"/>
        </w:tabs>
      </w:pPr>
      <w:r>
        <w:tab/>
        <w:t>11.</w:t>
      </w:r>
      <w:r>
        <w:tab/>
        <w:t>code of professional ethics</w:t>
      </w:r>
    </w:p>
    <w:p w:rsidR="00B96CC3" w:rsidRDefault="00B96CC3" w:rsidP="00B96CC3">
      <w:pPr>
        <w:pStyle w:val="NumberedPart"/>
        <w:tabs>
          <w:tab w:val="clear" w:pos="120"/>
          <w:tab w:val="clear" w:pos="360"/>
          <w:tab w:val="clear" w:pos="696"/>
          <w:tab w:val="clear" w:pos="936"/>
          <w:tab w:val="decimal" w:pos="288"/>
          <w:tab w:val="left" w:pos="561"/>
        </w:tabs>
      </w:pPr>
      <w:r>
        <w:tab/>
        <w:t>12.</w:t>
      </w:r>
      <w:r>
        <w:tab/>
        <w:t>lean thinking model</w:t>
      </w:r>
    </w:p>
    <w:p w:rsidR="00B96CC3" w:rsidRDefault="00B96CC3" w:rsidP="00B96CC3">
      <w:pPr>
        <w:pStyle w:val="NumberedPart"/>
        <w:tabs>
          <w:tab w:val="clear" w:pos="120"/>
          <w:tab w:val="clear" w:pos="360"/>
          <w:tab w:val="clear" w:pos="696"/>
          <w:tab w:val="clear" w:pos="936"/>
          <w:tab w:val="decimal" w:pos="288"/>
          <w:tab w:val="left" w:pos="561"/>
        </w:tabs>
      </w:pPr>
      <w:r>
        <w:tab/>
        <w:t>13.</w:t>
      </w:r>
      <w:r>
        <w:tab/>
        <w:t>customer value proposition</w:t>
      </w:r>
    </w:p>
    <w:p w:rsidR="00B96CC3" w:rsidRDefault="00B96CC3" w:rsidP="00B96CC3">
      <w:pPr>
        <w:pStyle w:val="NumberedPart"/>
        <w:tabs>
          <w:tab w:val="clear" w:pos="120"/>
          <w:tab w:val="clear" w:pos="360"/>
          <w:tab w:val="clear" w:pos="696"/>
          <w:tab w:val="clear" w:pos="936"/>
          <w:tab w:val="decimal" w:pos="288"/>
          <w:tab w:val="left" w:pos="561"/>
        </w:tabs>
      </w:pPr>
      <w:r>
        <w:tab/>
        <w:t>14.</w:t>
      </w:r>
      <w:r>
        <w:tab/>
        <w:t>Sarbanes Oxley Act</w:t>
      </w:r>
    </w:p>
    <w:p w:rsidR="00B96CC3" w:rsidRDefault="00B96CC3" w:rsidP="00B96CC3">
      <w:pPr>
        <w:pStyle w:val="NumberedPart"/>
        <w:tabs>
          <w:tab w:val="clear" w:pos="120"/>
          <w:tab w:val="clear" w:pos="360"/>
          <w:tab w:val="clear" w:pos="696"/>
          <w:tab w:val="clear" w:pos="936"/>
          <w:tab w:val="decimal" w:pos="288"/>
          <w:tab w:val="left" w:pos="561"/>
        </w:tabs>
      </w:pPr>
      <w:r>
        <w:t>15.  corporate social responsibility</w:t>
      </w:r>
    </w:p>
    <w:p w:rsidR="00B96CC3" w:rsidRDefault="00B96CC3"/>
    <w:sectPr w:rsidR="00B96CC3" w:rsidSect="00D44802">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E7C11" w:rsidRDefault="00FE7C11">
      <w:r>
        <w:separator/>
      </w:r>
    </w:p>
  </w:endnote>
  <w:endnote w:type="continuationSeparator" w:id="0">
    <w:p w:rsidR="00FE7C11" w:rsidRDefault="00FE7C11">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4597" w:rsidRDefault="00B96CC3">
    <w:pPr>
      <w:pStyle w:val="rhL"/>
      <w:widowControl/>
      <w:tabs>
        <w:tab w:val="right" w:pos="9000"/>
      </w:tabs>
    </w:pPr>
    <w:r>
      <w:t>©</w:t>
    </w:r>
    <w:r>
      <w:rPr>
        <w:rFonts w:cs="Tahoma"/>
      </w:rPr>
      <w:t xml:space="preserve"> The McGraw-Hill Companies, Inc., 2008</w:t>
    </w:r>
  </w:p>
  <w:p w:rsidR="00244597" w:rsidRDefault="00C525A5">
    <w:pPr>
      <w:pStyle w:val="rhL"/>
      <w:widowControl/>
      <w:spacing w:line="360" w:lineRule="exact"/>
    </w:pPr>
    <w:r>
      <w:rPr>
        <w:noProof/>
      </w:rPr>
      <w:pict>
        <v:line id="_x0000_s2050" style="position:absolute;left:0;text-align:left;z-index:251661312" from="0,3pt" to="469.05pt,3.05pt" o:allowincell="f" strokeweight="1pt">
          <v:stroke startarrowwidth="narrow" startarrowlength="short" endarrowwidth="narrow" endarrowlength="short"/>
          <w10:wrap anchorx="page"/>
        </v:line>
      </w:pict>
    </w:r>
    <w:r>
      <w:fldChar w:fldCharType="begin"/>
    </w:r>
    <w:r w:rsidR="00B96CC3">
      <w:instrText xml:space="preserve"> PAGE </w:instrText>
    </w:r>
    <w:r>
      <w:fldChar w:fldCharType="separate"/>
    </w:r>
    <w:r w:rsidR="00B96CC3">
      <w:rPr>
        <w:noProof/>
      </w:rPr>
      <w:t>2</w:t>
    </w:r>
    <w:r>
      <w:fldChar w:fldCharType="end"/>
    </w:r>
    <w:r w:rsidR="00B96CC3">
      <w:tab/>
      <w:t>Managerial Accounting, 12th Edition</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4597" w:rsidRDefault="00B96CC3">
    <w:pPr>
      <w:pStyle w:val="rhL"/>
      <w:jc w:val="right"/>
      <w:rPr>
        <w:sz w:val="20"/>
      </w:rPr>
    </w:pPr>
    <w:r>
      <w:rPr>
        <w:sz w:val="20"/>
      </w:rPr>
      <w:t>© McGraw-Hill Ryerson Ltd. 2012. All rights reserved.</w:t>
    </w:r>
  </w:p>
  <w:p w:rsidR="00244597" w:rsidRDefault="00C525A5">
    <w:pPr>
      <w:pStyle w:val="rhL"/>
      <w:widowControl/>
      <w:spacing w:line="360" w:lineRule="exact"/>
      <w:ind w:right="-80"/>
    </w:pPr>
    <w:r>
      <w:rPr>
        <w:noProof/>
      </w:rPr>
      <w:pict>
        <v:line id="_x0000_s2049" style="position:absolute;left:0;text-align:left;z-index:251660288" from="0,3pt" to="469.05pt,3.05pt" o:allowincell="f" strokeweight="1pt">
          <v:stroke startarrowwidth="narrow" startarrowlength="short" endarrowwidth="narrow" endarrowlength="short"/>
        </v:line>
      </w:pict>
    </w:r>
    <w:r w:rsidR="00B96CC3">
      <w:rPr>
        <w:sz w:val="20"/>
      </w:rPr>
      <w:t>Solutions Manual, Chapter 1</w:t>
    </w:r>
    <w:r w:rsidR="00B96CC3">
      <w:tab/>
    </w:r>
    <w:r>
      <w:rPr>
        <w:rStyle w:val="PageNumber"/>
        <w:sz w:val="20"/>
      </w:rPr>
      <w:fldChar w:fldCharType="begin"/>
    </w:r>
    <w:r w:rsidR="00B96CC3">
      <w:rPr>
        <w:rStyle w:val="PageNumber"/>
        <w:sz w:val="20"/>
      </w:rPr>
      <w:instrText xml:space="preserve"> PAGE </w:instrText>
    </w:r>
    <w:r>
      <w:rPr>
        <w:rStyle w:val="PageNumber"/>
        <w:sz w:val="20"/>
      </w:rPr>
      <w:fldChar w:fldCharType="separate"/>
    </w:r>
    <w:r w:rsidR="00F35EE6">
      <w:rPr>
        <w:rStyle w:val="PageNumber"/>
        <w:noProof/>
        <w:sz w:val="20"/>
      </w:rPr>
      <w:t>2</w:t>
    </w:r>
    <w:r>
      <w:rPr>
        <w:rStyle w:val="PageNumber"/>
        <w:sz w:val="20"/>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E7C11" w:rsidRDefault="00FE7C11">
      <w:r>
        <w:separator/>
      </w:r>
    </w:p>
  </w:footnote>
  <w:footnote w:type="continuationSeparator" w:id="0">
    <w:p w:rsidR="00FE7C11" w:rsidRDefault="00FE7C1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4597" w:rsidRDefault="00FE7C11">
    <w:pPr>
      <w:ind w:right="360"/>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hdrShapeDefaults>
    <o:shapedefaults v:ext="edit" spidmax="4098"/>
    <o:shapelayout v:ext="edit">
      <o:idmap v:ext="edit" data="2"/>
    </o:shapelayout>
  </w:hdrShapeDefaults>
  <w:footnotePr>
    <w:footnote w:id="-1"/>
    <w:footnote w:id="0"/>
  </w:footnotePr>
  <w:endnotePr>
    <w:endnote w:id="-1"/>
    <w:endnote w:id="0"/>
  </w:endnotePr>
  <w:compat/>
  <w:rsids>
    <w:rsidRoot w:val="00B96CC3"/>
    <w:rsid w:val="000C796E"/>
    <w:rsid w:val="00122C4A"/>
    <w:rsid w:val="002D4FA6"/>
    <w:rsid w:val="00350A13"/>
    <w:rsid w:val="00367453"/>
    <w:rsid w:val="003A604E"/>
    <w:rsid w:val="00946C08"/>
    <w:rsid w:val="00B96CC3"/>
    <w:rsid w:val="00C525A5"/>
    <w:rsid w:val="00D44802"/>
    <w:rsid w:val="00F35EE6"/>
    <w:rsid w:val="00FE7C11"/>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ind w:left="714" w:hanging="357"/>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6CC3"/>
    <w:pPr>
      <w:ind w:left="0" w:firstLine="0"/>
    </w:pPr>
    <w:rPr>
      <w:rFonts w:ascii="Tahoma" w:eastAsia="Times New Roman" w:hAnsi="Tahoma" w:cs="Times New Roman"/>
      <w:sz w:val="28"/>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pterNumber">
    <w:name w:val="Chapter Number"/>
    <w:rsid w:val="00B96CC3"/>
    <w:pPr>
      <w:widowControl w:val="0"/>
      <w:spacing w:line="580" w:lineRule="atLeast"/>
      <w:ind w:left="0" w:firstLine="0"/>
    </w:pPr>
    <w:rPr>
      <w:rFonts w:ascii="Tahoma" w:eastAsia="Times New Roman" w:hAnsi="Tahoma" w:cs="Times New Roman"/>
      <w:b/>
      <w:color w:val="000000"/>
      <w:sz w:val="48"/>
      <w:szCs w:val="20"/>
      <w:lang w:val="en-US"/>
    </w:rPr>
  </w:style>
  <w:style w:type="paragraph" w:customStyle="1" w:styleId="ChapterTitle">
    <w:name w:val="Chapter Title"/>
    <w:rsid w:val="00B96CC3"/>
    <w:pPr>
      <w:widowControl w:val="0"/>
      <w:spacing w:after="1039" w:line="499" w:lineRule="atLeast"/>
      <w:ind w:left="0" w:firstLine="0"/>
    </w:pPr>
    <w:rPr>
      <w:rFonts w:ascii="Tahoma" w:eastAsia="Times New Roman" w:hAnsi="Tahoma" w:cs="Times New Roman"/>
      <w:b/>
      <w:color w:val="000000"/>
      <w:sz w:val="41"/>
      <w:szCs w:val="20"/>
      <w:lang w:val="en-US"/>
    </w:rPr>
  </w:style>
  <w:style w:type="paragraph" w:customStyle="1" w:styleId="SolutionstoQuestionsheader">
    <w:name w:val="&quot;Solutions to Questions header&quot;"/>
    <w:rsid w:val="00B96CC3"/>
    <w:pPr>
      <w:widowControl w:val="0"/>
      <w:spacing w:before="240" w:after="480" w:line="240" w:lineRule="exact"/>
      <w:ind w:left="0" w:firstLine="0"/>
      <w:jc w:val="both"/>
    </w:pPr>
    <w:rPr>
      <w:rFonts w:ascii="Tahoma" w:eastAsia="Times New Roman" w:hAnsi="Tahoma" w:cs="Times New Roman"/>
      <w:b/>
      <w:color w:val="000000"/>
      <w:sz w:val="24"/>
      <w:szCs w:val="20"/>
      <w:lang w:val="en-US"/>
    </w:rPr>
  </w:style>
  <w:style w:type="paragraph" w:customStyle="1" w:styleId="Questions">
    <w:name w:val="Questions"/>
    <w:rsid w:val="00B96CC3"/>
    <w:pPr>
      <w:tabs>
        <w:tab w:val="left" w:pos="720"/>
      </w:tabs>
      <w:spacing w:after="240" w:line="240" w:lineRule="exact"/>
      <w:ind w:left="0" w:firstLine="0"/>
    </w:pPr>
    <w:rPr>
      <w:rFonts w:ascii="Tahoma" w:eastAsia="Times New Roman" w:hAnsi="Tahoma" w:cs="Times New Roman"/>
      <w:sz w:val="20"/>
      <w:szCs w:val="20"/>
      <w:lang w:val="en-US"/>
    </w:rPr>
  </w:style>
  <w:style w:type="paragraph" w:customStyle="1" w:styleId="rhL">
    <w:name w:val="rhL"/>
    <w:rsid w:val="00B96CC3"/>
    <w:pPr>
      <w:widowControl w:val="0"/>
      <w:tabs>
        <w:tab w:val="right" w:pos="9360"/>
        <w:tab w:val="right" w:pos="12960"/>
      </w:tabs>
      <w:spacing w:line="240" w:lineRule="exact"/>
      <w:ind w:left="0" w:firstLine="0"/>
      <w:jc w:val="both"/>
    </w:pPr>
    <w:rPr>
      <w:rFonts w:ascii="Tahoma" w:eastAsia="Times New Roman" w:hAnsi="Tahoma" w:cs="Times New Roman"/>
      <w:color w:val="000000"/>
      <w:sz w:val="16"/>
      <w:szCs w:val="20"/>
      <w:lang w:val="en-US"/>
    </w:rPr>
  </w:style>
  <w:style w:type="character" w:styleId="PageNumber">
    <w:name w:val="page number"/>
    <w:basedOn w:val="DefaultParagraphFont"/>
    <w:rsid w:val="00B96CC3"/>
    <w:rPr>
      <w:rFonts w:cs="Times New Roman"/>
    </w:rPr>
  </w:style>
  <w:style w:type="paragraph" w:customStyle="1" w:styleId="ProblemNumber">
    <w:name w:val="Problem Number"/>
    <w:rsid w:val="00B96CC3"/>
    <w:pPr>
      <w:widowControl w:val="0"/>
      <w:spacing w:after="240" w:line="320" w:lineRule="atLeast"/>
      <w:ind w:left="0" w:firstLine="0"/>
    </w:pPr>
    <w:rPr>
      <w:rFonts w:ascii="Tahoma" w:eastAsia="Times New Roman" w:hAnsi="Tahoma" w:cs="Times New Roman"/>
      <w:color w:val="000000"/>
      <w:sz w:val="28"/>
      <w:szCs w:val="20"/>
      <w:lang w:val="en-US"/>
    </w:rPr>
  </w:style>
  <w:style w:type="paragraph" w:customStyle="1" w:styleId="NumberedPart">
    <w:name w:val="Numbered Part"/>
    <w:rsid w:val="00B96CC3"/>
    <w:pPr>
      <w:widowControl w:val="0"/>
      <w:tabs>
        <w:tab w:val="decimal" w:pos="120"/>
        <w:tab w:val="left" w:pos="360"/>
        <w:tab w:val="left" w:pos="696"/>
        <w:tab w:val="left" w:pos="936"/>
      </w:tabs>
      <w:spacing w:line="320" w:lineRule="exact"/>
      <w:ind w:left="360" w:hanging="360"/>
    </w:pPr>
    <w:rPr>
      <w:rFonts w:ascii="Tahoma" w:eastAsia="Times New Roman" w:hAnsi="Tahoma" w:cs="Times New Roman"/>
      <w:color w:val="000000"/>
      <w:sz w:val="28"/>
      <w:szCs w:val="20"/>
      <w:lang w:val="en-US"/>
    </w:rPr>
  </w:style>
  <w:style w:type="paragraph" w:customStyle="1" w:styleId="NumberedList">
    <w:name w:val="Numbered List"/>
    <w:rsid w:val="00B96CC3"/>
    <w:pPr>
      <w:tabs>
        <w:tab w:val="decimal" w:pos="300"/>
        <w:tab w:val="left" w:pos="540"/>
      </w:tabs>
      <w:spacing w:after="120"/>
      <w:ind w:left="0" w:firstLine="0"/>
    </w:pPr>
    <w:rPr>
      <w:rFonts w:ascii="Tahoma" w:eastAsia="Times New Roman" w:hAnsi="Tahoma" w:cs="Times New Roman"/>
      <w:sz w:val="28"/>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microsoft.com/office/2007/relationships/stylesWithEffects" Target="stylesWithEffects.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249</Words>
  <Characters>1424</Characters>
  <Application>Microsoft Office Word</Application>
  <DocSecurity>0</DocSecurity>
  <Lines>11</Lines>
  <Paragraphs>3</Paragraphs>
  <ScaleCrop>false</ScaleCrop>
  <Company/>
  <LinksUpToDate>false</LinksUpToDate>
  <CharactersWithSpaces>1670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Rhonda</dc:creator>
  <cp:lastModifiedBy>User</cp:lastModifiedBy>
  <cp:revision>2</cp:revision>
  <dcterms:created xsi:type="dcterms:W3CDTF">2012-04-14T07:13:00Z</dcterms:created>
  <dcterms:modified xsi:type="dcterms:W3CDTF">2012-04-14T07:13:00Z</dcterms:modified>
</cp:coreProperties>
</file>