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5B3C08" w14:textId="77777777" w:rsidR="00A10255" w:rsidRPr="005F039E" w:rsidRDefault="008162D1">
      <w:pPr>
        <w:rPr>
          <w:b/>
          <w:color w:val="8064A2" w:themeColor="accent4"/>
        </w:rPr>
      </w:pPr>
      <w:bookmarkStart w:id="0" w:name="_GoBack"/>
      <w:bookmarkEnd w:id="0"/>
      <w:r w:rsidRPr="005F039E">
        <w:rPr>
          <w:b/>
          <w:color w:val="8064A2" w:themeColor="accent4"/>
        </w:rPr>
        <w:t xml:space="preserve">Chapter 1 – The Canadian Financial Reporting Environment </w:t>
      </w:r>
    </w:p>
    <w:p w14:paraId="1D1AE8EF" w14:textId="68846F69" w:rsidR="008162D1" w:rsidRDefault="008162D1">
      <w:r w:rsidRPr="00775A38">
        <w:rPr>
          <w:b/>
        </w:rPr>
        <w:br/>
        <w:t>What is financial accounting?</w:t>
      </w:r>
      <w:r>
        <w:br/>
        <w:t xml:space="preserve">-financial accounting is identifying, measuring, recording, and communicating </w:t>
      </w:r>
      <w:r w:rsidR="00775A38">
        <w:t xml:space="preserve">(IMRC) </w:t>
      </w:r>
      <w:r w:rsidR="00BF197E">
        <w:t>financial information about</w:t>
      </w:r>
      <w:r>
        <w:t xml:space="preserve"> business activities of an entity to external and internal users </w:t>
      </w:r>
      <w:r>
        <w:br/>
      </w:r>
      <w:r w:rsidR="00775A38">
        <w:t xml:space="preserve">-financial information is communicated through financial statements </w:t>
      </w:r>
      <w:r w:rsidR="00775A38">
        <w:br/>
        <w:t xml:space="preserve"> </w:t>
      </w:r>
      <w:r w:rsidR="00775A38">
        <w:tab/>
        <w:t>-Statement of Financial Position (SFP)</w:t>
      </w:r>
      <w:r w:rsidR="00775A38">
        <w:br/>
        <w:t xml:space="preserve"> </w:t>
      </w:r>
      <w:r w:rsidR="00775A38">
        <w:tab/>
        <w:t>-Income Statement (I/S)</w:t>
      </w:r>
      <w:r w:rsidR="00775A38">
        <w:br/>
        <w:t xml:space="preserve"> </w:t>
      </w:r>
      <w:r w:rsidR="00775A38">
        <w:tab/>
        <w:t>-Statement of Retained Earnings (SRE)</w:t>
      </w:r>
      <w:r w:rsidR="00775A38">
        <w:br/>
        <w:t xml:space="preserve"> </w:t>
      </w:r>
      <w:r w:rsidR="00775A38">
        <w:tab/>
        <w:t xml:space="preserve">-Cash Flow Statement (CFS) </w:t>
      </w:r>
      <w:r w:rsidR="00775A38">
        <w:br/>
        <w:t xml:space="preserve"> </w:t>
      </w:r>
      <w:r w:rsidR="00775A38">
        <w:tab/>
        <w:t>-Statement of Changes in Equity (SCE)</w:t>
      </w:r>
    </w:p>
    <w:p w14:paraId="5E6E5601" w14:textId="77777777" w:rsidR="007A0D87" w:rsidRDefault="007A0D87"/>
    <w:p w14:paraId="49E65CFF" w14:textId="14B725B2" w:rsidR="007A0D87" w:rsidRDefault="007A0D87">
      <w:r w:rsidRPr="007A0D87">
        <w:rPr>
          <w:b/>
        </w:rPr>
        <w:t>Accounting and Capital Allocation</w:t>
      </w:r>
      <w:r>
        <w:t xml:space="preserve"> </w:t>
      </w:r>
      <w:r>
        <w:br/>
        <w:t>-accounting supports/promotes efficient allocation of resources</w:t>
      </w:r>
      <w:r>
        <w:br/>
        <w:t xml:space="preserve">-the accounting profession has the responsibility of measuring company performance accurately and fairly on a timely basis which enables investors and creditors to assess the risks and returns of different investment opportunities </w:t>
      </w:r>
    </w:p>
    <w:p w14:paraId="23D31BED" w14:textId="77777777" w:rsidR="002D6732" w:rsidRPr="002D6732" w:rsidRDefault="002D6732">
      <w:pPr>
        <w:rPr>
          <w:b/>
        </w:rPr>
      </w:pPr>
    </w:p>
    <w:p w14:paraId="00A82941" w14:textId="5D217BBF" w:rsidR="002D6732" w:rsidRDefault="002D6732">
      <w:r>
        <w:rPr>
          <w:b/>
        </w:rPr>
        <w:t>Information S</w:t>
      </w:r>
      <w:r w:rsidRPr="002D6732">
        <w:rPr>
          <w:b/>
        </w:rPr>
        <w:t>ymmetry</w:t>
      </w:r>
      <w:r>
        <w:t xml:space="preserve"> </w:t>
      </w:r>
      <w:r>
        <w:br/>
        <w:t xml:space="preserve">-information symmetry is when stakeholders have equal access to all relevant information </w:t>
      </w:r>
      <w:r>
        <w:br/>
        <w:t xml:space="preserve"> -leads to efficient and effective flow of capital </w:t>
      </w:r>
      <w:r>
        <w:br/>
      </w:r>
      <w:r>
        <w:rPr>
          <w:b/>
        </w:rPr>
        <w:br/>
      </w:r>
      <w:r w:rsidRPr="002D6732">
        <w:rPr>
          <w:b/>
        </w:rPr>
        <w:t>Information Asymmetry</w:t>
      </w:r>
      <w:r>
        <w:t xml:space="preserve"> </w:t>
      </w:r>
    </w:p>
    <w:p w14:paraId="74E32BA9" w14:textId="3D902416" w:rsidR="002D6732" w:rsidRDefault="002D6732">
      <w:r>
        <w:t xml:space="preserve">-information asymmetry is when there is limited or unequal access to information (ex. management has access to more information than others) </w:t>
      </w:r>
      <w:r>
        <w:br/>
        <w:t>-leads to an inefficient capital market place because investors may discount</w:t>
      </w:r>
      <w:r w:rsidR="00447283">
        <w:t xml:space="preserve"> share prices, require higher</w:t>
      </w:r>
      <w:r>
        <w:t xml:space="preserve"> costs of capital, or may choose not to invest in the market </w:t>
      </w:r>
      <w:r>
        <w:br/>
      </w:r>
      <w:r w:rsidR="001512D4">
        <w:t>-two types:</w:t>
      </w:r>
      <w:r w:rsidR="001512D4">
        <w:br/>
        <w:t xml:space="preserve"> </w:t>
      </w:r>
      <w:r w:rsidR="001512D4">
        <w:tab/>
      </w:r>
      <w:r w:rsidR="001512D4" w:rsidRPr="00447283">
        <w:rPr>
          <w:b/>
        </w:rPr>
        <w:t>1)Adverse Selection</w:t>
      </w:r>
      <w:r w:rsidR="001512D4">
        <w:br/>
        <w:t xml:space="preserve"> </w:t>
      </w:r>
      <w:r w:rsidR="001512D4">
        <w:tab/>
        <w:t xml:space="preserve">     -capital marketplace may attract the wrong type of company (companies  </w:t>
      </w:r>
      <w:r w:rsidR="00447283">
        <w:br/>
        <w:t xml:space="preserve">                    </w:t>
      </w:r>
      <w:r w:rsidR="001512D4">
        <w:t xml:space="preserve">that have the most to gain from not disclosing information) </w:t>
      </w:r>
      <w:r w:rsidR="00447283">
        <w:br/>
        <w:t xml:space="preserve"> </w:t>
      </w:r>
      <w:r w:rsidR="00447283" w:rsidRPr="00447283">
        <w:rPr>
          <w:b/>
        </w:rPr>
        <w:tab/>
        <w:t>2)Moral Hazard</w:t>
      </w:r>
      <w:r w:rsidR="00447283">
        <w:t xml:space="preserve"> </w:t>
      </w:r>
      <w:r w:rsidR="00447283">
        <w:br/>
        <w:t xml:space="preserve"> </w:t>
      </w:r>
      <w:r w:rsidR="00447283">
        <w:tab/>
        <w:t xml:space="preserve">     -people will often evade responsibilities if they think no one is watching </w:t>
      </w:r>
    </w:p>
    <w:p w14:paraId="5C076F85" w14:textId="02EC08E1" w:rsidR="00F4468D" w:rsidRDefault="007C7C49">
      <w:r>
        <w:br/>
      </w:r>
      <w:r w:rsidR="00BF197E">
        <w:rPr>
          <w:b/>
        </w:rPr>
        <w:t xml:space="preserve">Standard Setting </w:t>
      </w:r>
      <w:r w:rsidR="00BF197E">
        <w:rPr>
          <w:b/>
        </w:rPr>
        <w:br/>
      </w:r>
      <w:r w:rsidR="00BF197E">
        <w:t xml:space="preserve">-accounting standards help reduce information asymmetry by requiring that transactions be recognized, measured, presented, and disclosed in a specific way </w:t>
      </w:r>
      <w:r w:rsidR="00BF197E">
        <w:br/>
        <w:t xml:space="preserve">-without a common set of standards it would be impossible to prepare statements that could be compared </w:t>
      </w:r>
      <w:r w:rsidR="00BF197E">
        <w:br/>
        <w:t>-this common set of standards and procedures is called generally accepted accounting principles (GAAP)</w:t>
      </w:r>
      <w:r w:rsidR="00700AA0">
        <w:br/>
      </w:r>
      <w:r w:rsidR="00447283">
        <w:rPr>
          <w:b/>
        </w:rPr>
        <w:br/>
      </w:r>
      <w:r w:rsidR="00700AA0" w:rsidRPr="00BF197E">
        <w:rPr>
          <w:b/>
        </w:rPr>
        <w:t>1)</w:t>
      </w:r>
      <w:r w:rsidRPr="00BF197E">
        <w:rPr>
          <w:b/>
        </w:rPr>
        <w:t>International Financial Reporting</w:t>
      </w:r>
      <w:r w:rsidR="00B4263A" w:rsidRPr="00BF197E">
        <w:rPr>
          <w:b/>
        </w:rPr>
        <w:t xml:space="preserve"> Standards (IFRS)</w:t>
      </w:r>
      <w:r w:rsidR="00BF197E">
        <w:rPr>
          <w:b/>
        </w:rPr>
        <w:t xml:space="preserve"> 2001</w:t>
      </w:r>
    </w:p>
    <w:p w14:paraId="7053E86C" w14:textId="77777777" w:rsidR="00F4468D" w:rsidRDefault="00B4263A">
      <w:r>
        <w:t xml:space="preserve">-a public company </w:t>
      </w:r>
      <w:r w:rsidR="007C7C49">
        <w:t xml:space="preserve">must follow IFRS </w:t>
      </w:r>
    </w:p>
    <w:p w14:paraId="5B2A8454" w14:textId="77777777" w:rsidR="00F4468D" w:rsidRDefault="006747D3">
      <w:r>
        <w:lastRenderedPageBreak/>
        <w:t>-International Accounting Standards Board (IASB) sets IFRS</w:t>
      </w:r>
      <w:r w:rsidR="00700AA0">
        <w:t xml:space="preserve"> </w:t>
      </w:r>
    </w:p>
    <w:p w14:paraId="187C490F" w14:textId="77777777" w:rsidR="00F4468D" w:rsidRDefault="00F4468D">
      <w:r>
        <w:t xml:space="preserve"> </w:t>
      </w:r>
      <w:r>
        <w:tab/>
      </w:r>
      <w:r w:rsidR="006747D3">
        <w:t>-objective is to harmonize a</w:t>
      </w:r>
      <w:r>
        <w:t>ccounting standards worldwide</w:t>
      </w:r>
    </w:p>
    <w:p w14:paraId="7D0703F4" w14:textId="77777777" w:rsidR="00F4468D" w:rsidRDefault="006747D3">
      <w:r>
        <w:t>-</w:t>
      </w:r>
      <w:r w:rsidR="00BF197E">
        <w:t>IFRS Foundation</w:t>
      </w:r>
      <w:r>
        <w:t xml:space="preserve"> monitor</w:t>
      </w:r>
      <w:r w:rsidR="00BF197E">
        <w:t xml:space="preserve">s activities of </w:t>
      </w:r>
      <w:r>
        <w:t>IASB</w:t>
      </w:r>
    </w:p>
    <w:p w14:paraId="3B0C49B8" w14:textId="57F1A29B" w:rsidR="00F4468D" w:rsidRDefault="00F4468D">
      <w:r>
        <w:t xml:space="preserve">-primary sources of IFRS include </w:t>
      </w:r>
      <w:r w:rsidR="00812B10">
        <w:t>IFRS standar</w:t>
      </w:r>
      <w:r>
        <w:t xml:space="preserve">ds, International Accounting </w:t>
      </w:r>
      <w:r w:rsidR="00812B10">
        <w:t>Standards (IAS), IFR</w:t>
      </w:r>
      <w:r>
        <w:t>I</w:t>
      </w:r>
      <w:r w:rsidR="00812B10">
        <w:t>C interpretation bullet</w:t>
      </w:r>
      <w:r>
        <w:t xml:space="preserve">ins </w:t>
      </w:r>
    </w:p>
    <w:p w14:paraId="257FEB0D" w14:textId="341D5F5A" w:rsidR="00F4468D" w:rsidRDefault="00812B10">
      <w:r>
        <w:t xml:space="preserve">-secondary sources </w:t>
      </w:r>
      <w:r w:rsidR="00F4468D">
        <w:t xml:space="preserve">of IFRS include pronouncements of other standard-setting bodies, other accounting literature, and accepted industry practices </w:t>
      </w:r>
      <w:r w:rsidR="00F4468D">
        <w:br/>
        <w:t xml:space="preserve">-secondary sources cannot overrule primary sources </w:t>
      </w:r>
      <w:r w:rsidR="007C7C49">
        <w:br/>
      </w:r>
      <w:r w:rsidR="00447283">
        <w:rPr>
          <w:b/>
        </w:rPr>
        <w:br/>
      </w:r>
      <w:r w:rsidR="00700AA0" w:rsidRPr="00BF197E">
        <w:rPr>
          <w:b/>
        </w:rPr>
        <w:t xml:space="preserve">2)Accounting Standards for Private </w:t>
      </w:r>
      <w:r w:rsidR="007C7C49" w:rsidRPr="00BF197E">
        <w:rPr>
          <w:b/>
        </w:rPr>
        <w:t>Entities (ASPE)</w:t>
      </w:r>
    </w:p>
    <w:p w14:paraId="28237515" w14:textId="77777777" w:rsidR="00F4468D" w:rsidRDefault="00B4263A">
      <w:r>
        <w:t xml:space="preserve">-a private company can follow IFRS or ASPE </w:t>
      </w:r>
    </w:p>
    <w:p w14:paraId="6C2632E5" w14:textId="77777777" w:rsidR="00F4468D" w:rsidRDefault="006747D3">
      <w:r>
        <w:t>-Accounting Stan</w:t>
      </w:r>
      <w:r w:rsidR="00F4468D">
        <w:t>dards Board (</w:t>
      </w:r>
      <w:proofErr w:type="spellStart"/>
      <w:r w:rsidR="00F4468D">
        <w:t>AcSB</w:t>
      </w:r>
      <w:proofErr w:type="spellEnd"/>
      <w:r w:rsidR="00F4468D">
        <w:t xml:space="preserve">) sets ASPE </w:t>
      </w:r>
    </w:p>
    <w:p w14:paraId="219D11A1" w14:textId="77777777" w:rsidR="00F4468D" w:rsidRDefault="006747D3">
      <w:r>
        <w:t>-</w:t>
      </w:r>
      <w:r w:rsidR="0033445B">
        <w:t>the Accounting Standards Oversight Council (</w:t>
      </w:r>
      <w:proofErr w:type="spellStart"/>
      <w:r w:rsidR="0033445B">
        <w:t>AcSOC</w:t>
      </w:r>
      <w:proofErr w:type="spellEnd"/>
      <w:r w:rsidR="0033445B">
        <w:t xml:space="preserve">) </w:t>
      </w:r>
      <w:r>
        <w:t xml:space="preserve">monitors </w:t>
      </w:r>
      <w:proofErr w:type="spellStart"/>
      <w:r>
        <w:t>AcSB</w:t>
      </w:r>
      <w:proofErr w:type="spellEnd"/>
      <w:r>
        <w:t xml:space="preserve"> </w:t>
      </w:r>
    </w:p>
    <w:p w14:paraId="219D865D" w14:textId="77777777" w:rsidR="00F4468D" w:rsidRDefault="00F4468D">
      <w:r>
        <w:t>-primary sources of ASPE include</w:t>
      </w:r>
      <w:r w:rsidR="00812B10">
        <w:t xml:space="preserve"> CICA Han</w:t>
      </w:r>
      <w:r>
        <w:t>dbook and accounting guidelines</w:t>
      </w:r>
    </w:p>
    <w:p w14:paraId="1E27EBFF" w14:textId="77777777" w:rsidR="00F4468D" w:rsidRDefault="00F4468D">
      <w:r>
        <w:t>-secondary sources of ASPE include</w:t>
      </w:r>
      <w:r w:rsidR="00812B10">
        <w:t xml:space="preserve"> industry </w:t>
      </w:r>
      <w:r>
        <w:t xml:space="preserve">guidelines, exposure drafts, </w:t>
      </w:r>
      <w:r w:rsidR="00812B10">
        <w:t>textbooks,</w:t>
      </w:r>
      <w:r>
        <w:t xml:space="preserve"> periodicals, research papers</w:t>
      </w:r>
    </w:p>
    <w:p w14:paraId="621AE299" w14:textId="65DFE1B4" w:rsidR="0033445B" w:rsidRDefault="00812B10">
      <w:r>
        <w:t xml:space="preserve">-secondary sources </w:t>
      </w:r>
      <w:r w:rsidR="00F4468D">
        <w:t>cannot over</w:t>
      </w:r>
      <w:r>
        <w:t xml:space="preserve">rule primary sources </w:t>
      </w:r>
      <w:r w:rsidR="00F4468D">
        <w:br/>
      </w:r>
      <w:r w:rsidR="00447283">
        <w:rPr>
          <w:b/>
        </w:rPr>
        <w:br/>
      </w:r>
      <w:r w:rsidR="00F4468D" w:rsidRPr="00F4468D">
        <w:rPr>
          <w:b/>
        </w:rPr>
        <w:t>3</w:t>
      </w:r>
      <w:proofErr w:type="gramStart"/>
      <w:r w:rsidR="00F4468D" w:rsidRPr="00F4468D">
        <w:rPr>
          <w:b/>
        </w:rPr>
        <w:t>)Financial</w:t>
      </w:r>
      <w:proofErr w:type="gramEnd"/>
      <w:r w:rsidR="00F4468D" w:rsidRPr="00F4468D">
        <w:rPr>
          <w:b/>
        </w:rPr>
        <w:t xml:space="preserve"> Accounting Standards Board (</w:t>
      </w:r>
      <w:r w:rsidR="008530F1" w:rsidRPr="00F4468D">
        <w:rPr>
          <w:b/>
        </w:rPr>
        <w:t>FASB</w:t>
      </w:r>
      <w:r w:rsidR="00F4468D" w:rsidRPr="00F4468D">
        <w:rPr>
          <w:b/>
        </w:rPr>
        <w:t>)</w:t>
      </w:r>
      <w:r w:rsidR="00F4468D">
        <w:br/>
        <w:t>-</w:t>
      </w:r>
      <w:r w:rsidR="008530F1">
        <w:t>in</w:t>
      </w:r>
      <w:r w:rsidR="00F4468D">
        <w:t xml:space="preserve"> the</w:t>
      </w:r>
      <w:r w:rsidR="008530F1">
        <w:t xml:space="preserve"> United States </w:t>
      </w:r>
      <w:r w:rsidR="00026974">
        <w:br/>
      </w:r>
    </w:p>
    <w:p w14:paraId="6C9A00D2" w14:textId="5CAA895E" w:rsidR="007C7C49" w:rsidRDefault="007C7C49"/>
    <w:p w14:paraId="0F716413" w14:textId="5DC52261" w:rsidR="00026974" w:rsidRDefault="006A050E">
      <w:r>
        <w:br/>
      </w:r>
    </w:p>
    <w:p w14:paraId="4505759D" w14:textId="77777777" w:rsidR="00961E30" w:rsidRDefault="00961E30"/>
    <w:p w14:paraId="1A6C2E58" w14:textId="77777777" w:rsidR="00C24A39" w:rsidRDefault="00C24A39"/>
    <w:sectPr w:rsidR="00C24A39" w:rsidSect="00BC0AE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2D1"/>
    <w:rsid w:val="00026974"/>
    <w:rsid w:val="001512D4"/>
    <w:rsid w:val="001D0C61"/>
    <w:rsid w:val="00293764"/>
    <w:rsid w:val="002D6732"/>
    <w:rsid w:val="0033445B"/>
    <w:rsid w:val="00447283"/>
    <w:rsid w:val="005F039E"/>
    <w:rsid w:val="006747D3"/>
    <w:rsid w:val="006A050E"/>
    <w:rsid w:val="00700AA0"/>
    <w:rsid w:val="00775A38"/>
    <w:rsid w:val="007A0D87"/>
    <w:rsid w:val="007C7C49"/>
    <w:rsid w:val="00812B10"/>
    <w:rsid w:val="008162D1"/>
    <w:rsid w:val="008530F1"/>
    <w:rsid w:val="00961E30"/>
    <w:rsid w:val="00A10255"/>
    <w:rsid w:val="00B4263A"/>
    <w:rsid w:val="00BC0AE1"/>
    <w:rsid w:val="00BF197E"/>
    <w:rsid w:val="00C24A39"/>
    <w:rsid w:val="00F4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D81638"/>
  <w14:defaultImageDpi w14:val="300"/>
  <w15:docId w15:val="{14E69774-E9F6-439A-8B1B-423433D33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Reabel</dc:creator>
  <cp:keywords/>
  <dc:description/>
  <cp:lastModifiedBy>My HP</cp:lastModifiedBy>
  <cp:revision>2</cp:revision>
  <dcterms:created xsi:type="dcterms:W3CDTF">2015-05-09T14:32:00Z</dcterms:created>
  <dcterms:modified xsi:type="dcterms:W3CDTF">2015-05-09T14:32:00Z</dcterms:modified>
</cp:coreProperties>
</file>