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E4618" w14:textId="77777777" w:rsidR="00A15A09" w:rsidRPr="00EE613C" w:rsidRDefault="00A15A09" w:rsidP="00A15A09">
      <w:pPr>
        <w:spacing w:line="480" w:lineRule="auto"/>
        <w:ind w:firstLine="720"/>
        <w:rPr>
          <w:b/>
        </w:rPr>
      </w:pPr>
      <w:bookmarkStart w:id="0" w:name="_GoBack"/>
      <w:bookmarkEnd w:id="0"/>
      <w:r w:rsidRPr="00EE613C">
        <w:rPr>
          <w:b/>
        </w:rPr>
        <w:t>Peacemaking Criminology and Restorative Justice</w:t>
      </w:r>
    </w:p>
    <w:p w14:paraId="14940A5F" w14:textId="77777777" w:rsidR="00A15A09" w:rsidRPr="006A05C5" w:rsidRDefault="00A15A09" w:rsidP="00A15A09">
      <w:pPr>
        <w:spacing w:line="480" w:lineRule="auto"/>
        <w:ind w:firstLine="720"/>
        <w:rPr>
          <w:rFonts w:ascii="Times" w:hAnsi="Times"/>
        </w:rPr>
      </w:pPr>
      <w:r w:rsidRPr="006A05C5">
        <w:rPr>
          <w:rFonts w:ascii="Times" w:hAnsi="Times"/>
        </w:rPr>
        <w:t xml:space="preserve">Restorative and peacemaking perspectives differ from traditional perspectives centrally on justice and crime. Restorative and peacemaking perspectives focus on alternative methods to reduce crime rates using other means than the criminal justice system (Wright, 1991). </w:t>
      </w:r>
      <w:r>
        <w:rPr>
          <w:rFonts w:ascii="Times" w:hAnsi="Times"/>
        </w:rPr>
        <w:t xml:space="preserve">These other means include meditation, victim to offender meetings and using love and compassion to create stronger human bonds, thus reducing crime rates. </w:t>
      </w:r>
      <w:r w:rsidRPr="006A05C5">
        <w:rPr>
          <w:rFonts w:ascii="Times" w:hAnsi="Times"/>
        </w:rPr>
        <w:t xml:space="preserve">Restorative and peacemaking is built on the foundation of compassion and building a stronger relationship with society, instead of focusing on self-interest </w:t>
      </w:r>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w:t>
      </w:r>
      <w:proofErr w:type="spellStart"/>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Tabibi</w:t>
      </w:r>
      <w:proofErr w:type="spellEnd"/>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 lecture 5)</w:t>
      </w:r>
      <w:r w:rsidRPr="006A05C5">
        <w:rPr>
          <w:rFonts w:ascii="Times" w:hAnsi="Times"/>
        </w:rPr>
        <w:t xml:space="preserve"> Peacemaking and restorative justice are paired with the ideology of the offender being in debt to the victim of his or her crimes, rather than to the state (Wright, 1991). On the opposite end of the spectrum, there is the traditional perspective. The traditional perspective focuses heavily on the offender and not on the victim of the crimes. Crimes committed under traditional perspective are to be considered crimes against the state, and not the actual victim who was affected by the criminal activity. The criminal then has an abstract debt to society in which they will pay with complex punishment</w:t>
      </w:r>
      <w:r>
        <w:rPr>
          <w:rFonts w:ascii="Times" w:hAnsi="Times"/>
        </w:rPr>
        <w:t>, for example labour and time spent in the penitentiary</w:t>
      </w:r>
      <w:r w:rsidRPr="006A05C5">
        <w:rPr>
          <w:rFonts w:ascii="Times" w:hAnsi="Times"/>
        </w:rPr>
        <w:t>. Traditional perspectives use the complex punishment and threat of incarceration</w:t>
      </w:r>
      <w:r>
        <w:rPr>
          <w:rFonts w:ascii="Times" w:hAnsi="Times"/>
        </w:rPr>
        <w:t xml:space="preserve"> and punishment</w:t>
      </w:r>
      <w:r w:rsidRPr="006A05C5">
        <w:rPr>
          <w:rFonts w:ascii="Times" w:hAnsi="Times"/>
        </w:rPr>
        <w:t xml:space="preserve"> as its main deterrent to crime. It is believed within Traditional perspective of crime that justice is only achieved when blame is put on an individual, who in turn will receive punishment guided by </w:t>
      </w:r>
      <w:r>
        <w:rPr>
          <w:rFonts w:ascii="Times" w:hAnsi="Times"/>
        </w:rPr>
        <w:t xml:space="preserve">the </w:t>
      </w:r>
      <w:proofErr w:type="gramStart"/>
      <w:r>
        <w:rPr>
          <w:rFonts w:ascii="Times" w:hAnsi="Times"/>
        </w:rPr>
        <w:t>law makers</w:t>
      </w:r>
      <w:proofErr w:type="gramEnd"/>
      <w:r w:rsidRPr="006A05C5">
        <w:rPr>
          <w:rFonts w:ascii="Times" w:hAnsi="Times"/>
        </w:rPr>
        <w:t xml:space="preserve"> (Wright, 1991)</w:t>
      </w:r>
    </w:p>
    <w:p w14:paraId="0E5E9789" w14:textId="77777777" w:rsidR="00A15A09" w:rsidRPr="006A05C5" w:rsidRDefault="00A15A09" w:rsidP="00A15A09">
      <w:pPr>
        <w:spacing w:line="480" w:lineRule="auto"/>
        <w:ind w:firstLine="720"/>
        <w:rPr>
          <w:rFonts w:ascii="Times" w:hAnsi="Times"/>
        </w:rPr>
      </w:pPr>
    </w:p>
    <w:p w14:paraId="5DE81F03" w14:textId="77777777" w:rsidR="00A15A09" w:rsidRDefault="00A15A09" w:rsidP="00A15A09">
      <w:pPr>
        <w:spacing w:line="480" w:lineRule="auto"/>
        <w:ind w:firstLine="720"/>
        <w:rPr>
          <w:rFonts w:ascii="Times" w:hAnsi="Times"/>
        </w:rPr>
      </w:pPr>
      <w:r w:rsidRPr="006A05C5">
        <w:rPr>
          <w:rFonts w:ascii="Times" w:hAnsi="Times"/>
        </w:rPr>
        <w:t>Like many traditional theories such as rational choice theory and strain theory, peacemaking criminology also agrees that violence, suffering and strain are the cause of crime (</w:t>
      </w:r>
      <w:proofErr w:type="spellStart"/>
      <w:r w:rsidRPr="006A05C5">
        <w:rPr>
          <w:rFonts w:ascii="Times" w:hAnsi="Times"/>
        </w:rPr>
        <w:t>Quinney</w:t>
      </w:r>
      <w:proofErr w:type="spellEnd"/>
      <w:r>
        <w:rPr>
          <w:rFonts w:ascii="Times" w:hAnsi="Times"/>
        </w:rPr>
        <w:t>,</w:t>
      </w:r>
      <w:r w:rsidRPr="006A05C5">
        <w:rPr>
          <w:rFonts w:ascii="Times" w:hAnsi="Times"/>
        </w:rPr>
        <w:t xml:space="preserve"> 1991) Peacemaking criminology is aware that the criminal justice system can not solve the main source of violence alone. The criminal justice system uses violence as a response to violence, which then creates a </w:t>
      </w:r>
      <w:proofErr w:type="spellStart"/>
      <w:r w:rsidRPr="006A05C5">
        <w:rPr>
          <w:rFonts w:ascii="Times" w:hAnsi="Times"/>
        </w:rPr>
        <w:t>ouroboros</w:t>
      </w:r>
      <w:proofErr w:type="spellEnd"/>
      <w:r w:rsidRPr="006A05C5">
        <w:rPr>
          <w:rFonts w:ascii="Times" w:hAnsi="Times"/>
        </w:rPr>
        <w:t xml:space="preserve"> effect, where it is a never ending and vicious cycle of violence and suffering (</w:t>
      </w:r>
      <w:proofErr w:type="spellStart"/>
      <w:r w:rsidRPr="006A05C5">
        <w:rPr>
          <w:rFonts w:ascii="Times" w:hAnsi="Times"/>
        </w:rPr>
        <w:t>Quinney</w:t>
      </w:r>
      <w:proofErr w:type="spellEnd"/>
      <w:r w:rsidRPr="006A05C5">
        <w:rPr>
          <w:rFonts w:ascii="Times" w:hAnsi="Times"/>
        </w:rPr>
        <w:t xml:space="preserve">, 1991). Peacemaking perspectives do no accept the promotion of violence and the subordination of </w:t>
      </w:r>
      <w:r w:rsidRPr="006A05C5">
        <w:rPr>
          <w:rFonts w:ascii="Times" w:hAnsi="Times"/>
        </w:rPr>
        <w:lastRenderedPageBreak/>
        <w:t xml:space="preserve">society as a form of human relations, where are the traditional perspective promotes violence and the subordination of individuals. Therefore peacemaking perspectives does not view the criminal justice system as an effective approach to reducing crime </w:t>
      </w:r>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w:t>
      </w:r>
      <w:proofErr w:type="spellStart"/>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Tabibi</w:t>
      </w:r>
      <w:proofErr w:type="spellEnd"/>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 lecture 5)</w:t>
      </w:r>
      <w:r w:rsidRPr="006A05C5">
        <w:rPr>
          <w:rFonts w:ascii="Times" w:hAnsi="Times"/>
        </w:rPr>
        <w:t xml:space="preserve"> </w:t>
      </w:r>
      <w:proofErr w:type="spellStart"/>
      <w:r w:rsidRPr="006A05C5">
        <w:rPr>
          <w:rFonts w:ascii="Times" w:hAnsi="Times"/>
        </w:rPr>
        <w:t>Quinney</w:t>
      </w:r>
      <w:proofErr w:type="spellEnd"/>
      <w:r w:rsidRPr="006A05C5">
        <w:rPr>
          <w:rFonts w:ascii="Times" w:hAnsi="Times"/>
        </w:rPr>
        <w:t xml:space="preserve"> states that crime is viewed as suffering and that ending crime is only possible with the ending of suffering through compassion (</w:t>
      </w:r>
      <w:proofErr w:type="spellStart"/>
      <w:r w:rsidRPr="006A05C5">
        <w:rPr>
          <w:rFonts w:ascii="Times" w:hAnsi="Times"/>
        </w:rPr>
        <w:t>Quinney</w:t>
      </w:r>
      <w:proofErr w:type="spellEnd"/>
      <w:r w:rsidRPr="006A05C5">
        <w:rPr>
          <w:rFonts w:ascii="Times" w:hAnsi="Times"/>
        </w:rPr>
        <w:t xml:space="preserve">, 1991) Peacemaking perspective also believes that the focus of the criminal justice system is to cleanse of all violence and suffering instead of using punishment and focusing only on the offenders actions and behavior </w:t>
      </w:r>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w:t>
      </w:r>
      <w:proofErr w:type="spellStart"/>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Tabibi</w:t>
      </w:r>
      <w:proofErr w:type="spellEnd"/>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 lecture 5)</w:t>
      </w:r>
    </w:p>
    <w:p w14:paraId="2CFA916E" w14:textId="77777777" w:rsidR="00A15A09" w:rsidRPr="006A05C5" w:rsidRDefault="00A15A09" w:rsidP="00A15A09">
      <w:pPr>
        <w:spacing w:line="480" w:lineRule="auto"/>
        <w:ind w:firstLine="720"/>
        <w:rPr>
          <w:rFonts w:ascii="Times" w:hAnsi="Times"/>
        </w:rPr>
      </w:pPr>
    </w:p>
    <w:p w14:paraId="23A9EC8C" w14:textId="77777777" w:rsidR="00A15A09" w:rsidRPr="006A05C5" w:rsidRDefault="00A15A09" w:rsidP="00A15A09">
      <w:pPr>
        <w:spacing w:line="480" w:lineRule="auto"/>
        <w:ind w:firstLine="720"/>
        <w:rPr>
          <w:rFonts w:ascii="Times" w:hAnsi="Times"/>
        </w:rPr>
      </w:pPr>
      <w:r w:rsidRPr="006A05C5">
        <w:rPr>
          <w:rFonts w:ascii="Times" w:hAnsi="Times"/>
        </w:rPr>
        <w:t>As stated above, the traditional approach to crime is not strongly concerned with the relationship of the victim and the offender, but rather is focused on the offender and the state. Traditional approach views crime committed as not directed to one person, or a group of people but a crime against the state as one. This approach differs from restorative justice which views crime as an issue between individuals and completely separate from the state. Restorative justice views crime as a damage done to society and people and something which needs to be restored with peace, harmony and good along with strong human relationships and the use of meditation (Wright, 1991) Meditation is able to help both the offender and the victim. The offenders who participated in this mediation received a lower or reduced sentence where as the victims were able to find peace within and helped with forgiveness of the offender (Wright, 1991).</w:t>
      </w:r>
    </w:p>
    <w:p w14:paraId="48E48A8E" w14:textId="77777777" w:rsidR="00A15A09" w:rsidRPr="006A05C5" w:rsidRDefault="00A15A09" w:rsidP="00A15A09">
      <w:pPr>
        <w:spacing w:line="480" w:lineRule="auto"/>
        <w:ind w:firstLine="720"/>
        <w:rPr>
          <w:rFonts w:ascii="Times" w:hAnsi="Times"/>
        </w:rPr>
      </w:pPr>
    </w:p>
    <w:p w14:paraId="02A43F4F" w14:textId="77777777" w:rsidR="00A15A09" w:rsidRDefault="00A15A09" w:rsidP="00A15A09">
      <w:pPr>
        <w:spacing w:line="480" w:lineRule="auto"/>
        <w:ind w:firstLine="720"/>
        <w:rPr>
          <w:rFonts w:ascii="Times" w:hAnsi="Times"/>
        </w:rPr>
      </w:pPr>
      <w:r w:rsidRPr="006A05C5">
        <w:rPr>
          <w:rFonts w:ascii="Times" w:hAnsi="Times"/>
        </w:rPr>
        <w:t xml:space="preserve">It is said that the traditional perspectives of criminology enforce the social structures that prevent or limit individuals, such as selfishness and greed. Peacemaking criminology primarily wants to strengthen the relationship between community and the criminal system </w:t>
      </w:r>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w:t>
      </w:r>
      <w:proofErr w:type="spellStart"/>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Tabibi</w:t>
      </w:r>
      <w:proofErr w:type="spellEnd"/>
      <w:r w:rsidRPr="006A05C5">
        <w:rPr>
          <w:rFonts w:ascii="Times" w:hAnsi="Times" w:cs="Helvetica"/>
          <w:color w:val="2A2F3D"/>
          <w:lang w:eastAsia="en-CA"/>
          <w14:shadow w14:blurRad="50800" w14:dist="38100" w14:dir="2700000" w14:sx="100000" w14:sy="100000" w14:kx="0" w14:ky="0" w14:algn="tl">
            <w14:srgbClr w14:val="000000">
              <w14:alpha w14:val="60000"/>
            </w14:srgbClr>
          </w14:shadow>
        </w:rPr>
        <w:t>, lecture 5)</w:t>
      </w:r>
      <w:r w:rsidRPr="006A05C5">
        <w:rPr>
          <w:rFonts w:ascii="Times" w:hAnsi="Times"/>
        </w:rPr>
        <w:t xml:space="preserve"> </w:t>
      </w:r>
      <w:proofErr w:type="gramStart"/>
      <w:r w:rsidRPr="006A05C5">
        <w:rPr>
          <w:rFonts w:ascii="Times" w:hAnsi="Times"/>
        </w:rPr>
        <w:t>It</w:t>
      </w:r>
      <w:proofErr w:type="gramEnd"/>
      <w:r w:rsidRPr="006A05C5">
        <w:rPr>
          <w:rFonts w:ascii="Times" w:hAnsi="Times"/>
        </w:rPr>
        <w:t xml:space="preserve"> is viewed that selfishness promotes suffering, which in turn leads to crime. By building stronger relationships within the society, it will be a good response to crime and reducing suffering and the mentality that self-interest is the number one priority. By promoting these values, it is in return removing the emphasis on greed and selfishness and instead promoting unity, which will inevitably reduce crime.</w:t>
      </w:r>
    </w:p>
    <w:p w14:paraId="721D6561" w14:textId="77777777" w:rsidR="00A15A09" w:rsidRPr="006A05C5" w:rsidRDefault="00A15A09" w:rsidP="00A15A09">
      <w:pPr>
        <w:spacing w:line="480" w:lineRule="auto"/>
        <w:rPr>
          <w:rFonts w:ascii="Times" w:hAnsi="Times"/>
        </w:rPr>
      </w:pPr>
    </w:p>
    <w:p w14:paraId="6CC73678" w14:textId="77777777" w:rsidR="00A15A09" w:rsidRPr="006A05C5" w:rsidRDefault="00A15A09" w:rsidP="00A15A09">
      <w:pPr>
        <w:spacing w:line="480" w:lineRule="auto"/>
        <w:ind w:firstLine="720"/>
        <w:rPr>
          <w:rFonts w:ascii="Times" w:hAnsi="Times"/>
        </w:rPr>
      </w:pPr>
      <w:r w:rsidRPr="006A05C5">
        <w:rPr>
          <w:rFonts w:ascii="Times" w:hAnsi="Times"/>
          <w:b/>
        </w:rPr>
        <w:t>New Right Criminological Theories</w:t>
      </w:r>
    </w:p>
    <w:p w14:paraId="318190A8" w14:textId="77777777" w:rsidR="00A15A09" w:rsidRPr="006A05C5" w:rsidRDefault="00A15A09" w:rsidP="00A15A09">
      <w:pPr>
        <w:spacing w:line="480" w:lineRule="auto"/>
        <w:ind w:firstLine="720"/>
        <w:rPr>
          <w:rFonts w:ascii="Times" w:hAnsi="Times"/>
        </w:rPr>
      </w:pPr>
      <w:r w:rsidRPr="006A05C5">
        <w:rPr>
          <w:rFonts w:ascii="Times" w:hAnsi="Times"/>
        </w:rPr>
        <w:t xml:space="preserve">Neo-conservatism gave rise to theories that provided an explanation as to how to correct behavioral issues in individuals, these theories were considered to be the New Right Criminology, which explains delinquency and deviance better than most other theories. New Right Criminology focused on how individuals are each shaped by their surrounding environment and individual interactions with people within the society (Williams &amp; </w:t>
      </w:r>
      <w:proofErr w:type="spellStart"/>
      <w:r w:rsidRPr="006A05C5">
        <w:rPr>
          <w:rFonts w:ascii="Times" w:hAnsi="Times"/>
        </w:rPr>
        <w:t>Mcshane</w:t>
      </w:r>
      <w:proofErr w:type="spellEnd"/>
      <w:r w:rsidRPr="006A05C5">
        <w:rPr>
          <w:rFonts w:ascii="Times" w:hAnsi="Times"/>
        </w:rPr>
        <w:t>, 2010).  The rise of neo-conservatism greatly influenced criminological theory during the 1970’s and 1980’s. Many questions were addressed about the inhuman punishment of mental health patients lead by the Civil rights campaign, which ultimately changed the way in which many viewed untreatable and problematic behaviors such as mental health along with criminality (Williams &amp;</w:t>
      </w:r>
      <w:proofErr w:type="spellStart"/>
      <w:r w:rsidRPr="006A05C5">
        <w:rPr>
          <w:rFonts w:ascii="Times" w:hAnsi="Times"/>
        </w:rPr>
        <w:t>McShane</w:t>
      </w:r>
      <w:proofErr w:type="spellEnd"/>
      <w:r w:rsidRPr="006A05C5">
        <w:rPr>
          <w:rFonts w:ascii="Times" w:hAnsi="Times"/>
        </w:rPr>
        <w:t>, 2010). In the 1970’s the most accepted theories were social learning theory, which was a product of evolution from behavioral psychology. During the 1970’s behavior</w:t>
      </w:r>
      <w:r>
        <w:rPr>
          <w:rFonts w:ascii="Times" w:hAnsi="Times"/>
        </w:rPr>
        <w:t xml:space="preserve"> psychologies were</w:t>
      </w:r>
      <w:r w:rsidRPr="006A05C5">
        <w:rPr>
          <w:rFonts w:ascii="Times" w:hAnsi="Times"/>
        </w:rPr>
        <w:t xml:space="preserve"> viewed as the most effective and accurate response to behavior issues. </w:t>
      </w:r>
      <w:proofErr w:type="gramStart"/>
      <w:r w:rsidRPr="006A05C5">
        <w:rPr>
          <w:rFonts w:ascii="Times" w:hAnsi="Times"/>
        </w:rPr>
        <w:t xml:space="preserve">(Williams &amp; </w:t>
      </w:r>
      <w:proofErr w:type="spellStart"/>
      <w:r w:rsidRPr="006A05C5">
        <w:rPr>
          <w:rFonts w:ascii="Times" w:hAnsi="Times"/>
        </w:rPr>
        <w:t>Mcshane</w:t>
      </w:r>
      <w:proofErr w:type="spellEnd"/>
      <w:r w:rsidRPr="006A05C5">
        <w:rPr>
          <w:rFonts w:ascii="Times" w:hAnsi="Times"/>
        </w:rPr>
        <w:t>, 2010).</w:t>
      </w:r>
      <w:proofErr w:type="gramEnd"/>
      <w:r w:rsidRPr="006A05C5">
        <w:rPr>
          <w:rFonts w:ascii="Times" w:hAnsi="Times"/>
        </w:rPr>
        <w:t xml:space="preserve"> This quickly evolved to New Right Criminology theories such as Aker’s social learning theory.</w:t>
      </w:r>
    </w:p>
    <w:p w14:paraId="529748A2" w14:textId="77777777" w:rsidR="00A15A09" w:rsidRPr="006A05C5" w:rsidRDefault="00A15A09" w:rsidP="00A15A09">
      <w:pPr>
        <w:spacing w:line="480" w:lineRule="auto"/>
        <w:ind w:firstLine="720"/>
        <w:rPr>
          <w:rFonts w:ascii="Times" w:hAnsi="Times"/>
        </w:rPr>
      </w:pPr>
    </w:p>
    <w:p w14:paraId="10CA5342" w14:textId="77777777" w:rsidR="00A15A09" w:rsidRPr="006A05C5" w:rsidRDefault="00A15A09" w:rsidP="00A15A09">
      <w:pPr>
        <w:spacing w:line="480" w:lineRule="auto"/>
        <w:ind w:firstLine="720"/>
        <w:rPr>
          <w:rFonts w:ascii="Times" w:hAnsi="Times"/>
        </w:rPr>
      </w:pPr>
      <w:r w:rsidRPr="006A05C5">
        <w:rPr>
          <w:rFonts w:ascii="Times" w:hAnsi="Times"/>
        </w:rPr>
        <w:t xml:space="preserve">According to Williams and </w:t>
      </w:r>
      <w:proofErr w:type="spellStart"/>
      <w:r w:rsidRPr="006A05C5">
        <w:rPr>
          <w:rFonts w:ascii="Times" w:hAnsi="Times"/>
        </w:rPr>
        <w:t>McShane</w:t>
      </w:r>
      <w:proofErr w:type="spellEnd"/>
      <w:r w:rsidRPr="006A05C5">
        <w:rPr>
          <w:rFonts w:ascii="Times" w:hAnsi="Times"/>
        </w:rPr>
        <w:t>, an individual has been reinforced after performing a particular behavior they have learned to perform</w:t>
      </w:r>
      <w:r>
        <w:rPr>
          <w:rFonts w:ascii="Times" w:hAnsi="Times"/>
        </w:rPr>
        <w:t xml:space="preserve"> it (Williams &amp; </w:t>
      </w:r>
      <w:proofErr w:type="spellStart"/>
      <w:r>
        <w:rPr>
          <w:rFonts w:ascii="Times" w:hAnsi="Times"/>
        </w:rPr>
        <w:t>Mcshane</w:t>
      </w:r>
      <w:proofErr w:type="spellEnd"/>
      <w:r>
        <w:rPr>
          <w:rFonts w:ascii="Times" w:hAnsi="Times"/>
        </w:rPr>
        <w:t>, 2010). T</w:t>
      </w:r>
      <w:r w:rsidRPr="006A05C5">
        <w:rPr>
          <w:rFonts w:ascii="Times" w:hAnsi="Times"/>
        </w:rPr>
        <w:t>herefore</w:t>
      </w:r>
      <w:r>
        <w:rPr>
          <w:rFonts w:ascii="Times" w:hAnsi="Times"/>
        </w:rPr>
        <w:t>,</w:t>
      </w:r>
      <w:r w:rsidRPr="006A05C5">
        <w:rPr>
          <w:rFonts w:ascii="Times" w:hAnsi="Times"/>
        </w:rPr>
        <w:t xml:space="preserve"> when a punishment is issued for a particular crime, he or she will learn to avoid this type of behavior or action. This explains why operant learning theory was eagerly accepted, since it explains criminal behavior and actions as a result of interacting with others within the society, as stated before, this theory explains that behavior is molded by consequence (Williams &amp; </w:t>
      </w:r>
      <w:proofErr w:type="spellStart"/>
      <w:r w:rsidRPr="006A05C5">
        <w:rPr>
          <w:rFonts w:ascii="Times" w:hAnsi="Times"/>
        </w:rPr>
        <w:t>Mcshane</w:t>
      </w:r>
      <w:proofErr w:type="spellEnd"/>
      <w:r w:rsidRPr="006A05C5">
        <w:rPr>
          <w:rFonts w:ascii="Times" w:hAnsi="Times"/>
        </w:rPr>
        <w:t>, 2010). Therefore</w:t>
      </w:r>
      <w:r>
        <w:rPr>
          <w:rFonts w:ascii="Times" w:hAnsi="Times"/>
        </w:rPr>
        <w:t>,</w:t>
      </w:r>
      <w:r w:rsidRPr="006A05C5">
        <w:rPr>
          <w:rFonts w:ascii="Times" w:hAnsi="Times"/>
        </w:rPr>
        <w:t xml:space="preserve"> we can draw the conclusion based on this theory that criminal actives occur when criminal behavior is encouraged and pro-social or positive behavior. Operant learning theory provides a better understanding of how criminal behavior may be learned, but Aker’s theory explains the process of learning in a more detailed manner.</w:t>
      </w:r>
    </w:p>
    <w:p w14:paraId="3CE8CDBD" w14:textId="77777777" w:rsidR="00A15A09" w:rsidRPr="006A05C5" w:rsidRDefault="00A15A09" w:rsidP="00A15A09">
      <w:pPr>
        <w:pStyle w:val="BodyText3"/>
        <w:tabs>
          <w:tab w:val="left" w:pos="360"/>
        </w:tabs>
        <w:spacing w:after="0" w:line="480" w:lineRule="auto"/>
        <w:rPr>
          <w:rFonts w:ascii="Times" w:hAnsi="Times"/>
          <w:sz w:val="24"/>
          <w:szCs w:val="24"/>
        </w:rPr>
      </w:pPr>
      <w:r w:rsidRPr="006A05C5">
        <w:rPr>
          <w:rFonts w:ascii="Times" w:hAnsi="Times"/>
          <w:sz w:val="24"/>
          <w:szCs w:val="24"/>
        </w:rPr>
        <w:t xml:space="preserve"> </w:t>
      </w:r>
    </w:p>
    <w:p w14:paraId="4A299F6E" w14:textId="77777777" w:rsidR="00A15A09" w:rsidRPr="006A05C5" w:rsidRDefault="00A15A09" w:rsidP="00A15A09">
      <w:pPr>
        <w:pStyle w:val="BodyText3"/>
        <w:tabs>
          <w:tab w:val="left" w:pos="360"/>
        </w:tabs>
        <w:spacing w:after="0"/>
        <w:rPr>
          <w:rFonts w:ascii="Times" w:hAnsi="Times"/>
          <w:sz w:val="24"/>
          <w:szCs w:val="24"/>
        </w:rPr>
      </w:pPr>
    </w:p>
    <w:p w14:paraId="39D61BA6" w14:textId="77777777" w:rsidR="00A15A09" w:rsidRDefault="00A15A09" w:rsidP="00A15A09">
      <w:pPr>
        <w:pStyle w:val="BodyText3"/>
        <w:tabs>
          <w:tab w:val="left" w:pos="360"/>
        </w:tabs>
        <w:spacing w:after="0" w:line="480" w:lineRule="auto"/>
        <w:rPr>
          <w:rFonts w:ascii="Times" w:hAnsi="Times"/>
          <w:sz w:val="24"/>
          <w:szCs w:val="24"/>
        </w:rPr>
      </w:pPr>
      <w:r w:rsidRPr="006A05C5">
        <w:rPr>
          <w:rFonts w:ascii="Times" w:hAnsi="Times"/>
          <w:sz w:val="24"/>
          <w:szCs w:val="24"/>
        </w:rPr>
        <w:tab/>
        <w:t xml:space="preserve">The differential association-reinforcement theory by Aker’s combines many theories as its foundation, such as Sutherland’s differential association theory along with the operant conditioning theory. The differential association-reinforcement theory explains that the learning of deviant behavior was through social interaction. It was widely accepted since it places the individuals environment as the main force of reinforcement of delinquent behavior and for its mix of cultural and reinforcement elements (Williams &amp; </w:t>
      </w:r>
      <w:proofErr w:type="spellStart"/>
      <w:r w:rsidRPr="006A05C5">
        <w:rPr>
          <w:rFonts w:ascii="Times" w:hAnsi="Times"/>
          <w:sz w:val="24"/>
          <w:szCs w:val="24"/>
        </w:rPr>
        <w:t>McShane</w:t>
      </w:r>
      <w:proofErr w:type="spellEnd"/>
      <w:r w:rsidRPr="006A05C5">
        <w:rPr>
          <w:rFonts w:ascii="Times" w:hAnsi="Times"/>
          <w:sz w:val="24"/>
          <w:szCs w:val="24"/>
        </w:rPr>
        <w:t xml:space="preserve">, 2010). Behavior </w:t>
      </w:r>
      <w:proofErr w:type="gramStart"/>
      <w:r w:rsidRPr="006A05C5">
        <w:rPr>
          <w:rFonts w:ascii="Times" w:hAnsi="Times"/>
          <w:sz w:val="24"/>
          <w:szCs w:val="24"/>
        </w:rPr>
        <w:t>is also known to be learned</w:t>
      </w:r>
      <w:proofErr w:type="gramEnd"/>
      <w:r w:rsidRPr="006A05C5">
        <w:rPr>
          <w:rFonts w:ascii="Times" w:hAnsi="Times"/>
          <w:sz w:val="24"/>
          <w:szCs w:val="24"/>
        </w:rPr>
        <w:t xml:space="preserve"> through conditioning and reinforcement, therefore delinquent behavior is made constant when there is a regular reinforcement, which also means that with the absence of reinforcement occurs the action and behavior will decrease. This theory also states that removing an individual from other offenders, or other people in society who perform deviant activities and encouraging pro-social activities, actions and ideologies would rehabilitate offenders or deter criminal behavior. These ideas are why this theory was so widely accepted and why it had such a great influence of policy implications. New implementations such as behavioral modification projects were placed into correctional facilities in the hopes of reforming the criminals, this approach allowed there to be rewards and positive reinforcement for pro-social behavior and more punishment for behaviors that were deemed as negative.  </w:t>
      </w:r>
      <w:proofErr w:type="gramStart"/>
      <w:r w:rsidRPr="006A05C5">
        <w:rPr>
          <w:rFonts w:ascii="Times" w:hAnsi="Times"/>
          <w:sz w:val="24"/>
          <w:szCs w:val="24"/>
        </w:rPr>
        <w:t xml:space="preserve">(Williams &amp; </w:t>
      </w:r>
      <w:proofErr w:type="spellStart"/>
      <w:r w:rsidRPr="006A05C5">
        <w:rPr>
          <w:rFonts w:ascii="Times" w:hAnsi="Times"/>
          <w:sz w:val="24"/>
          <w:szCs w:val="24"/>
        </w:rPr>
        <w:t>Mcshane</w:t>
      </w:r>
      <w:proofErr w:type="spellEnd"/>
      <w:r w:rsidRPr="006A05C5">
        <w:rPr>
          <w:rFonts w:ascii="Times" w:hAnsi="Times"/>
          <w:sz w:val="24"/>
          <w:szCs w:val="24"/>
        </w:rPr>
        <w:t>, 2010).</w:t>
      </w:r>
      <w:proofErr w:type="gramEnd"/>
      <w:r w:rsidRPr="006A05C5">
        <w:rPr>
          <w:rFonts w:ascii="Times" w:hAnsi="Times"/>
          <w:sz w:val="24"/>
          <w:szCs w:val="24"/>
        </w:rPr>
        <w:t xml:space="preserve"> These programs have yielded fruitful results and similar programs continue to be used to this day.</w:t>
      </w:r>
    </w:p>
    <w:p w14:paraId="65EF7D3A" w14:textId="77777777" w:rsidR="00A15A09" w:rsidRDefault="00A15A09" w:rsidP="00A15A09">
      <w:pPr>
        <w:pStyle w:val="BodyText3"/>
        <w:tabs>
          <w:tab w:val="left" w:pos="360"/>
        </w:tabs>
        <w:spacing w:after="0" w:line="480" w:lineRule="auto"/>
        <w:rPr>
          <w:rFonts w:ascii="Times" w:hAnsi="Times"/>
          <w:sz w:val="24"/>
          <w:szCs w:val="24"/>
        </w:rPr>
      </w:pPr>
    </w:p>
    <w:p w14:paraId="2FA416AD" w14:textId="77777777" w:rsidR="00A15A09" w:rsidRDefault="00A15A09" w:rsidP="00A15A09">
      <w:pPr>
        <w:pStyle w:val="BodyText3"/>
        <w:tabs>
          <w:tab w:val="left" w:pos="360"/>
        </w:tabs>
        <w:spacing w:after="0" w:line="480" w:lineRule="auto"/>
        <w:rPr>
          <w:rFonts w:ascii="Times" w:hAnsi="Times"/>
          <w:sz w:val="24"/>
          <w:szCs w:val="24"/>
        </w:rPr>
      </w:pPr>
    </w:p>
    <w:p w14:paraId="4506C74F" w14:textId="77777777" w:rsidR="00A15A09" w:rsidRDefault="00A15A09" w:rsidP="00A15A09">
      <w:pPr>
        <w:pStyle w:val="BodyText3"/>
        <w:tabs>
          <w:tab w:val="left" w:pos="360"/>
        </w:tabs>
        <w:spacing w:after="0" w:line="480" w:lineRule="auto"/>
        <w:rPr>
          <w:rFonts w:ascii="Times" w:hAnsi="Times"/>
          <w:sz w:val="24"/>
          <w:szCs w:val="24"/>
        </w:rPr>
      </w:pPr>
    </w:p>
    <w:p w14:paraId="30190116" w14:textId="77777777" w:rsidR="00A15A09" w:rsidRDefault="00A15A09" w:rsidP="00A15A09">
      <w:pPr>
        <w:pStyle w:val="BodyText3"/>
        <w:tabs>
          <w:tab w:val="left" w:pos="360"/>
        </w:tabs>
        <w:spacing w:after="0" w:line="480" w:lineRule="auto"/>
        <w:rPr>
          <w:rFonts w:ascii="Times" w:hAnsi="Times"/>
          <w:sz w:val="24"/>
          <w:szCs w:val="24"/>
        </w:rPr>
      </w:pPr>
    </w:p>
    <w:p w14:paraId="4A4B653C" w14:textId="77777777" w:rsidR="00A15A09" w:rsidRPr="00260A74" w:rsidRDefault="00A15A09" w:rsidP="00A15A09">
      <w:pPr>
        <w:pStyle w:val="NoteLevel1"/>
        <w:numPr>
          <w:ilvl w:val="0"/>
          <w:numId w:val="0"/>
        </w:numPr>
        <w:rPr>
          <w:rFonts w:ascii="Times New Roman" w:hAnsi="Times New Roman" w:cs="Times New Roman"/>
          <w:b/>
        </w:rPr>
      </w:pPr>
      <w:r w:rsidRPr="00260A74">
        <w:rPr>
          <w:rFonts w:ascii="Times New Roman" w:hAnsi="Times New Roman" w:cs="Times New Roman"/>
          <w:b/>
        </w:rPr>
        <w:t>References:</w:t>
      </w:r>
    </w:p>
    <w:p w14:paraId="49778A22" w14:textId="77777777" w:rsidR="00A15A09" w:rsidRPr="00287B34" w:rsidRDefault="00A15A09" w:rsidP="00A15A09">
      <w:pPr>
        <w:pStyle w:val="NoteLevel1"/>
      </w:pPr>
    </w:p>
    <w:p w14:paraId="09FB244E" w14:textId="77777777" w:rsidR="00A15A09" w:rsidRPr="00260A74" w:rsidRDefault="00A15A09" w:rsidP="00A15A09">
      <w:pPr>
        <w:pStyle w:val="NoteLevel1"/>
      </w:pPr>
      <w:proofErr w:type="spellStart"/>
      <w:r>
        <w:rPr>
          <w:rFonts w:ascii="Times New Roman" w:hAnsi="Times New Roman" w:cs="Times New Roman"/>
        </w:rPr>
        <w:t>Quinney’s</w:t>
      </w:r>
      <w:proofErr w:type="spellEnd"/>
      <w:r>
        <w:rPr>
          <w:rFonts w:ascii="Times New Roman" w:hAnsi="Times New Roman" w:cs="Times New Roman"/>
        </w:rPr>
        <w:t xml:space="preserve"> Article. Peacemaking, (2015).</w:t>
      </w:r>
    </w:p>
    <w:p w14:paraId="02AC71AC" w14:textId="77777777" w:rsidR="00A15A09" w:rsidRDefault="00A15A09" w:rsidP="00A15A09">
      <w:pPr>
        <w:pStyle w:val="NoteLevel1"/>
      </w:pPr>
    </w:p>
    <w:p w14:paraId="2C9182D7" w14:textId="77777777" w:rsidR="00A15A09" w:rsidRPr="00260A74" w:rsidRDefault="00A15A09" w:rsidP="00A15A09">
      <w:pPr>
        <w:pStyle w:val="NoteLevel1"/>
        <w:rPr>
          <w:rFonts w:ascii="Times New Roman" w:hAnsi="Times New Roman" w:cs="Times New Roman"/>
          <w:sz w:val="20"/>
          <w:szCs w:val="20"/>
          <w:lang w:val="en-CA"/>
        </w:rPr>
      </w:pPr>
      <w:proofErr w:type="spellStart"/>
      <w:r w:rsidRPr="00AD4068">
        <w:rPr>
          <w:rFonts w:ascii="Times New Roman" w:hAnsi="Times New Roman" w:cs="Times New Roman"/>
          <w:shd w:val="clear" w:color="auto" w:fill="FFFFFF"/>
          <w:lang w:val="en-CA"/>
        </w:rPr>
        <w:t>Quinney</w:t>
      </w:r>
      <w:proofErr w:type="spellEnd"/>
      <w:r w:rsidRPr="00AD4068">
        <w:rPr>
          <w:rFonts w:ascii="Times New Roman" w:hAnsi="Times New Roman" w:cs="Times New Roman"/>
          <w:shd w:val="clear" w:color="auto" w:fill="FFFFFF"/>
          <w:lang w:val="en-CA"/>
        </w:rPr>
        <w:t>, R. (1991).  The Way of Peace: On</w:t>
      </w:r>
      <w:r>
        <w:rPr>
          <w:rFonts w:ascii="Times New Roman" w:hAnsi="Times New Roman" w:cs="Times New Roman"/>
          <w:shd w:val="clear" w:color="auto" w:fill="FFFFFF"/>
          <w:lang w:val="en-CA"/>
        </w:rPr>
        <w:t xml:space="preserve"> Crime, Suffering, and Service.</w:t>
      </w:r>
      <w:r>
        <w:rPr>
          <w:rFonts w:ascii="Times New Roman" w:hAnsi="Times New Roman" w:cs="Times New Roman"/>
          <w:i/>
          <w:iCs/>
          <w:shd w:val="clear" w:color="auto" w:fill="FFFFFF"/>
          <w:lang w:val="en-CA"/>
        </w:rPr>
        <w:t xml:space="preserve"> </w:t>
      </w:r>
      <w:r w:rsidRPr="00AD4068">
        <w:rPr>
          <w:rFonts w:ascii="Times New Roman" w:hAnsi="Times New Roman" w:cs="Times New Roman"/>
          <w:i/>
          <w:iCs/>
          <w:shd w:val="clear" w:color="auto" w:fill="FFFFFF"/>
          <w:lang w:val="en-CA"/>
        </w:rPr>
        <w:t xml:space="preserve">Criminology as </w:t>
      </w:r>
      <w:r>
        <w:rPr>
          <w:rFonts w:ascii="Times New Roman" w:hAnsi="Times New Roman" w:cs="Times New Roman"/>
          <w:i/>
          <w:iCs/>
          <w:shd w:val="clear" w:color="auto" w:fill="FFFFFF"/>
          <w:lang w:val="en-CA"/>
        </w:rPr>
        <w:tab/>
      </w:r>
      <w:r w:rsidRPr="00AD4068">
        <w:rPr>
          <w:rFonts w:ascii="Times New Roman" w:hAnsi="Times New Roman" w:cs="Times New Roman"/>
          <w:i/>
          <w:iCs/>
          <w:shd w:val="clear" w:color="auto" w:fill="FFFFFF"/>
          <w:lang w:val="en-CA"/>
        </w:rPr>
        <w:t>Peacemaking</w:t>
      </w:r>
      <w:r w:rsidRPr="00AD4068">
        <w:rPr>
          <w:rFonts w:ascii="Times New Roman" w:hAnsi="Times New Roman" w:cs="Times New Roman"/>
          <w:shd w:val="clear" w:color="auto" w:fill="FFFFFF"/>
          <w:lang w:val="en-CA"/>
        </w:rPr>
        <w:t> Bloomington: Indiana University</w:t>
      </w:r>
      <w:r>
        <w:rPr>
          <w:rFonts w:ascii="Times New Roman" w:hAnsi="Times New Roman" w:cs="Times New Roman"/>
          <w:shd w:val="clear" w:color="auto" w:fill="FFFFFF"/>
          <w:lang w:val="en-CA"/>
        </w:rPr>
        <w:tab/>
      </w:r>
    </w:p>
    <w:p w14:paraId="65554427" w14:textId="77777777" w:rsidR="00A15A09" w:rsidRPr="00AD4068" w:rsidRDefault="00A15A09" w:rsidP="00A15A09">
      <w:pPr>
        <w:widowControl w:val="0"/>
        <w:autoSpaceDE w:val="0"/>
        <w:autoSpaceDN w:val="0"/>
        <w:adjustRightInd w:val="0"/>
      </w:pPr>
    </w:p>
    <w:p w14:paraId="1324790B" w14:textId="77777777" w:rsidR="00A15A09" w:rsidRDefault="00A15A09" w:rsidP="00A15A09">
      <w:pPr>
        <w:pStyle w:val="Bibliography"/>
        <w:rPr>
          <w:noProof/>
        </w:rPr>
      </w:pPr>
      <w:r>
        <w:rPr>
          <w:noProof/>
        </w:rPr>
        <w:t>Williams, F. P. &amp; McShane, M. D. (2010). Social Learning Theory.</w:t>
      </w:r>
      <w:r>
        <w:rPr>
          <w:i/>
          <w:noProof/>
        </w:rPr>
        <w:t xml:space="preserve"> Prentice Hall</w:t>
      </w:r>
      <w:r>
        <w:rPr>
          <w:noProof/>
        </w:rPr>
        <w:t xml:space="preserve">. </w:t>
      </w:r>
    </w:p>
    <w:p w14:paraId="79444B8C" w14:textId="77777777" w:rsidR="00A15A09" w:rsidRPr="00A77DB9" w:rsidRDefault="00A15A09" w:rsidP="00A15A09"/>
    <w:p w14:paraId="4C132EAC" w14:textId="77777777" w:rsidR="00A15A09" w:rsidRDefault="00A15A09" w:rsidP="00A15A09">
      <w:pPr>
        <w:pStyle w:val="Bibliography"/>
        <w:rPr>
          <w:noProof/>
        </w:rPr>
      </w:pPr>
      <w:r>
        <w:rPr>
          <w:noProof/>
        </w:rPr>
        <w:t>Wright, M. (1991). Justice for Victims &amp; Offenders: a Restorative Response to Crime.</w:t>
      </w:r>
      <w:r w:rsidRPr="00AD4068">
        <w:rPr>
          <w:i/>
          <w:noProof/>
        </w:rPr>
        <w:t xml:space="preserve"> </w:t>
      </w:r>
      <w:r>
        <w:rPr>
          <w:i/>
          <w:noProof/>
        </w:rPr>
        <w:t>Open University</w:t>
      </w:r>
      <w:r>
        <w:rPr>
          <w:i/>
          <w:noProof/>
        </w:rPr>
        <w:tab/>
        <w:t xml:space="preserve"> </w:t>
      </w:r>
      <w:r w:rsidRPr="00AD4068">
        <w:rPr>
          <w:noProof/>
        </w:rPr>
        <w:t>Press</w:t>
      </w:r>
      <w:r>
        <w:rPr>
          <w:noProof/>
        </w:rPr>
        <w:t xml:space="preserve"> </w:t>
      </w:r>
    </w:p>
    <w:p w14:paraId="16F25D38" w14:textId="77777777" w:rsidR="00A15A09" w:rsidRDefault="00A15A09" w:rsidP="00A15A09">
      <w:pPr>
        <w:pStyle w:val="BodyText3"/>
        <w:tabs>
          <w:tab w:val="left" w:pos="360"/>
        </w:tabs>
        <w:spacing w:after="0" w:line="480" w:lineRule="auto"/>
        <w:rPr>
          <w:rFonts w:ascii="Times" w:hAnsi="Times"/>
          <w:sz w:val="24"/>
          <w:szCs w:val="24"/>
        </w:rPr>
      </w:pPr>
    </w:p>
    <w:p w14:paraId="6AEEF3ED" w14:textId="77777777" w:rsidR="00A15A09" w:rsidRDefault="00A15A09" w:rsidP="00A15A09">
      <w:pPr>
        <w:pStyle w:val="BodyText3"/>
        <w:tabs>
          <w:tab w:val="left" w:pos="360"/>
        </w:tabs>
        <w:spacing w:after="0" w:line="480" w:lineRule="auto"/>
        <w:rPr>
          <w:rFonts w:ascii="Times" w:hAnsi="Times"/>
          <w:sz w:val="24"/>
          <w:szCs w:val="24"/>
        </w:rPr>
      </w:pPr>
    </w:p>
    <w:p w14:paraId="6C10A8FB" w14:textId="77777777" w:rsidR="00A15A09" w:rsidRDefault="00A15A09" w:rsidP="00A15A09">
      <w:pPr>
        <w:pStyle w:val="BodyText3"/>
        <w:tabs>
          <w:tab w:val="left" w:pos="360"/>
        </w:tabs>
        <w:spacing w:after="0" w:line="480" w:lineRule="auto"/>
        <w:jc w:val="center"/>
        <w:rPr>
          <w:rFonts w:ascii="Times" w:hAnsi="Times"/>
          <w:b/>
          <w:sz w:val="24"/>
          <w:szCs w:val="24"/>
        </w:rPr>
      </w:pPr>
    </w:p>
    <w:p w14:paraId="562F95F3" w14:textId="77777777" w:rsidR="00A15A09" w:rsidRDefault="00A15A09" w:rsidP="00A15A09">
      <w:pPr>
        <w:pStyle w:val="BodyText3"/>
        <w:tabs>
          <w:tab w:val="left" w:pos="360"/>
        </w:tabs>
        <w:spacing w:after="0" w:line="480" w:lineRule="auto"/>
        <w:jc w:val="center"/>
        <w:rPr>
          <w:rFonts w:ascii="Times" w:hAnsi="Times"/>
          <w:b/>
          <w:sz w:val="24"/>
          <w:szCs w:val="24"/>
        </w:rPr>
      </w:pPr>
    </w:p>
    <w:p w14:paraId="7A987359" w14:textId="77777777" w:rsidR="00A15A09" w:rsidRDefault="00A15A09" w:rsidP="00A15A09">
      <w:pPr>
        <w:pStyle w:val="BodyText3"/>
        <w:tabs>
          <w:tab w:val="left" w:pos="360"/>
        </w:tabs>
        <w:spacing w:after="0" w:line="480" w:lineRule="auto"/>
        <w:jc w:val="center"/>
        <w:rPr>
          <w:rFonts w:ascii="Times" w:hAnsi="Times"/>
          <w:b/>
          <w:sz w:val="24"/>
          <w:szCs w:val="24"/>
        </w:rPr>
      </w:pPr>
    </w:p>
    <w:p w14:paraId="458E2900" w14:textId="77777777" w:rsidR="00A15A09" w:rsidRDefault="00A15A09" w:rsidP="00A15A09">
      <w:pPr>
        <w:pStyle w:val="BodyText3"/>
        <w:tabs>
          <w:tab w:val="left" w:pos="360"/>
        </w:tabs>
        <w:spacing w:after="0" w:line="480" w:lineRule="auto"/>
        <w:jc w:val="center"/>
        <w:rPr>
          <w:rFonts w:ascii="Times" w:hAnsi="Times"/>
          <w:b/>
          <w:sz w:val="24"/>
          <w:szCs w:val="24"/>
        </w:rPr>
      </w:pPr>
    </w:p>
    <w:p w14:paraId="79C7AEA7" w14:textId="77777777" w:rsidR="00A15A09" w:rsidRDefault="00A15A09" w:rsidP="00A15A09">
      <w:pPr>
        <w:pStyle w:val="BodyText3"/>
        <w:tabs>
          <w:tab w:val="left" w:pos="360"/>
        </w:tabs>
        <w:spacing w:after="0" w:line="480" w:lineRule="auto"/>
        <w:jc w:val="center"/>
        <w:rPr>
          <w:rFonts w:ascii="Times" w:hAnsi="Times"/>
          <w:b/>
          <w:sz w:val="24"/>
          <w:szCs w:val="24"/>
        </w:rPr>
      </w:pPr>
    </w:p>
    <w:p w14:paraId="7C842BB5" w14:textId="77777777" w:rsidR="00A15A09" w:rsidRDefault="00A15A09" w:rsidP="00A15A09">
      <w:pPr>
        <w:pStyle w:val="BodyText3"/>
        <w:tabs>
          <w:tab w:val="left" w:pos="360"/>
        </w:tabs>
        <w:spacing w:after="0" w:line="480" w:lineRule="auto"/>
        <w:jc w:val="center"/>
        <w:rPr>
          <w:rFonts w:ascii="Times" w:hAnsi="Times"/>
          <w:b/>
          <w:sz w:val="24"/>
          <w:szCs w:val="24"/>
        </w:rPr>
      </w:pPr>
    </w:p>
    <w:p w14:paraId="758DC672" w14:textId="77777777" w:rsidR="00A15A09" w:rsidRDefault="00A15A09" w:rsidP="00A15A09">
      <w:pPr>
        <w:pStyle w:val="BodyText3"/>
        <w:tabs>
          <w:tab w:val="left" w:pos="360"/>
        </w:tabs>
        <w:spacing w:after="0" w:line="480" w:lineRule="auto"/>
        <w:jc w:val="center"/>
        <w:rPr>
          <w:rFonts w:ascii="Times" w:hAnsi="Times"/>
          <w:b/>
          <w:sz w:val="24"/>
          <w:szCs w:val="24"/>
        </w:rPr>
      </w:pPr>
    </w:p>
    <w:p w14:paraId="5B0301D1" w14:textId="77777777" w:rsidR="00A15A09" w:rsidRDefault="00A15A09" w:rsidP="00A15A09">
      <w:pPr>
        <w:spacing w:line="480" w:lineRule="auto"/>
        <w:ind w:firstLine="720"/>
        <w:jc w:val="center"/>
        <w:rPr>
          <w:b/>
        </w:rPr>
      </w:pPr>
    </w:p>
    <w:p w14:paraId="1D699940" w14:textId="77777777" w:rsidR="00A15A09" w:rsidRDefault="00A15A09" w:rsidP="00A15A09">
      <w:pPr>
        <w:spacing w:line="480" w:lineRule="auto"/>
        <w:ind w:firstLine="720"/>
        <w:jc w:val="center"/>
        <w:rPr>
          <w:b/>
        </w:rPr>
      </w:pPr>
    </w:p>
    <w:p w14:paraId="7728FC6C" w14:textId="77777777" w:rsidR="00A15A09" w:rsidRDefault="00A15A09" w:rsidP="00A15A09">
      <w:pPr>
        <w:spacing w:line="480" w:lineRule="auto"/>
        <w:ind w:firstLine="720"/>
        <w:jc w:val="center"/>
        <w:rPr>
          <w:b/>
        </w:rPr>
      </w:pPr>
    </w:p>
    <w:p w14:paraId="7A68A2B5" w14:textId="77777777" w:rsidR="00A15A09" w:rsidRDefault="00A15A09" w:rsidP="00A15A09">
      <w:pPr>
        <w:spacing w:line="480" w:lineRule="auto"/>
        <w:ind w:firstLine="720"/>
        <w:jc w:val="center"/>
        <w:rPr>
          <w:b/>
        </w:rPr>
      </w:pPr>
    </w:p>
    <w:p w14:paraId="1B36F41D" w14:textId="77777777" w:rsidR="00A15A09" w:rsidRDefault="00A15A09" w:rsidP="00A15A09">
      <w:pPr>
        <w:spacing w:line="480" w:lineRule="auto"/>
        <w:ind w:firstLine="720"/>
        <w:jc w:val="center"/>
        <w:rPr>
          <w:b/>
        </w:rPr>
      </w:pPr>
    </w:p>
    <w:p w14:paraId="263FC7D7" w14:textId="77777777" w:rsidR="00A15A09" w:rsidRDefault="00A15A09" w:rsidP="00A15A09">
      <w:pPr>
        <w:spacing w:line="480" w:lineRule="auto"/>
        <w:ind w:firstLine="720"/>
        <w:jc w:val="center"/>
        <w:rPr>
          <w:b/>
        </w:rPr>
      </w:pPr>
    </w:p>
    <w:p w14:paraId="77E24BA2" w14:textId="77777777" w:rsidR="00A15A09" w:rsidRDefault="00A15A09" w:rsidP="00A15A09">
      <w:pPr>
        <w:spacing w:line="480" w:lineRule="auto"/>
        <w:ind w:firstLine="720"/>
        <w:jc w:val="center"/>
        <w:rPr>
          <w:b/>
        </w:rPr>
      </w:pPr>
    </w:p>
    <w:p w14:paraId="3F7C7F76" w14:textId="77777777" w:rsidR="00A15A09" w:rsidRDefault="00A15A09" w:rsidP="00A15A09">
      <w:pPr>
        <w:spacing w:line="480" w:lineRule="auto"/>
        <w:ind w:firstLine="720"/>
        <w:jc w:val="center"/>
        <w:rPr>
          <w:b/>
        </w:rPr>
      </w:pPr>
    </w:p>
    <w:p w14:paraId="2632A437" w14:textId="77777777" w:rsidR="00A15A09" w:rsidRDefault="00A15A09" w:rsidP="00A15A09">
      <w:pPr>
        <w:spacing w:line="480" w:lineRule="auto"/>
        <w:ind w:firstLine="720"/>
        <w:jc w:val="center"/>
        <w:rPr>
          <w:b/>
        </w:rPr>
      </w:pPr>
    </w:p>
    <w:p w14:paraId="7FD29D5B" w14:textId="77777777" w:rsidR="00A15A09" w:rsidRDefault="00A15A09" w:rsidP="00A15A09">
      <w:pPr>
        <w:spacing w:line="480" w:lineRule="auto"/>
        <w:ind w:firstLine="720"/>
        <w:jc w:val="center"/>
        <w:rPr>
          <w:b/>
        </w:rPr>
      </w:pPr>
    </w:p>
    <w:p w14:paraId="4DEBA1EC" w14:textId="77777777" w:rsidR="00A15A09" w:rsidRDefault="00A15A09" w:rsidP="00A15A09">
      <w:pPr>
        <w:spacing w:line="480" w:lineRule="auto"/>
        <w:ind w:firstLine="720"/>
        <w:jc w:val="center"/>
        <w:rPr>
          <w:b/>
        </w:rPr>
      </w:pPr>
    </w:p>
    <w:p w14:paraId="63AFA9EF" w14:textId="77777777" w:rsidR="00A15A09" w:rsidRDefault="00A15A09" w:rsidP="00A15A09">
      <w:pPr>
        <w:spacing w:line="480" w:lineRule="auto"/>
        <w:ind w:firstLine="720"/>
        <w:jc w:val="center"/>
        <w:rPr>
          <w:b/>
        </w:rPr>
      </w:pPr>
    </w:p>
    <w:p w14:paraId="65170F70" w14:textId="77777777" w:rsidR="00A15A09" w:rsidRDefault="00A15A09" w:rsidP="00A15A09">
      <w:pPr>
        <w:spacing w:line="480" w:lineRule="auto"/>
        <w:ind w:firstLine="720"/>
        <w:jc w:val="center"/>
        <w:rPr>
          <w:b/>
        </w:rPr>
      </w:pPr>
    </w:p>
    <w:p w14:paraId="40B81ED1" w14:textId="77777777" w:rsidR="00A15A09" w:rsidRDefault="00A15A09" w:rsidP="00A15A09">
      <w:pPr>
        <w:spacing w:line="480" w:lineRule="auto"/>
        <w:ind w:firstLine="720"/>
        <w:jc w:val="center"/>
        <w:rPr>
          <w:b/>
        </w:rPr>
      </w:pPr>
    </w:p>
    <w:p w14:paraId="72831DAD" w14:textId="77777777" w:rsidR="00A15A09" w:rsidRDefault="00A15A09" w:rsidP="00A15A09">
      <w:pPr>
        <w:spacing w:line="480" w:lineRule="auto"/>
        <w:ind w:firstLine="720"/>
        <w:jc w:val="center"/>
        <w:rPr>
          <w:b/>
        </w:rPr>
      </w:pPr>
    </w:p>
    <w:p w14:paraId="2B166950" w14:textId="77777777" w:rsidR="00A15A09" w:rsidRDefault="00A15A09" w:rsidP="00A15A09">
      <w:pPr>
        <w:spacing w:line="480" w:lineRule="auto"/>
        <w:ind w:firstLine="720"/>
        <w:jc w:val="center"/>
        <w:rPr>
          <w:b/>
        </w:rPr>
      </w:pPr>
    </w:p>
    <w:p w14:paraId="15D2F875" w14:textId="77777777" w:rsidR="00A15A09" w:rsidRDefault="00A15A09" w:rsidP="00A15A09">
      <w:pPr>
        <w:spacing w:line="480" w:lineRule="auto"/>
        <w:ind w:firstLine="720"/>
        <w:jc w:val="center"/>
        <w:rPr>
          <w:b/>
        </w:rPr>
      </w:pPr>
    </w:p>
    <w:p w14:paraId="5992648A" w14:textId="77777777" w:rsidR="00A15A09" w:rsidRDefault="00A15A09" w:rsidP="00A15A09">
      <w:pPr>
        <w:spacing w:line="480" w:lineRule="auto"/>
        <w:ind w:firstLine="720"/>
        <w:jc w:val="center"/>
        <w:rPr>
          <w:b/>
        </w:rPr>
      </w:pPr>
      <w:r w:rsidRPr="00EE613C">
        <w:rPr>
          <w:b/>
        </w:rPr>
        <w:t>Peacemaking Criminology and Restorative Justice</w:t>
      </w:r>
    </w:p>
    <w:p w14:paraId="6027D946" w14:textId="77777777" w:rsidR="00A15A09" w:rsidRPr="006A05C5" w:rsidRDefault="00A15A09" w:rsidP="00A15A09">
      <w:pPr>
        <w:spacing w:line="480" w:lineRule="auto"/>
        <w:ind w:firstLine="720"/>
        <w:jc w:val="center"/>
        <w:rPr>
          <w:rFonts w:ascii="Times" w:hAnsi="Times"/>
        </w:rPr>
      </w:pPr>
      <w:r w:rsidRPr="006A05C5">
        <w:rPr>
          <w:rFonts w:ascii="Times" w:hAnsi="Times"/>
          <w:b/>
        </w:rPr>
        <w:t>New Right Criminological Theories</w:t>
      </w:r>
    </w:p>
    <w:p w14:paraId="73C735C8" w14:textId="77777777" w:rsidR="00A15A09" w:rsidRPr="006A05C5" w:rsidRDefault="00A15A09" w:rsidP="00A15A09">
      <w:pPr>
        <w:pStyle w:val="BodyText3"/>
        <w:tabs>
          <w:tab w:val="left" w:pos="360"/>
        </w:tabs>
        <w:spacing w:after="0" w:line="480" w:lineRule="auto"/>
        <w:rPr>
          <w:rFonts w:ascii="Times" w:hAnsi="Times"/>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proofErr w:type="spellStart"/>
      <w:r w:rsidRPr="006A05C5">
        <w:rPr>
          <w:rFonts w:ascii="Times" w:hAnsi="Times"/>
          <w:b/>
          <w:sz w:val="24"/>
          <w:szCs w:val="24"/>
        </w:rPr>
        <w:t>Ghayda</w:t>
      </w:r>
      <w:proofErr w:type="spellEnd"/>
      <w:r w:rsidRPr="006A05C5">
        <w:rPr>
          <w:rFonts w:ascii="Times" w:hAnsi="Times"/>
          <w:b/>
          <w:sz w:val="24"/>
          <w:szCs w:val="24"/>
        </w:rPr>
        <w:t xml:space="preserve"> El-Hag</w:t>
      </w:r>
    </w:p>
    <w:p w14:paraId="3C673450" w14:textId="77777777" w:rsidR="00A15A09" w:rsidRDefault="00A15A09" w:rsidP="00A15A09">
      <w:pPr>
        <w:pStyle w:val="BodyText3"/>
        <w:tabs>
          <w:tab w:val="left" w:pos="360"/>
        </w:tabs>
        <w:spacing w:after="0" w:line="480" w:lineRule="auto"/>
        <w:jc w:val="center"/>
        <w:rPr>
          <w:rFonts w:ascii="Times" w:hAnsi="Times"/>
          <w:b/>
          <w:sz w:val="24"/>
          <w:szCs w:val="24"/>
        </w:rPr>
      </w:pPr>
      <w:r>
        <w:rPr>
          <w:rFonts w:ascii="Times" w:hAnsi="Times"/>
          <w:b/>
          <w:sz w:val="24"/>
          <w:szCs w:val="24"/>
        </w:rPr>
        <w:t xml:space="preserve">        </w:t>
      </w:r>
      <w:r w:rsidRPr="006A05C5">
        <w:rPr>
          <w:rFonts w:ascii="Times" w:hAnsi="Times"/>
          <w:b/>
          <w:sz w:val="24"/>
          <w:szCs w:val="24"/>
        </w:rPr>
        <w:t>6518182</w:t>
      </w:r>
    </w:p>
    <w:p w14:paraId="5E4EC83D" w14:textId="77777777" w:rsidR="00A15A09" w:rsidRPr="006A05C5" w:rsidRDefault="00A15A09" w:rsidP="00A15A09">
      <w:pPr>
        <w:pStyle w:val="BodyText3"/>
        <w:tabs>
          <w:tab w:val="left" w:pos="360"/>
        </w:tabs>
        <w:spacing w:after="0" w:line="480" w:lineRule="auto"/>
        <w:jc w:val="center"/>
        <w:rPr>
          <w:rFonts w:ascii="Times" w:hAnsi="Times"/>
          <w:b/>
          <w:sz w:val="24"/>
          <w:szCs w:val="24"/>
        </w:rPr>
      </w:pPr>
      <w:r>
        <w:rPr>
          <w:rFonts w:ascii="Times" w:hAnsi="Times"/>
          <w:b/>
          <w:sz w:val="24"/>
          <w:szCs w:val="24"/>
        </w:rPr>
        <w:t xml:space="preserve">          </w:t>
      </w:r>
      <w:r w:rsidRPr="006A05C5">
        <w:rPr>
          <w:rFonts w:ascii="Times" w:hAnsi="Times"/>
          <w:b/>
          <w:sz w:val="24"/>
          <w:szCs w:val="24"/>
        </w:rPr>
        <w:t>CRM3301N</w:t>
      </w:r>
    </w:p>
    <w:p w14:paraId="0F64AA93" w14:textId="77777777" w:rsidR="00A15A09" w:rsidRPr="006A05C5" w:rsidRDefault="00A15A09" w:rsidP="00A15A09">
      <w:pPr>
        <w:pStyle w:val="BodyText3"/>
        <w:tabs>
          <w:tab w:val="left" w:pos="360"/>
        </w:tabs>
        <w:spacing w:after="0" w:line="480" w:lineRule="auto"/>
        <w:jc w:val="center"/>
        <w:rPr>
          <w:rFonts w:ascii="Times" w:hAnsi="Times"/>
          <w:b/>
          <w:sz w:val="24"/>
          <w:szCs w:val="24"/>
        </w:rPr>
      </w:pPr>
      <w:r>
        <w:rPr>
          <w:rFonts w:ascii="Times" w:hAnsi="Times"/>
          <w:b/>
          <w:sz w:val="24"/>
          <w:szCs w:val="24"/>
        </w:rPr>
        <w:t xml:space="preserve">           </w:t>
      </w:r>
      <w:r w:rsidRPr="006A05C5">
        <w:rPr>
          <w:rFonts w:ascii="Times" w:hAnsi="Times"/>
          <w:b/>
          <w:sz w:val="24"/>
          <w:szCs w:val="24"/>
        </w:rPr>
        <w:t xml:space="preserve">Professor </w:t>
      </w:r>
      <w:proofErr w:type="spellStart"/>
      <w:r w:rsidRPr="006A05C5">
        <w:rPr>
          <w:rFonts w:ascii="Times" w:hAnsi="Times"/>
          <w:b/>
          <w:sz w:val="24"/>
          <w:szCs w:val="24"/>
        </w:rPr>
        <w:t>Tabibi</w:t>
      </w:r>
      <w:proofErr w:type="spellEnd"/>
    </w:p>
    <w:p w14:paraId="23F077C9" w14:textId="77777777" w:rsidR="00A15A09" w:rsidRPr="006A05C5" w:rsidRDefault="00A15A09" w:rsidP="00A15A09">
      <w:pPr>
        <w:pStyle w:val="BodyText3"/>
        <w:tabs>
          <w:tab w:val="left" w:pos="360"/>
        </w:tabs>
        <w:spacing w:after="0" w:line="480" w:lineRule="auto"/>
        <w:jc w:val="center"/>
        <w:rPr>
          <w:rFonts w:ascii="Times" w:hAnsi="Times"/>
          <w:b/>
          <w:sz w:val="24"/>
          <w:szCs w:val="24"/>
        </w:rPr>
      </w:pPr>
      <w:r>
        <w:rPr>
          <w:rFonts w:ascii="Times" w:hAnsi="Times"/>
          <w:b/>
          <w:sz w:val="24"/>
          <w:szCs w:val="24"/>
        </w:rPr>
        <w:t xml:space="preserve">            </w:t>
      </w:r>
      <w:r w:rsidRPr="006A05C5">
        <w:rPr>
          <w:rFonts w:ascii="Times" w:hAnsi="Times"/>
          <w:b/>
          <w:sz w:val="24"/>
          <w:szCs w:val="24"/>
        </w:rPr>
        <w:t>March 20</w:t>
      </w:r>
      <w:r w:rsidRPr="006A05C5">
        <w:rPr>
          <w:rFonts w:ascii="Times" w:hAnsi="Times"/>
          <w:b/>
          <w:sz w:val="24"/>
          <w:szCs w:val="24"/>
          <w:vertAlign w:val="superscript"/>
        </w:rPr>
        <w:t>th</w:t>
      </w:r>
      <w:r w:rsidRPr="006A05C5">
        <w:rPr>
          <w:rFonts w:ascii="Times" w:hAnsi="Times"/>
          <w:b/>
          <w:sz w:val="24"/>
          <w:szCs w:val="24"/>
        </w:rPr>
        <w:t xml:space="preserve"> 2015</w:t>
      </w:r>
    </w:p>
    <w:p w14:paraId="5B301E34" w14:textId="77777777" w:rsidR="00C93DC1" w:rsidRDefault="00C93DC1"/>
    <w:sectPr w:rsidR="00C93DC1" w:rsidSect="00F25653">
      <w:headerReference w:type="default" r:id="rId8"/>
      <w:footerReference w:type="default" r:id="rId9"/>
      <w:footerReference w:type="first" r:id="rId10"/>
      <w:pgSz w:w="12240" w:h="15840"/>
      <w:pgMar w:top="1134" w:right="1041" w:bottom="1080" w:left="1134" w:header="720" w:footer="108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27FFB8" w14:textId="77777777" w:rsidR="00000000" w:rsidRDefault="00352429">
      <w:r>
        <w:separator/>
      </w:r>
    </w:p>
  </w:endnote>
  <w:endnote w:type="continuationSeparator" w:id="0">
    <w:p w14:paraId="22331BAE" w14:textId="77777777" w:rsidR="00000000" w:rsidRDefault="0035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4D976" w14:textId="77777777" w:rsidR="0098408B" w:rsidRDefault="00352429">
    <w:pPr>
      <w:widowControl w:val="0"/>
      <w:tabs>
        <w:tab w:val="center" w:pos="4320"/>
        <w:tab w:val="right" w:pos="8640"/>
      </w:tabs>
      <w:autoSpaceDE w:val="0"/>
      <w:autoSpaceDN w:val="0"/>
      <w:adjustRightInd w:val="0"/>
      <w:rPr>
        <w:sz w:val="2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49D4A" w14:textId="77777777" w:rsidR="0098408B" w:rsidRDefault="00352429">
    <w:pPr>
      <w:widowControl w:val="0"/>
      <w:tabs>
        <w:tab w:val="center" w:pos="4320"/>
        <w:tab w:val="right" w:pos="8640"/>
      </w:tabs>
      <w:autoSpaceDE w:val="0"/>
      <w:autoSpaceDN w:val="0"/>
      <w:adjustRightInd w:val="0"/>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395F8" w14:textId="77777777" w:rsidR="00000000" w:rsidRDefault="00352429">
      <w:r>
        <w:separator/>
      </w:r>
    </w:p>
  </w:footnote>
  <w:footnote w:type="continuationSeparator" w:id="0">
    <w:p w14:paraId="1BCF944D" w14:textId="77777777" w:rsidR="00000000" w:rsidRDefault="003524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471B4" w14:textId="77777777" w:rsidR="0098408B" w:rsidRDefault="00352429">
    <w:pPr>
      <w:widowControl w:val="0"/>
      <w:tabs>
        <w:tab w:val="center" w:pos="4320"/>
        <w:tab w:val="right" w:pos="8640"/>
      </w:tabs>
      <w:autoSpaceDE w:val="0"/>
      <w:autoSpaceDN w:val="0"/>
      <w:adjustRightInd w:val="0"/>
      <w:rPr>
        <w:rFonts w:ascii="Arial" w:hAnsi="Arial" w:cs="Arial"/>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A2EC25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A09"/>
    <w:rsid w:val="00352429"/>
    <w:rsid w:val="00A15A09"/>
    <w:rsid w:val="00C93D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2F82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A09"/>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A15A09"/>
    <w:pPr>
      <w:spacing w:after="120"/>
    </w:pPr>
    <w:rPr>
      <w:sz w:val="16"/>
      <w:szCs w:val="16"/>
    </w:rPr>
  </w:style>
  <w:style w:type="character" w:customStyle="1" w:styleId="BodyText3Char">
    <w:name w:val="Body Text 3 Char"/>
    <w:basedOn w:val="DefaultParagraphFont"/>
    <w:link w:val="BodyText3"/>
    <w:rsid w:val="00A15A09"/>
    <w:rPr>
      <w:rFonts w:ascii="Times New Roman" w:eastAsia="Times New Roman" w:hAnsi="Times New Roman" w:cs="Times New Roman"/>
      <w:sz w:val="16"/>
      <w:szCs w:val="16"/>
    </w:rPr>
  </w:style>
  <w:style w:type="paragraph" w:styleId="NoteLevel1">
    <w:name w:val="Note Level 1"/>
    <w:basedOn w:val="Normal"/>
    <w:uiPriority w:val="99"/>
    <w:unhideWhenUsed/>
    <w:rsid w:val="00A15A09"/>
    <w:pPr>
      <w:keepNext/>
      <w:numPr>
        <w:numId w:val="1"/>
      </w:numPr>
      <w:contextualSpacing/>
      <w:outlineLvl w:val="0"/>
    </w:pPr>
    <w:rPr>
      <w:rFonts w:ascii="Verdana" w:eastAsiaTheme="minorEastAsia" w:hAnsi="Verdana" w:cstheme="minorBidi"/>
    </w:rPr>
  </w:style>
  <w:style w:type="paragraph" w:styleId="NoteLevel2">
    <w:name w:val="Note Level 2"/>
    <w:basedOn w:val="Normal"/>
    <w:uiPriority w:val="99"/>
    <w:unhideWhenUsed/>
    <w:rsid w:val="00A15A09"/>
    <w:pPr>
      <w:keepNext/>
      <w:numPr>
        <w:ilvl w:val="1"/>
        <w:numId w:val="1"/>
      </w:numPr>
      <w:contextualSpacing/>
      <w:outlineLvl w:val="1"/>
    </w:pPr>
    <w:rPr>
      <w:rFonts w:ascii="Verdana" w:eastAsiaTheme="minorEastAsia" w:hAnsi="Verdana" w:cstheme="minorBidi"/>
    </w:rPr>
  </w:style>
  <w:style w:type="paragraph" w:styleId="NoteLevel3">
    <w:name w:val="Note Level 3"/>
    <w:basedOn w:val="Normal"/>
    <w:uiPriority w:val="99"/>
    <w:unhideWhenUsed/>
    <w:rsid w:val="00A15A09"/>
    <w:pPr>
      <w:keepNext/>
      <w:numPr>
        <w:ilvl w:val="2"/>
        <w:numId w:val="1"/>
      </w:numPr>
      <w:contextualSpacing/>
      <w:outlineLvl w:val="2"/>
    </w:pPr>
    <w:rPr>
      <w:rFonts w:ascii="Verdana" w:eastAsiaTheme="minorEastAsia" w:hAnsi="Verdana" w:cstheme="minorBidi"/>
    </w:rPr>
  </w:style>
  <w:style w:type="paragraph" w:styleId="NoteLevel4">
    <w:name w:val="Note Level 4"/>
    <w:basedOn w:val="Normal"/>
    <w:uiPriority w:val="99"/>
    <w:unhideWhenUsed/>
    <w:rsid w:val="00A15A09"/>
    <w:pPr>
      <w:keepNext/>
      <w:numPr>
        <w:ilvl w:val="3"/>
        <w:numId w:val="1"/>
      </w:numPr>
      <w:contextualSpacing/>
      <w:outlineLvl w:val="3"/>
    </w:pPr>
    <w:rPr>
      <w:rFonts w:ascii="Verdana" w:eastAsiaTheme="minorEastAsia" w:hAnsi="Verdana" w:cstheme="minorBidi"/>
    </w:rPr>
  </w:style>
  <w:style w:type="paragraph" w:styleId="NoteLevel5">
    <w:name w:val="Note Level 5"/>
    <w:basedOn w:val="Normal"/>
    <w:uiPriority w:val="99"/>
    <w:unhideWhenUsed/>
    <w:rsid w:val="00A15A09"/>
    <w:pPr>
      <w:keepNext/>
      <w:numPr>
        <w:ilvl w:val="4"/>
        <w:numId w:val="1"/>
      </w:numPr>
      <w:contextualSpacing/>
      <w:outlineLvl w:val="4"/>
    </w:pPr>
    <w:rPr>
      <w:rFonts w:ascii="Verdana" w:eastAsiaTheme="minorEastAsia" w:hAnsi="Verdana" w:cstheme="minorBidi"/>
    </w:rPr>
  </w:style>
  <w:style w:type="paragraph" w:styleId="NoteLevel6">
    <w:name w:val="Note Level 6"/>
    <w:basedOn w:val="Normal"/>
    <w:uiPriority w:val="99"/>
    <w:unhideWhenUsed/>
    <w:rsid w:val="00A15A09"/>
    <w:pPr>
      <w:keepNext/>
      <w:numPr>
        <w:ilvl w:val="5"/>
        <w:numId w:val="1"/>
      </w:numPr>
      <w:contextualSpacing/>
      <w:outlineLvl w:val="5"/>
    </w:pPr>
    <w:rPr>
      <w:rFonts w:ascii="Verdana" w:eastAsiaTheme="minorEastAsia" w:hAnsi="Verdana" w:cstheme="minorBidi"/>
    </w:rPr>
  </w:style>
  <w:style w:type="paragraph" w:styleId="NoteLevel7">
    <w:name w:val="Note Level 7"/>
    <w:basedOn w:val="Normal"/>
    <w:uiPriority w:val="99"/>
    <w:unhideWhenUsed/>
    <w:rsid w:val="00A15A09"/>
    <w:pPr>
      <w:keepNext/>
      <w:numPr>
        <w:ilvl w:val="6"/>
        <w:numId w:val="1"/>
      </w:numPr>
      <w:contextualSpacing/>
      <w:outlineLvl w:val="6"/>
    </w:pPr>
    <w:rPr>
      <w:rFonts w:ascii="Verdana" w:eastAsiaTheme="minorEastAsia" w:hAnsi="Verdana" w:cstheme="minorBidi"/>
    </w:rPr>
  </w:style>
  <w:style w:type="paragraph" w:styleId="NoteLevel8">
    <w:name w:val="Note Level 8"/>
    <w:basedOn w:val="Normal"/>
    <w:uiPriority w:val="99"/>
    <w:unhideWhenUsed/>
    <w:rsid w:val="00A15A09"/>
    <w:pPr>
      <w:keepNext/>
      <w:numPr>
        <w:ilvl w:val="7"/>
        <w:numId w:val="1"/>
      </w:numPr>
      <w:contextualSpacing/>
      <w:outlineLvl w:val="7"/>
    </w:pPr>
    <w:rPr>
      <w:rFonts w:ascii="Verdana" w:eastAsiaTheme="minorEastAsia" w:hAnsi="Verdana" w:cstheme="minorBidi"/>
    </w:rPr>
  </w:style>
  <w:style w:type="paragraph" w:styleId="NoteLevel9">
    <w:name w:val="Note Level 9"/>
    <w:basedOn w:val="Normal"/>
    <w:uiPriority w:val="99"/>
    <w:unhideWhenUsed/>
    <w:rsid w:val="00A15A09"/>
    <w:pPr>
      <w:keepNext/>
      <w:numPr>
        <w:ilvl w:val="8"/>
        <w:numId w:val="1"/>
      </w:numPr>
      <w:contextualSpacing/>
      <w:outlineLvl w:val="8"/>
    </w:pPr>
    <w:rPr>
      <w:rFonts w:ascii="Verdana" w:eastAsiaTheme="minorEastAsia" w:hAnsi="Verdana" w:cstheme="minorBidi"/>
    </w:rPr>
  </w:style>
  <w:style w:type="paragraph" w:styleId="Bibliography">
    <w:name w:val="Bibliography"/>
    <w:basedOn w:val="Normal"/>
    <w:next w:val="Normal"/>
    <w:uiPriority w:val="37"/>
    <w:unhideWhenUsed/>
    <w:rsid w:val="00A15A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A09"/>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A15A09"/>
    <w:pPr>
      <w:spacing w:after="120"/>
    </w:pPr>
    <w:rPr>
      <w:sz w:val="16"/>
      <w:szCs w:val="16"/>
    </w:rPr>
  </w:style>
  <w:style w:type="character" w:customStyle="1" w:styleId="BodyText3Char">
    <w:name w:val="Body Text 3 Char"/>
    <w:basedOn w:val="DefaultParagraphFont"/>
    <w:link w:val="BodyText3"/>
    <w:rsid w:val="00A15A09"/>
    <w:rPr>
      <w:rFonts w:ascii="Times New Roman" w:eastAsia="Times New Roman" w:hAnsi="Times New Roman" w:cs="Times New Roman"/>
      <w:sz w:val="16"/>
      <w:szCs w:val="16"/>
    </w:rPr>
  </w:style>
  <w:style w:type="paragraph" w:styleId="NoteLevel1">
    <w:name w:val="Note Level 1"/>
    <w:basedOn w:val="Normal"/>
    <w:uiPriority w:val="99"/>
    <w:unhideWhenUsed/>
    <w:rsid w:val="00A15A09"/>
    <w:pPr>
      <w:keepNext/>
      <w:numPr>
        <w:numId w:val="1"/>
      </w:numPr>
      <w:contextualSpacing/>
      <w:outlineLvl w:val="0"/>
    </w:pPr>
    <w:rPr>
      <w:rFonts w:ascii="Verdana" w:eastAsiaTheme="minorEastAsia" w:hAnsi="Verdana" w:cstheme="minorBidi"/>
    </w:rPr>
  </w:style>
  <w:style w:type="paragraph" w:styleId="NoteLevel2">
    <w:name w:val="Note Level 2"/>
    <w:basedOn w:val="Normal"/>
    <w:uiPriority w:val="99"/>
    <w:unhideWhenUsed/>
    <w:rsid w:val="00A15A09"/>
    <w:pPr>
      <w:keepNext/>
      <w:numPr>
        <w:ilvl w:val="1"/>
        <w:numId w:val="1"/>
      </w:numPr>
      <w:contextualSpacing/>
      <w:outlineLvl w:val="1"/>
    </w:pPr>
    <w:rPr>
      <w:rFonts w:ascii="Verdana" w:eastAsiaTheme="minorEastAsia" w:hAnsi="Verdana" w:cstheme="minorBidi"/>
    </w:rPr>
  </w:style>
  <w:style w:type="paragraph" w:styleId="NoteLevel3">
    <w:name w:val="Note Level 3"/>
    <w:basedOn w:val="Normal"/>
    <w:uiPriority w:val="99"/>
    <w:unhideWhenUsed/>
    <w:rsid w:val="00A15A09"/>
    <w:pPr>
      <w:keepNext/>
      <w:numPr>
        <w:ilvl w:val="2"/>
        <w:numId w:val="1"/>
      </w:numPr>
      <w:contextualSpacing/>
      <w:outlineLvl w:val="2"/>
    </w:pPr>
    <w:rPr>
      <w:rFonts w:ascii="Verdana" w:eastAsiaTheme="minorEastAsia" w:hAnsi="Verdana" w:cstheme="minorBidi"/>
    </w:rPr>
  </w:style>
  <w:style w:type="paragraph" w:styleId="NoteLevel4">
    <w:name w:val="Note Level 4"/>
    <w:basedOn w:val="Normal"/>
    <w:uiPriority w:val="99"/>
    <w:unhideWhenUsed/>
    <w:rsid w:val="00A15A09"/>
    <w:pPr>
      <w:keepNext/>
      <w:numPr>
        <w:ilvl w:val="3"/>
        <w:numId w:val="1"/>
      </w:numPr>
      <w:contextualSpacing/>
      <w:outlineLvl w:val="3"/>
    </w:pPr>
    <w:rPr>
      <w:rFonts w:ascii="Verdana" w:eastAsiaTheme="minorEastAsia" w:hAnsi="Verdana" w:cstheme="minorBidi"/>
    </w:rPr>
  </w:style>
  <w:style w:type="paragraph" w:styleId="NoteLevel5">
    <w:name w:val="Note Level 5"/>
    <w:basedOn w:val="Normal"/>
    <w:uiPriority w:val="99"/>
    <w:unhideWhenUsed/>
    <w:rsid w:val="00A15A09"/>
    <w:pPr>
      <w:keepNext/>
      <w:numPr>
        <w:ilvl w:val="4"/>
        <w:numId w:val="1"/>
      </w:numPr>
      <w:contextualSpacing/>
      <w:outlineLvl w:val="4"/>
    </w:pPr>
    <w:rPr>
      <w:rFonts w:ascii="Verdana" w:eastAsiaTheme="minorEastAsia" w:hAnsi="Verdana" w:cstheme="minorBidi"/>
    </w:rPr>
  </w:style>
  <w:style w:type="paragraph" w:styleId="NoteLevel6">
    <w:name w:val="Note Level 6"/>
    <w:basedOn w:val="Normal"/>
    <w:uiPriority w:val="99"/>
    <w:unhideWhenUsed/>
    <w:rsid w:val="00A15A09"/>
    <w:pPr>
      <w:keepNext/>
      <w:numPr>
        <w:ilvl w:val="5"/>
        <w:numId w:val="1"/>
      </w:numPr>
      <w:contextualSpacing/>
      <w:outlineLvl w:val="5"/>
    </w:pPr>
    <w:rPr>
      <w:rFonts w:ascii="Verdana" w:eastAsiaTheme="minorEastAsia" w:hAnsi="Verdana" w:cstheme="minorBidi"/>
    </w:rPr>
  </w:style>
  <w:style w:type="paragraph" w:styleId="NoteLevel7">
    <w:name w:val="Note Level 7"/>
    <w:basedOn w:val="Normal"/>
    <w:uiPriority w:val="99"/>
    <w:unhideWhenUsed/>
    <w:rsid w:val="00A15A09"/>
    <w:pPr>
      <w:keepNext/>
      <w:numPr>
        <w:ilvl w:val="6"/>
        <w:numId w:val="1"/>
      </w:numPr>
      <w:contextualSpacing/>
      <w:outlineLvl w:val="6"/>
    </w:pPr>
    <w:rPr>
      <w:rFonts w:ascii="Verdana" w:eastAsiaTheme="minorEastAsia" w:hAnsi="Verdana" w:cstheme="minorBidi"/>
    </w:rPr>
  </w:style>
  <w:style w:type="paragraph" w:styleId="NoteLevel8">
    <w:name w:val="Note Level 8"/>
    <w:basedOn w:val="Normal"/>
    <w:uiPriority w:val="99"/>
    <w:unhideWhenUsed/>
    <w:rsid w:val="00A15A09"/>
    <w:pPr>
      <w:keepNext/>
      <w:numPr>
        <w:ilvl w:val="7"/>
        <w:numId w:val="1"/>
      </w:numPr>
      <w:contextualSpacing/>
      <w:outlineLvl w:val="7"/>
    </w:pPr>
    <w:rPr>
      <w:rFonts w:ascii="Verdana" w:eastAsiaTheme="minorEastAsia" w:hAnsi="Verdana" w:cstheme="minorBidi"/>
    </w:rPr>
  </w:style>
  <w:style w:type="paragraph" w:styleId="NoteLevel9">
    <w:name w:val="Note Level 9"/>
    <w:basedOn w:val="Normal"/>
    <w:uiPriority w:val="99"/>
    <w:unhideWhenUsed/>
    <w:rsid w:val="00A15A09"/>
    <w:pPr>
      <w:keepNext/>
      <w:numPr>
        <w:ilvl w:val="8"/>
        <w:numId w:val="1"/>
      </w:numPr>
      <w:contextualSpacing/>
      <w:outlineLvl w:val="8"/>
    </w:pPr>
    <w:rPr>
      <w:rFonts w:ascii="Verdana" w:eastAsiaTheme="minorEastAsia" w:hAnsi="Verdana" w:cstheme="minorBidi"/>
    </w:rPr>
  </w:style>
  <w:style w:type="paragraph" w:styleId="Bibliography">
    <w:name w:val="Bibliography"/>
    <w:basedOn w:val="Normal"/>
    <w:next w:val="Normal"/>
    <w:uiPriority w:val="37"/>
    <w:unhideWhenUsed/>
    <w:rsid w:val="00A15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1327</Words>
  <Characters>7544</Characters>
  <Application>Microsoft Macintosh Word</Application>
  <DocSecurity>0</DocSecurity>
  <Lines>145</Lines>
  <Paragraphs>24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References:</vt:lpstr>
      <vt:lpstr/>
      <vt:lpstr>Quinney’s Article. Peacemaking, (2015).</vt:lpstr>
      <vt:lpstr/>
      <vt:lpstr>Quinney, R. (1991).  The Way of Peace: On Crime, Suffering, and Service. Crimino</vt:lpstr>
    </vt:vector>
  </TitlesOfParts>
  <Manager/>
  <Company/>
  <LinksUpToDate>false</LinksUpToDate>
  <CharactersWithSpaces>8847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cp:revision>
  <dcterms:created xsi:type="dcterms:W3CDTF">2015-03-19T20:00:00Z</dcterms:created>
  <dcterms:modified xsi:type="dcterms:W3CDTF">2015-03-19T20:02:00Z</dcterms:modified>
  <cp:category/>
</cp:coreProperties>
</file>