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562" w:rsidRPr="004253F6" w:rsidRDefault="00DD6562" w:rsidP="00DD6562">
      <w:pPr>
        <w:jc w:val="both"/>
        <w:rPr>
          <w:b/>
          <w:sz w:val="28"/>
          <w:szCs w:val="28"/>
          <w:lang w:val="fr-CA"/>
        </w:rPr>
      </w:pPr>
      <w:r w:rsidRPr="004253F6">
        <w:rPr>
          <w:b/>
          <w:sz w:val="28"/>
          <w:szCs w:val="28"/>
          <w:lang w:val="fr-CA"/>
        </w:rPr>
        <w:t xml:space="preserve">Question 3 (90 minutes; 50 points) </w:t>
      </w:r>
    </w:p>
    <w:p w:rsidR="00DD6562" w:rsidRDefault="00DD6562" w:rsidP="00DD6562">
      <w:pPr>
        <w:jc w:val="both"/>
        <w:rPr>
          <w:lang w:val="fr-CA"/>
        </w:rPr>
      </w:pPr>
    </w:p>
    <w:p w:rsidR="00DD6562" w:rsidRDefault="00DD6562" w:rsidP="00DD6562">
      <w:pPr>
        <w:jc w:val="both"/>
        <w:rPr>
          <w:lang w:val="fr-CA"/>
        </w:rPr>
      </w:pPr>
      <w:r>
        <w:rPr>
          <w:lang w:val="fr-CA"/>
        </w:rPr>
        <w:t xml:space="preserve">Le gouvernement fédéral propose de modifier la </w:t>
      </w:r>
      <w:r w:rsidRPr="00D50299">
        <w:rPr>
          <w:i/>
          <w:lang w:val="fr-CA"/>
        </w:rPr>
        <w:t>Loi sur la Cour suprême</w:t>
      </w:r>
      <w:r>
        <w:rPr>
          <w:lang w:val="fr-CA"/>
        </w:rPr>
        <w:t xml:space="preserve"> pour renforcer davantage les fonctions d’appel de la Cour, notamment en supprimant le recours du gouvernement à la procédure du renvoi.  Le ministre de la Justice s’apprête à introduire à la Chambre des communes un projet de loi dont les dispositions auraient pour effet : (1) de changer le nom de la Cour suprême du Canada, qui s’appellerait dorénavant « la Cour générale d’appel du Canada »; (2) de modifier la composition actuelle de la Cour (composée de neuf juges dont trois proviennent du barreau du Québec) pour que la Cour auraient douze juges, dont cinq qui proviennent du barreau du Québec; (3) d’abroger l’art. 53 de la Loi, qui crée une compétence spéciale d’entendre et de statuer sur des renvois de questions constitutionnelles et autres proposées par le gouverneur en conseil ainsi que de rendre un avis consultatif (en forme de jugement) auprès du gouvernement sur ces questions. </w:t>
      </w:r>
    </w:p>
    <w:p w:rsidR="00DD6562" w:rsidRDefault="00DD6562" w:rsidP="00DD6562">
      <w:pPr>
        <w:jc w:val="both"/>
        <w:rPr>
          <w:lang w:val="fr-CA"/>
        </w:rPr>
      </w:pPr>
    </w:p>
    <w:p w:rsidR="00DD6562" w:rsidRDefault="00DD6562" w:rsidP="00DD6562">
      <w:pPr>
        <w:jc w:val="both"/>
        <w:rPr>
          <w:lang w:val="fr-CA"/>
        </w:rPr>
      </w:pPr>
      <w:r>
        <w:rPr>
          <w:lang w:val="fr-CA"/>
        </w:rPr>
        <w:t xml:space="preserve">Voici le texte des dispositions pertinentes  de la </w:t>
      </w:r>
      <w:r w:rsidRPr="00B3766F">
        <w:rPr>
          <w:i/>
          <w:lang w:val="fr-CA"/>
        </w:rPr>
        <w:t>Loi sur la Cour suprême</w:t>
      </w:r>
      <w:r>
        <w:rPr>
          <w:lang w:val="fr-CA"/>
        </w:rPr>
        <w:t xml:space="preserve"> (sans les modifications proposées ci-dessus):</w:t>
      </w:r>
    </w:p>
    <w:p w:rsidR="00DD6562" w:rsidRDefault="00DD6562" w:rsidP="00DD6562">
      <w:pPr>
        <w:jc w:val="both"/>
        <w:rPr>
          <w:lang w:val="fr-CA"/>
        </w:rPr>
      </w:pPr>
    </w:p>
    <w:p w:rsidR="00DD6562" w:rsidRPr="00085E49" w:rsidRDefault="00DD6562" w:rsidP="00DD6562">
      <w:pPr>
        <w:pStyle w:val="Titre1"/>
        <w:spacing w:before="336" w:after="168"/>
        <w:jc w:val="center"/>
        <w:rPr>
          <w:sz w:val="22"/>
          <w:szCs w:val="22"/>
          <w:lang w:val="fr-CA"/>
        </w:rPr>
      </w:pPr>
      <w:r w:rsidRPr="00085E49">
        <w:rPr>
          <w:sz w:val="22"/>
          <w:szCs w:val="22"/>
          <w:lang w:val="fr-CA"/>
        </w:rPr>
        <w:t>LA COUR</w:t>
      </w:r>
    </w:p>
    <w:p w:rsidR="00DD6562" w:rsidRPr="00085E49" w:rsidRDefault="00DD6562" w:rsidP="00DD6562">
      <w:pPr>
        <w:pStyle w:val="marginalnote"/>
        <w:rPr>
          <w:color w:val="auto"/>
          <w:sz w:val="22"/>
          <w:szCs w:val="22"/>
          <w:lang w:val="fr-CA"/>
        </w:rPr>
      </w:pPr>
      <w:bookmarkStart w:id="0" w:name="anchorse:3"/>
      <w:bookmarkStart w:id="1" w:name="aSec3"/>
      <w:bookmarkStart w:id="2" w:name="P8"/>
      <w:bookmarkEnd w:id="0"/>
      <w:bookmarkEnd w:id="1"/>
      <w:bookmarkEnd w:id="2"/>
      <w:r w:rsidRPr="00085E49">
        <w:rPr>
          <w:color w:val="auto"/>
          <w:sz w:val="22"/>
          <w:szCs w:val="22"/>
          <w:lang w:val="fr-CA"/>
        </w:rPr>
        <w:t>Maintien</w:t>
      </w:r>
    </w:p>
    <w:p w:rsidR="00DD6562" w:rsidRPr="00085E49" w:rsidRDefault="00DD6562" w:rsidP="00DD6562">
      <w:pPr>
        <w:pStyle w:val="secsubsec"/>
        <w:rPr>
          <w:sz w:val="22"/>
          <w:szCs w:val="22"/>
          <w:lang w:val="fr-CA"/>
        </w:rPr>
      </w:pPr>
      <w:r w:rsidRPr="00085E49">
        <w:rPr>
          <w:b/>
          <w:bCs/>
          <w:sz w:val="22"/>
          <w:szCs w:val="22"/>
          <w:lang w:val="fr-CA"/>
        </w:rPr>
        <w:t xml:space="preserve">3. </w:t>
      </w:r>
      <w:r w:rsidRPr="00085E49">
        <w:rPr>
          <w:sz w:val="22"/>
          <w:szCs w:val="22"/>
          <w:lang w:val="fr-CA"/>
        </w:rPr>
        <w:t>Tribunal de droit et d’</w:t>
      </w:r>
      <w:proofErr w:type="spellStart"/>
      <w:r w:rsidRPr="00085E49">
        <w:rPr>
          <w:sz w:val="22"/>
          <w:szCs w:val="22"/>
          <w:lang w:val="fr-CA"/>
        </w:rPr>
        <w:t>equity</w:t>
      </w:r>
      <w:proofErr w:type="spellEnd"/>
      <w:r w:rsidRPr="00085E49">
        <w:rPr>
          <w:sz w:val="22"/>
          <w:szCs w:val="22"/>
          <w:lang w:val="fr-CA"/>
        </w:rPr>
        <w:t xml:space="preserve"> du Canada, la Cour suprême du Canada est maintenue sous ce nom à titre de cour générale d’appel pour l’ensemble du pays et de tribunal additionnel propre à améliorer l’application du droit canadien. Elle continue d’être une cour d’archives. </w:t>
      </w:r>
    </w:p>
    <w:p w:rsidR="00DD6562" w:rsidRPr="00085E49" w:rsidRDefault="00DD6562" w:rsidP="00DD6562">
      <w:pPr>
        <w:pStyle w:val="Titre1"/>
        <w:spacing w:before="336" w:after="168"/>
        <w:jc w:val="center"/>
        <w:rPr>
          <w:sz w:val="22"/>
          <w:szCs w:val="22"/>
          <w:lang w:val="fr-CA"/>
        </w:rPr>
      </w:pPr>
      <w:bookmarkStart w:id="3" w:name="anchorbo-ga:s_4"/>
      <w:bookmarkStart w:id="4" w:name="P9"/>
      <w:bookmarkEnd w:id="3"/>
      <w:bookmarkEnd w:id="4"/>
      <w:r w:rsidRPr="00085E49">
        <w:rPr>
          <w:sz w:val="22"/>
          <w:szCs w:val="22"/>
          <w:lang w:val="fr-CA"/>
        </w:rPr>
        <w:t>LES JUGES</w:t>
      </w:r>
    </w:p>
    <w:p w:rsidR="00DD6562" w:rsidRPr="00085E49" w:rsidRDefault="00DD6562" w:rsidP="00DD6562">
      <w:pPr>
        <w:pStyle w:val="marginalnote"/>
        <w:rPr>
          <w:color w:val="auto"/>
          <w:sz w:val="22"/>
          <w:szCs w:val="22"/>
          <w:lang w:val="fr-CA"/>
        </w:rPr>
      </w:pPr>
      <w:r w:rsidRPr="00085E49">
        <w:rPr>
          <w:color w:val="auto"/>
          <w:sz w:val="22"/>
          <w:szCs w:val="22"/>
          <w:lang w:val="fr-CA"/>
        </w:rPr>
        <w:t>Composition de la Cour</w:t>
      </w:r>
    </w:p>
    <w:p w:rsidR="00DD6562" w:rsidRPr="00085E49" w:rsidRDefault="00DD6562" w:rsidP="00DD6562">
      <w:pPr>
        <w:pStyle w:val="secsubsec"/>
        <w:rPr>
          <w:sz w:val="22"/>
          <w:szCs w:val="22"/>
          <w:lang w:val="fr-CA"/>
        </w:rPr>
      </w:pPr>
      <w:r w:rsidRPr="00085E49">
        <w:rPr>
          <w:b/>
          <w:bCs/>
          <w:sz w:val="22"/>
          <w:szCs w:val="22"/>
          <w:lang w:val="fr-CA"/>
        </w:rPr>
        <w:t xml:space="preserve">4. </w:t>
      </w:r>
      <w:bookmarkStart w:id="5" w:name="anchorse:4-ss:_1_"/>
      <w:bookmarkEnd w:id="5"/>
      <w:r w:rsidRPr="00085E49">
        <w:rPr>
          <w:sz w:val="22"/>
          <w:szCs w:val="22"/>
          <w:lang w:val="fr-CA"/>
        </w:rPr>
        <w:t xml:space="preserve">(1) La Cour se compose du juge en chef, appelé juge en chef du Canada, et de huit juges puînés. </w:t>
      </w:r>
      <w:bookmarkStart w:id="6" w:name="anchorse:4-ss:_2_"/>
      <w:bookmarkStart w:id="7" w:name="P11"/>
      <w:bookmarkEnd w:id="6"/>
      <w:bookmarkEnd w:id="7"/>
    </w:p>
    <w:p w:rsidR="00DD6562" w:rsidRPr="00085E49" w:rsidRDefault="00DD6562" w:rsidP="00DD6562">
      <w:pPr>
        <w:pStyle w:val="marginalnote"/>
        <w:rPr>
          <w:color w:val="auto"/>
          <w:sz w:val="22"/>
          <w:szCs w:val="22"/>
          <w:lang w:val="fr-CA"/>
        </w:rPr>
      </w:pPr>
      <w:r w:rsidRPr="00085E49">
        <w:rPr>
          <w:color w:val="auto"/>
          <w:sz w:val="22"/>
          <w:szCs w:val="22"/>
          <w:lang w:val="fr-CA"/>
        </w:rPr>
        <w:t>Représentation du Québec</w:t>
      </w:r>
    </w:p>
    <w:p w:rsidR="00DD6562" w:rsidRPr="00085E49" w:rsidRDefault="00DD6562" w:rsidP="00DD6562">
      <w:pPr>
        <w:pStyle w:val="secsubsec"/>
        <w:rPr>
          <w:sz w:val="22"/>
          <w:szCs w:val="22"/>
          <w:lang w:val="fr-CA"/>
        </w:rPr>
      </w:pPr>
      <w:r w:rsidRPr="00085E49">
        <w:rPr>
          <w:b/>
          <w:bCs/>
          <w:sz w:val="22"/>
          <w:szCs w:val="22"/>
          <w:lang w:val="fr-CA"/>
        </w:rPr>
        <w:t xml:space="preserve">6. </w:t>
      </w:r>
      <w:r w:rsidRPr="00085E49">
        <w:rPr>
          <w:sz w:val="22"/>
          <w:szCs w:val="22"/>
          <w:lang w:val="fr-CA"/>
        </w:rPr>
        <w:t xml:space="preserve">Au moins trois des juges sont choisis parmi les juges de la Cour d’appel ou de la Cour supérieure de la province de Québec ou parmi les avocats de celle-ci. </w:t>
      </w:r>
    </w:p>
    <w:p w:rsidR="00DD6562" w:rsidRPr="00085E49" w:rsidRDefault="00DD6562" w:rsidP="00DD6562">
      <w:pPr>
        <w:pStyle w:val="marginalnote"/>
        <w:rPr>
          <w:color w:val="auto"/>
          <w:sz w:val="22"/>
          <w:szCs w:val="22"/>
          <w:lang w:val="fr-CA"/>
        </w:rPr>
      </w:pPr>
      <w:r w:rsidRPr="00085E49">
        <w:rPr>
          <w:color w:val="auto"/>
          <w:sz w:val="22"/>
          <w:szCs w:val="22"/>
          <w:lang w:val="fr-CA"/>
        </w:rPr>
        <w:t>Quorum</w:t>
      </w:r>
    </w:p>
    <w:p w:rsidR="00DD6562" w:rsidRPr="00085E49" w:rsidRDefault="00DD6562" w:rsidP="00DD6562">
      <w:pPr>
        <w:pStyle w:val="secsubsec"/>
        <w:rPr>
          <w:sz w:val="22"/>
          <w:szCs w:val="22"/>
          <w:lang w:val="fr-CA"/>
        </w:rPr>
      </w:pPr>
      <w:r w:rsidRPr="00085E49">
        <w:rPr>
          <w:b/>
          <w:bCs/>
          <w:sz w:val="22"/>
          <w:szCs w:val="22"/>
          <w:lang w:val="fr-CA"/>
        </w:rPr>
        <w:t xml:space="preserve">25. </w:t>
      </w:r>
      <w:r w:rsidRPr="00085E49">
        <w:rPr>
          <w:sz w:val="22"/>
          <w:szCs w:val="22"/>
          <w:lang w:val="fr-CA"/>
        </w:rPr>
        <w:t xml:space="preserve">Cinq juges constituent le quorum de la Cour. </w:t>
      </w:r>
    </w:p>
    <w:p w:rsidR="00DD6562" w:rsidRPr="00085E49" w:rsidRDefault="00DD6562" w:rsidP="00DD6562">
      <w:pPr>
        <w:pStyle w:val="Titre1"/>
        <w:spacing w:before="336" w:after="168"/>
        <w:jc w:val="center"/>
        <w:rPr>
          <w:sz w:val="22"/>
          <w:szCs w:val="22"/>
          <w:lang w:val="fr-CA"/>
        </w:rPr>
      </w:pPr>
      <w:r w:rsidRPr="00085E49">
        <w:rPr>
          <w:sz w:val="22"/>
          <w:szCs w:val="22"/>
          <w:lang w:val="fr-CA"/>
        </w:rPr>
        <w:t>JURIDICTION D’APPEL</w:t>
      </w:r>
    </w:p>
    <w:p w:rsidR="00DD6562" w:rsidRPr="00085E49" w:rsidRDefault="00DD6562" w:rsidP="00DD6562">
      <w:pPr>
        <w:pStyle w:val="marginalnote"/>
        <w:rPr>
          <w:color w:val="auto"/>
          <w:sz w:val="22"/>
          <w:szCs w:val="22"/>
          <w:lang w:val="fr-CA"/>
        </w:rPr>
      </w:pPr>
      <w:bookmarkStart w:id="8" w:name="anchorse:35"/>
      <w:bookmarkStart w:id="9" w:name="aSec35"/>
      <w:bookmarkStart w:id="10" w:name="P63"/>
      <w:bookmarkEnd w:id="8"/>
      <w:bookmarkEnd w:id="9"/>
      <w:bookmarkEnd w:id="10"/>
      <w:r w:rsidRPr="00085E49">
        <w:rPr>
          <w:color w:val="auto"/>
          <w:sz w:val="22"/>
          <w:szCs w:val="22"/>
          <w:lang w:val="fr-CA"/>
        </w:rPr>
        <w:t>Compétence nationale</w:t>
      </w:r>
    </w:p>
    <w:p w:rsidR="00DD6562" w:rsidRPr="00085E49" w:rsidRDefault="00DD6562" w:rsidP="00DD6562">
      <w:pPr>
        <w:pStyle w:val="secsubsec"/>
        <w:rPr>
          <w:sz w:val="22"/>
          <w:szCs w:val="22"/>
          <w:lang w:val="fr-CA"/>
        </w:rPr>
      </w:pPr>
      <w:r w:rsidRPr="00085E49">
        <w:rPr>
          <w:b/>
          <w:bCs/>
          <w:sz w:val="22"/>
          <w:szCs w:val="22"/>
          <w:lang w:val="fr-CA"/>
        </w:rPr>
        <w:t xml:space="preserve">35. </w:t>
      </w:r>
      <w:r w:rsidRPr="00085E49">
        <w:rPr>
          <w:sz w:val="22"/>
          <w:szCs w:val="22"/>
          <w:lang w:val="fr-CA"/>
        </w:rPr>
        <w:t xml:space="preserve">La Cour est la juridiction d’appel en matière civile et pénale pour l’ensemble du Canada. </w:t>
      </w:r>
    </w:p>
    <w:p w:rsidR="00DD6562" w:rsidRPr="00085E49" w:rsidRDefault="00DD6562" w:rsidP="00DD6562">
      <w:pPr>
        <w:pStyle w:val="Titre1"/>
        <w:spacing w:before="336" w:after="168"/>
        <w:jc w:val="center"/>
        <w:rPr>
          <w:sz w:val="22"/>
          <w:szCs w:val="22"/>
          <w:lang w:val="fr-CA"/>
        </w:rPr>
      </w:pPr>
      <w:r w:rsidRPr="00085E49">
        <w:rPr>
          <w:sz w:val="22"/>
          <w:szCs w:val="22"/>
          <w:lang w:val="fr-CA"/>
        </w:rPr>
        <w:t>JURIDICTION SPÉCIALE</w:t>
      </w:r>
    </w:p>
    <w:p w:rsidR="00DD6562" w:rsidRPr="00085E49" w:rsidRDefault="00DD6562" w:rsidP="00DD6562">
      <w:pPr>
        <w:pStyle w:val="Titre2"/>
        <w:spacing w:before="336" w:after="168"/>
        <w:jc w:val="center"/>
        <w:rPr>
          <w:rFonts w:ascii="Times New Roman" w:hAnsi="Times New Roman" w:cs="Times New Roman"/>
          <w:smallCaps/>
          <w:sz w:val="22"/>
          <w:szCs w:val="22"/>
          <w:lang w:val="fr-CA"/>
        </w:rPr>
      </w:pPr>
      <w:bookmarkStart w:id="11" w:name="anchorbo-ga:s_53-gb:s_53"/>
      <w:bookmarkStart w:id="12" w:name="P101"/>
      <w:bookmarkEnd w:id="11"/>
      <w:bookmarkEnd w:id="12"/>
      <w:r w:rsidRPr="00085E49">
        <w:rPr>
          <w:rFonts w:ascii="Times New Roman" w:hAnsi="Times New Roman" w:cs="Times New Roman"/>
          <w:smallCaps/>
          <w:sz w:val="22"/>
          <w:szCs w:val="22"/>
          <w:lang w:val="fr-CA"/>
        </w:rPr>
        <w:lastRenderedPageBreak/>
        <w:t>Renvois par le gouverneur en conseil</w:t>
      </w:r>
    </w:p>
    <w:p w:rsidR="00DD6562" w:rsidRPr="00085E49" w:rsidRDefault="00DD6562" w:rsidP="00090256">
      <w:pPr>
        <w:pStyle w:val="marginalnote"/>
        <w:jc w:val="both"/>
        <w:rPr>
          <w:color w:val="auto"/>
          <w:sz w:val="22"/>
          <w:szCs w:val="22"/>
          <w:lang w:val="fr-CA"/>
        </w:rPr>
      </w:pPr>
      <w:bookmarkStart w:id="13" w:name="anchorse:53"/>
      <w:bookmarkStart w:id="14" w:name="aSec53"/>
      <w:bookmarkStart w:id="15" w:name="P102"/>
      <w:bookmarkEnd w:id="13"/>
      <w:bookmarkEnd w:id="14"/>
      <w:bookmarkEnd w:id="15"/>
      <w:r w:rsidRPr="00085E49">
        <w:rPr>
          <w:color w:val="auto"/>
          <w:sz w:val="22"/>
          <w:szCs w:val="22"/>
          <w:lang w:val="fr-CA"/>
        </w:rPr>
        <w:t>Questions déférées pour avis</w:t>
      </w:r>
    </w:p>
    <w:p w:rsidR="00DD6562" w:rsidRPr="00085E49" w:rsidRDefault="00DD6562" w:rsidP="00090256">
      <w:pPr>
        <w:pStyle w:val="secsubsec"/>
        <w:jc w:val="both"/>
        <w:rPr>
          <w:sz w:val="22"/>
          <w:szCs w:val="22"/>
          <w:lang w:val="fr-CA"/>
        </w:rPr>
      </w:pPr>
      <w:r w:rsidRPr="00085E49">
        <w:rPr>
          <w:b/>
          <w:bCs/>
          <w:sz w:val="22"/>
          <w:szCs w:val="22"/>
          <w:lang w:val="fr-CA"/>
        </w:rPr>
        <w:t xml:space="preserve">53. </w:t>
      </w:r>
      <w:bookmarkStart w:id="16" w:name="anchorse:53-ss:_1_"/>
      <w:bookmarkEnd w:id="16"/>
      <w:r w:rsidRPr="00085E49">
        <w:rPr>
          <w:sz w:val="22"/>
          <w:szCs w:val="22"/>
          <w:lang w:val="fr-CA"/>
        </w:rPr>
        <w:t xml:space="preserve">(1) Le gouverneur en conseil peut soumettre au jugement de la Cour toute question importante de droit ou de fait touchant : </w:t>
      </w:r>
    </w:p>
    <w:p w:rsidR="00DD6562" w:rsidRPr="00085E49" w:rsidRDefault="00DD6562" w:rsidP="00090256">
      <w:pPr>
        <w:pStyle w:val="paragraph"/>
        <w:jc w:val="both"/>
        <w:rPr>
          <w:sz w:val="22"/>
          <w:szCs w:val="22"/>
          <w:lang w:val="fr-CA"/>
        </w:rPr>
      </w:pPr>
      <w:r w:rsidRPr="00085E49">
        <w:rPr>
          <w:rStyle w:val="italic1"/>
          <w:sz w:val="22"/>
          <w:szCs w:val="22"/>
          <w:lang w:val="fr-CA"/>
        </w:rPr>
        <w:t>a</w:t>
      </w:r>
      <w:r w:rsidRPr="00085E49">
        <w:rPr>
          <w:sz w:val="22"/>
          <w:szCs w:val="22"/>
          <w:lang w:val="fr-CA"/>
        </w:rPr>
        <w:t xml:space="preserve">) l’interprétation des </w:t>
      </w:r>
      <w:r w:rsidRPr="00085E49">
        <w:rPr>
          <w:rStyle w:val="italic1"/>
          <w:sz w:val="22"/>
          <w:szCs w:val="22"/>
          <w:lang w:val="fr-CA"/>
        </w:rPr>
        <w:t>Lois constitutionnelles</w:t>
      </w:r>
      <w:r w:rsidRPr="00085E49">
        <w:rPr>
          <w:sz w:val="22"/>
          <w:szCs w:val="22"/>
          <w:lang w:val="fr-CA"/>
        </w:rPr>
        <w:t>;</w:t>
      </w:r>
    </w:p>
    <w:p w:rsidR="00DD6562" w:rsidRPr="00085E49" w:rsidRDefault="00DD6562" w:rsidP="00090256">
      <w:pPr>
        <w:pStyle w:val="paragraph"/>
        <w:jc w:val="both"/>
        <w:rPr>
          <w:sz w:val="22"/>
          <w:szCs w:val="22"/>
          <w:lang w:val="fr-CA"/>
        </w:rPr>
      </w:pPr>
      <w:r w:rsidRPr="00085E49">
        <w:rPr>
          <w:rStyle w:val="italic1"/>
          <w:sz w:val="22"/>
          <w:szCs w:val="22"/>
          <w:lang w:val="fr-CA"/>
        </w:rPr>
        <w:t>b</w:t>
      </w:r>
      <w:r w:rsidRPr="00085E49">
        <w:rPr>
          <w:sz w:val="22"/>
          <w:szCs w:val="22"/>
          <w:lang w:val="fr-CA"/>
        </w:rPr>
        <w:t>) la constitutionnalité ou l’interprétation d’un texte législatif fédéral ou provincial;</w:t>
      </w:r>
    </w:p>
    <w:p w:rsidR="00DD6562" w:rsidRPr="00085E49" w:rsidRDefault="00DD6562" w:rsidP="00090256">
      <w:pPr>
        <w:pStyle w:val="paragraph"/>
        <w:jc w:val="both"/>
        <w:rPr>
          <w:sz w:val="22"/>
          <w:szCs w:val="22"/>
          <w:lang w:val="fr-CA"/>
        </w:rPr>
      </w:pPr>
      <w:r w:rsidRPr="00085E49">
        <w:rPr>
          <w:rStyle w:val="italic1"/>
          <w:sz w:val="22"/>
          <w:szCs w:val="22"/>
          <w:lang w:val="fr-CA"/>
        </w:rPr>
        <w:t>c</w:t>
      </w:r>
      <w:r w:rsidRPr="00085E49">
        <w:rPr>
          <w:sz w:val="22"/>
          <w:szCs w:val="22"/>
          <w:lang w:val="fr-CA"/>
        </w:rPr>
        <w:t xml:space="preserve">) la compétence d’appel en matière d’enseignement dévolue au gouverneur en conseil par la </w:t>
      </w:r>
      <w:r w:rsidRPr="00085E49">
        <w:rPr>
          <w:rStyle w:val="italic1"/>
          <w:sz w:val="22"/>
          <w:szCs w:val="22"/>
          <w:lang w:val="fr-CA"/>
        </w:rPr>
        <w:t>Loi constitutionnelle de 1867</w:t>
      </w:r>
      <w:r w:rsidRPr="00085E49">
        <w:rPr>
          <w:sz w:val="22"/>
          <w:szCs w:val="22"/>
          <w:lang w:val="fr-CA"/>
        </w:rPr>
        <w:t xml:space="preserve"> ou une autre loi;</w:t>
      </w:r>
    </w:p>
    <w:p w:rsidR="00DD6562" w:rsidRPr="00085E49" w:rsidRDefault="00DD6562" w:rsidP="00090256">
      <w:pPr>
        <w:pStyle w:val="paragraph"/>
        <w:jc w:val="both"/>
        <w:rPr>
          <w:sz w:val="22"/>
          <w:szCs w:val="22"/>
          <w:lang w:val="fr-CA"/>
        </w:rPr>
      </w:pPr>
      <w:r w:rsidRPr="00085E49">
        <w:rPr>
          <w:rStyle w:val="italic1"/>
          <w:sz w:val="22"/>
          <w:szCs w:val="22"/>
          <w:lang w:val="fr-CA"/>
        </w:rPr>
        <w:t>d</w:t>
      </w:r>
      <w:r w:rsidRPr="00085E49">
        <w:rPr>
          <w:sz w:val="22"/>
          <w:szCs w:val="22"/>
          <w:lang w:val="fr-CA"/>
        </w:rPr>
        <w:t>) les pouvoirs du Parlement canadien ou des législatures des provinces, ou de leurs gouvernements respectifs, indépendamment de leur exercice passé, présent ou futur.</w:t>
      </w:r>
    </w:p>
    <w:p w:rsidR="00DD6562" w:rsidRPr="00085E49" w:rsidRDefault="00DD6562" w:rsidP="00090256">
      <w:pPr>
        <w:pStyle w:val="marginalnote"/>
        <w:jc w:val="both"/>
        <w:rPr>
          <w:color w:val="auto"/>
          <w:sz w:val="22"/>
          <w:szCs w:val="22"/>
          <w:lang w:val="fr-CA"/>
        </w:rPr>
      </w:pPr>
      <w:bookmarkStart w:id="17" w:name="anchorse:53-ss:_2_"/>
      <w:bookmarkStart w:id="18" w:name="P103"/>
      <w:bookmarkEnd w:id="17"/>
      <w:bookmarkEnd w:id="18"/>
      <w:r w:rsidRPr="00085E49">
        <w:rPr>
          <w:color w:val="auto"/>
          <w:sz w:val="22"/>
          <w:szCs w:val="22"/>
          <w:lang w:val="fr-CA"/>
        </w:rPr>
        <w:t>Autres questions</w:t>
      </w:r>
    </w:p>
    <w:p w:rsidR="00DD6562" w:rsidRPr="00085E49" w:rsidRDefault="00DD6562" w:rsidP="00090256">
      <w:pPr>
        <w:jc w:val="both"/>
        <w:rPr>
          <w:sz w:val="22"/>
          <w:szCs w:val="22"/>
          <w:lang w:val="fr-CA"/>
        </w:rPr>
      </w:pPr>
      <w:r w:rsidRPr="00085E49">
        <w:rPr>
          <w:rStyle w:val="indentlabel1"/>
          <w:sz w:val="22"/>
          <w:szCs w:val="22"/>
          <w:lang w:val="fr-CA"/>
        </w:rPr>
        <w:t>(2)</w:t>
      </w:r>
      <w:r w:rsidRPr="00085E49">
        <w:rPr>
          <w:sz w:val="22"/>
          <w:szCs w:val="22"/>
          <w:lang w:val="fr-CA"/>
        </w:rPr>
        <w:t xml:space="preserve"> Le gouverneur en conseil peut en outre, s’il l’estime indiqué, déférer à la Cour toute question importante de droit ou de fait touchant toute autre matière, que celle-ci soit ou non, selon la Cour, du même ordre que les matières énumérées au paragraphe (1). </w:t>
      </w:r>
      <w:bookmarkStart w:id="19" w:name="anchorse:53-ss:_3_"/>
      <w:bookmarkStart w:id="20" w:name="P104"/>
      <w:bookmarkEnd w:id="19"/>
      <w:bookmarkEnd w:id="20"/>
    </w:p>
    <w:p w:rsidR="00DD6562" w:rsidRPr="00085E49" w:rsidRDefault="00DD6562" w:rsidP="00090256">
      <w:pPr>
        <w:pStyle w:val="marginalnote"/>
        <w:jc w:val="both"/>
        <w:rPr>
          <w:color w:val="auto"/>
          <w:sz w:val="22"/>
          <w:szCs w:val="22"/>
          <w:lang w:val="fr-CA"/>
        </w:rPr>
      </w:pPr>
      <w:r w:rsidRPr="00085E49">
        <w:rPr>
          <w:color w:val="auto"/>
          <w:sz w:val="22"/>
          <w:szCs w:val="22"/>
          <w:lang w:val="fr-CA"/>
        </w:rPr>
        <w:t>Questions réputées importantes</w:t>
      </w:r>
    </w:p>
    <w:p w:rsidR="00DD6562" w:rsidRPr="00085E49" w:rsidRDefault="00DD6562" w:rsidP="00090256">
      <w:pPr>
        <w:jc w:val="both"/>
        <w:rPr>
          <w:sz w:val="22"/>
          <w:szCs w:val="22"/>
          <w:lang w:val="fr-CA"/>
        </w:rPr>
      </w:pPr>
      <w:r w:rsidRPr="00085E49">
        <w:rPr>
          <w:rStyle w:val="indentlabel1"/>
          <w:sz w:val="22"/>
          <w:szCs w:val="22"/>
          <w:lang w:val="fr-CA"/>
        </w:rPr>
        <w:t>(3)</w:t>
      </w:r>
      <w:r w:rsidRPr="00085E49">
        <w:rPr>
          <w:sz w:val="22"/>
          <w:szCs w:val="22"/>
          <w:lang w:val="fr-CA"/>
        </w:rPr>
        <w:t xml:space="preserve"> Les questions touchant les matières visées aux paragraphes (1) et (2) sont d’office réputées être importantes quand elles sont ainsi déférées à la Cour par le gouverneur en conseil. </w:t>
      </w:r>
      <w:bookmarkStart w:id="21" w:name="anchorse:53-ss:_4_"/>
      <w:bookmarkStart w:id="22" w:name="P105"/>
      <w:bookmarkEnd w:id="21"/>
      <w:bookmarkEnd w:id="22"/>
    </w:p>
    <w:p w:rsidR="00DD6562" w:rsidRPr="00DD6562" w:rsidRDefault="00DD6562" w:rsidP="00090256">
      <w:pPr>
        <w:pStyle w:val="marginalnote"/>
        <w:jc w:val="both"/>
        <w:rPr>
          <w:color w:val="auto"/>
          <w:sz w:val="22"/>
          <w:szCs w:val="22"/>
          <w:lang w:val="fr-CA"/>
        </w:rPr>
      </w:pPr>
      <w:r w:rsidRPr="00DD6562">
        <w:rPr>
          <w:color w:val="auto"/>
          <w:sz w:val="22"/>
          <w:szCs w:val="22"/>
          <w:lang w:val="fr-CA"/>
        </w:rPr>
        <w:t>Avis de la Cour</w:t>
      </w:r>
    </w:p>
    <w:p w:rsidR="00DD6562" w:rsidRPr="00085E49" w:rsidRDefault="00DD6562" w:rsidP="00DD6562">
      <w:pPr>
        <w:jc w:val="both"/>
        <w:rPr>
          <w:sz w:val="22"/>
          <w:szCs w:val="22"/>
          <w:lang w:val="fr-CA"/>
        </w:rPr>
      </w:pPr>
      <w:r w:rsidRPr="00085E49">
        <w:rPr>
          <w:rStyle w:val="indentlabel1"/>
          <w:sz w:val="22"/>
          <w:szCs w:val="22"/>
          <w:lang w:val="fr-CA"/>
        </w:rPr>
        <w:t>(4)</w:t>
      </w:r>
      <w:r w:rsidRPr="00085E49">
        <w:rPr>
          <w:sz w:val="22"/>
          <w:szCs w:val="22"/>
          <w:lang w:val="fr-CA"/>
        </w:rPr>
        <w:t xml:space="preserve"> La Cour est tenue d’étudier tout renvoi fait aux termes des paragraphes (1) ou (2) et de répondre à chaque question qui lui est ainsi déférée. Elle transmet ensuite au gouverneur en conseil, pour son information, un avis certifié et motivé sur chacune des questions, de la même manière que dans le cas d’un jugement rendu sur appel porté devant elle; tout juge dont l’opinion diffère de celle de la majorité transmet pareillement son avis certifié et motivé.</w:t>
      </w:r>
    </w:p>
    <w:p w:rsidR="00DD6562" w:rsidRDefault="00DD6562" w:rsidP="00DD6562">
      <w:pPr>
        <w:jc w:val="both"/>
        <w:rPr>
          <w:lang w:val="fr-CA"/>
        </w:rPr>
      </w:pPr>
    </w:p>
    <w:p w:rsidR="00DD6562" w:rsidRPr="002E5E78" w:rsidRDefault="00DD6562" w:rsidP="00DD6562">
      <w:pPr>
        <w:jc w:val="both"/>
        <w:rPr>
          <w:b/>
          <w:i/>
          <w:lang w:val="fr-CA"/>
        </w:rPr>
      </w:pPr>
      <w:r w:rsidRPr="002E5E78">
        <w:rPr>
          <w:b/>
          <w:i/>
          <w:lang w:val="fr-CA"/>
        </w:rPr>
        <w:t>Questions</w:t>
      </w:r>
    </w:p>
    <w:p w:rsidR="00DD6562" w:rsidRDefault="00DD6562" w:rsidP="00DD6562">
      <w:pPr>
        <w:jc w:val="both"/>
        <w:rPr>
          <w:lang w:val="fr-CA"/>
        </w:rPr>
      </w:pPr>
    </w:p>
    <w:p w:rsidR="00DD6562" w:rsidRDefault="00DD6562" w:rsidP="00DD6562">
      <w:pPr>
        <w:jc w:val="both"/>
        <w:rPr>
          <w:lang w:val="fr-CA"/>
        </w:rPr>
      </w:pPr>
      <w:r>
        <w:rPr>
          <w:lang w:val="fr-CA"/>
        </w:rPr>
        <w:t xml:space="preserve">Vous êtes la conseillère ou le conseiller juridique du ministre de la Justice.  (1) Quels sont les principes constitutionnels pertinents que vous pourrez invoquer, soit pour soutenir la validité du projet de loi, soit pour exprimer vos préoccupations à cet égard au Ministre? (2) Quelles sont les dispositions des </w:t>
      </w:r>
      <w:r w:rsidRPr="00C10E84">
        <w:rPr>
          <w:i/>
          <w:lang w:val="fr-CA"/>
        </w:rPr>
        <w:t>Loi constitutionnelles de 1867 et 1982</w:t>
      </w:r>
      <w:r>
        <w:rPr>
          <w:lang w:val="fr-CA"/>
        </w:rPr>
        <w:t xml:space="preserve"> qui sont pertinentes lorsqu’il s’agit de la validité ou de l’inconstitutionnalité du projet de loi? (3) Votre réponse quant à la constitutionnalité (ou de l’inconstitutionnalité) du projet de loi serait-elle différente si le projet de loi proposait tout simplement d’abolir la Cour suprême du Canada? Motivez vos réponses (notamment en citant la jurisprudence). </w:t>
      </w:r>
    </w:p>
    <w:p w:rsidR="00DD6562" w:rsidRDefault="00DD6562" w:rsidP="00605B79">
      <w:pPr>
        <w:jc w:val="both"/>
        <w:rPr>
          <w:b/>
          <w:sz w:val="28"/>
          <w:szCs w:val="28"/>
          <w:lang w:val="fr-CA"/>
        </w:rPr>
      </w:pPr>
    </w:p>
    <w:p w:rsidR="00DD6562" w:rsidRDefault="00DD6562" w:rsidP="00605B79">
      <w:pPr>
        <w:jc w:val="both"/>
        <w:rPr>
          <w:b/>
          <w:sz w:val="28"/>
          <w:szCs w:val="28"/>
          <w:lang w:val="fr-CA"/>
        </w:rPr>
      </w:pPr>
    </w:p>
    <w:p w:rsidR="00605B79" w:rsidRDefault="00605B79" w:rsidP="00605B79">
      <w:pPr>
        <w:jc w:val="both"/>
        <w:rPr>
          <w:lang w:val="fr-CA"/>
        </w:rPr>
      </w:pPr>
      <w:r w:rsidRPr="004047F4">
        <w:rPr>
          <w:b/>
          <w:sz w:val="28"/>
          <w:szCs w:val="28"/>
          <w:lang w:val="fr-CA"/>
        </w:rPr>
        <w:lastRenderedPageBreak/>
        <w:t xml:space="preserve">Question </w:t>
      </w:r>
      <w:r>
        <w:rPr>
          <w:b/>
          <w:sz w:val="28"/>
          <w:szCs w:val="28"/>
          <w:lang w:val="fr-CA"/>
        </w:rPr>
        <w:t>2</w:t>
      </w:r>
      <w:r w:rsidRPr="004047F4">
        <w:rPr>
          <w:b/>
          <w:sz w:val="28"/>
          <w:szCs w:val="28"/>
          <w:lang w:val="fr-CA"/>
        </w:rPr>
        <w:t xml:space="preserve"> (90 minutes; 50 points) </w:t>
      </w:r>
      <w:r>
        <w:rPr>
          <w:b/>
          <w:sz w:val="28"/>
          <w:szCs w:val="28"/>
          <w:lang w:val="fr-CA"/>
        </w:rPr>
        <w:t xml:space="preserve">– Le fédéralisme et le partage des compétences législatives </w:t>
      </w:r>
    </w:p>
    <w:p w:rsidR="00605B79" w:rsidRDefault="00605B79" w:rsidP="00605B79">
      <w:pPr>
        <w:jc w:val="both"/>
        <w:rPr>
          <w:szCs w:val="24"/>
          <w:lang w:val="fr-CA"/>
        </w:rPr>
      </w:pPr>
    </w:p>
    <w:p w:rsidR="00605B79" w:rsidRDefault="00605B79" w:rsidP="00605B79">
      <w:pPr>
        <w:pStyle w:val="Textebrut"/>
        <w:jc w:val="both"/>
        <w:rPr>
          <w:rFonts w:ascii="Times New Roman" w:eastAsia="MS Mincho" w:hAnsi="Times New Roman"/>
          <w:sz w:val="24"/>
          <w:lang w:val="fr-CA"/>
        </w:rPr>
      </w:pPr>
      <w:r>
        <w:rPr>
          <w:rFonts w:ascii="Times New Roman" w:eastAsia="MS Mincho" w:hAnsi="Times New Roman"/>
          <w:sz w:val="24"/>
          <w:lang w:val="fr-CA"/>
        </w:rPr>
        <w:t xml:space="preserve">Les résidents de la municipalité de Sainte-Anne-des-Lacs se plaignent du bruit infernal et des odeurs nauséabondes occasionnés par les bateaux de plaisance qui se promènent partout dans les lacs et les autres cours d’eau navigables au sein du territoire de la municipalité. Supposons que le conseil municipal a donné suite aux plaintes de ses résidants en adoptant un règlement qui vise essentiellement à réserver la navigation à moteur sur les lacs avoisinants aux résidants de la municipalité. Le règlement municipal s’intitule </w:t>
      </w:r>
      <w:r w:rsidRPr="00632D03">
        <w:rPr>
          <w:rFonts w:ascii="Times New Roman" w:eastAsia="MS Mincho" w:hAnsi="Times New Roman"/>
          <w:i/>
          <w:sz w:val="24"/>
          <w:lang w:val="fr-CA"/>
        </w:rPr>
        <w:t>Règlement concernant les accès, la protection des berges et la sécurité nautique</w:t>
      </w:r>
      <w:r>
        <w:rPr>
          <w:rFonts w:ascii="Times New Roman" w:eastAsia="MS Mincho" w:hAnsi="Times New Roman"/>
          <w:sz w:val="24"/>
          <w:lang w:val="fr-CA"/>
        </w:rPr>
        <w:t>.  Voici le texte du préambule du règlement :</w:t>
      </w:r>
    </w:p>
    <w:p w:rsidR="00605B79" w:rsidRDefault="00605B79" w:rsidP="00605B79">
      <w:pPr>
        <w:pStyle w:val="Textebrut"/>
        <w:jc w:val="both"/>
        <w:rPr>
          <w:rFonts w:ascii="Times New Roman" w:eastAsia="MS Mincho" w:hAnsi="Times New Roman"/>
          <w:sz w:val="24"/>
          <w:lang w:val="fr-CA"/>
        </w:rPr>
      </w:pPr>
      <w:r>
        <w:rPr>
          <w:rFonts w:ascii="Times New Roman" w:eastAsia="MS Mincho" w:hAnsi="Times New Roman"/>
          <w:sz w:val="24"/>
          <w:lang w:val="fr-CA"/>
        </w:rPr>
        <w:t xml:space="preserve">    </w:t>
      </w:r>
    </w:p>
    <w:p w:rsidR="00605B79" w:rsidRPr="00085E49" w:rsidRDefault="00605B79" w:rsidP="00605B79">
      <w:pPr>
        <w:pStyle w:val="Textebrut"/>
        <w:ind w:left="1440"/>
        <w:jc w:val="both"/>
        <w:rPr>
          <w:rFonts w:ascii="Times New Roman" w:eastAsia="MS Mincho" w:hAnsi="Times New Roman"/>
          <w:sz w:val="22"/>
          <w:szCs w:val="22"/>
          <w:lang w:val="fr-CA"/>
        </w:rPr>
      </w:pPr>
      <w:r w:rsidRPr="00085E49">
        <w:rPr>
          <w:rFonts w:ascii="Times New Roman" w:eastAsia="MS Mincho" w:hAnsi="Times New Roman"/>
          <w:sz w:val="22"/>
          <w:szCs w:val="22"/>
          <w:lang w:val="fr-CA"/>
        </w:rPr>
        <w:t>ATTENDU :</w:t>
      </w:r>
    </w:p>
    <w:p w:rsidR="00605B79" w:rsidRPr="00085E49" w:rsidRDefault="00605B79" w:rsidP="00605B79">
      <w:pPr>
        <w:pStyle w:val="Textebrut"/>
        <w:ind w:left="1440"/>
        <w:jc w:val="both"/>
        <w:rPr>
          <w:rFonts w:ascii="Times New Roman" w:eastAsia="MS Mincho" w:hAnsi="Times New Roman"/>
          <w:sz w:val="22"/>
          <w:szCs w:val="22"/>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r w:rsidRPr="00085E49">
        <w:rPr>
          <w:rFonts w:ascii="Times New Roman" w:eastAsia="MS Mincho" w:hAnsi="Times New Roman"/>
          <w:sz w:val="22"/>
          <w:szCs w:val="22"/>
          <w:lang w:val="fr-CA"/>
        </w:rPr>
        <w:t>Qu</w:t>
      </w:r>
      <w:r>
        <w:rPr>
          <w:rFonts w:ascii="Times New Roman" w:eastAsia="MS Mincho" w:hAnsi="Times New Roman"/>
          <w:sz w:val="22"/>
          <w:szCs w:val="22"/>
          <w:lang w:val="fr-CA"/>
        </w:rPr>
        <w:t>’une embarcation motorisée n</w:t>
      </w:r>
      <w:r w:rsidRPr="00085E49">
        <w:rPr>
          <w:rFonts w:ascii="Times New Roman" w:eastAsia="MS Mincho" w:hAnsi="Times New Roman"/>
          <w:sz w:val="22"/>
          <w:szCs w:val="22"/>
          <w:lang w:val="fr-CA"/>
        </w:rPr>
        <w:t>e</w:t>
      </w:r>
      <w:r>
        <w:rPr>
          <w:rFonts w:ascii="Times New Roman" w:eastAsia="MS Mincho" w:hAnsi="Times New Roman"/>
          <w:sz w:val="22"/>
          <w:szCs w:val="22"/>
          <w:lang w:val="fr-CA"/>
        </w:rPr>
        <w:t xml:space="preserve"> peut être mise à l’eau pour accéder au lacs de la municipalité ainsi qu’à la rivière mitoyenne que par l’une des berges situées à Sainte-Anne-des-Lacs</w:t>
      </w:r>
      <w:r w:rsidRPr="00085E49">
        <w:rPr>
          <w:rFonts w:ascii="Times New Roman" w:eastAsia="MS Mincho" w:hAnsi="Times New Roman"/>
          <w:sz w:val="22"/>
          <w:szCs w:val="22"/>
          <w:lang w:val="fr-CA"/>
        </w:rPr>
        <w:t>;</w:t>
      </w:r>
    </w:p>
    <w:p w:rsidR="00605B79" w:rsidRPr="00085E49" w:rsidRDefault="00605B79" w:rsidP="00605B79">
      <w:pPr>
        <w:pStyle w:val="Textebrut"/>
        <w:ind w:left="1440"/>
        <w:jc w:val="both"/>
        <w:rPr>
          <w:rFonts w:ascii="Times New Roman" w:eastAsia="MS Mincho" w:hAnsi="Times New Roman"/>
          <w:sz w:val="22"/>
          <w:szCs w:val="22"/>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proofErr w:type="gramStart"/>
      <w:r w:rsidRPr="00085E49">
        <w:rPr>
          <w:rFonts w:ascii="Times New Roman" w:eastAsia="MS Mincho" w:hAnsi="Times New Roman"/>
          <w:sz w:val="22"/>
          <w:szCs w:val="22"/>
          <w:lang w:val="fr-CA"/>
        </w:rPr>
        <w:t>que</w:t>
      </w:r>
      <w:proofErr w:type="gramEnd"/>
      <w:r w:rsidRPr="00085E49">
        <w:rPr>
          <w:rFonts w:ascii="Times New Roman" w:eastAsia="MS Mincho" w:hAnsi="Times New Roman"/>
          <w:sz w:val="22"/>
          <w:szCs w:val="22"/>
          <w:lang w:val="fr-CA"/>
        </w:rPr>
        <w:t xml:space="preserve"> l</w:t>
      </w:r>
      <w:r>
        <w:rPr>
          <w:rFonts w:ascii="Times New Roman" w:eastAsia="MS Mincho" w:hAnsi="Times New Roman"/>
          <w:sz w:val="22"/>
          <w:szCs w:val="22"/>
          <w:lang w:val="fr-CA"/>
        </w:rPr>
        <w:t>’utilisation intensive des lacs a une incidence négative sur la qualité d’eau et des berges riveraines et nuit à la paix et au bien-être général sur le territoire de la municipalité;</w:t>
      </w:r>
    </w:p>
    <w:p w:rsidR="00605B79" w:rsidRPr="00085E49" w:rsidRDefault="00605B79" w:rsidP="00605B79">
      <w:pPr>
        <w:pStyle w:val="Textebrut"/>
        <w:ind w:left="1440"/>
        <w:jc w:val="both"/>
        <w:rPr>
          <w:rFonts w:ascii="Times New Roman" w:eastAsia="MS Mincho" w:hAnsi="Times New Roman"/>
          <w:sz w:val="22"/>
          <w:szCs w:val="22"/>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proofErr w:type="gramStart"/>
      <w:r w:rsidRPr="00085E49">
        <w:rPr>
          <w:rFonts w:ascii="Times New Roman" w:eastAsia="MS Mincho" w:hAnsi="Times New Roman"/>
          <w:sz w:val="22"/>
          <w:szCs w:val="22"/>
          <w:lang w:val="fr-CA"/>
        </w:rPr>
        <w:t>que</w:t>
      </w:r>
      <w:proofErr w:type="gramEnd"/>
      <w:r w:rsidRPr="00085E49">
        <w:rPr>
          <w:rFonts w:ascii="Times New Roman" w:eastAsia="MS Mincho" w:hAnsi="Times New Roman"/>
          <w:sz w:val="22"/>
          <w:szCs w:val="22"/>
          <w:lang w:val="fr-CA"/>
        </w:rPr>
        <w:t xml:space="preserve"> l</w:t>
      </w:r>
      <w:r>
        <w:rPr>
          <w:rFonts w:ascii="Times New Roman" w:eastAsia="MS Mincho" w:hAnsi="Times New Roman"/>
          <w:sz w:val="22"/>
          <w:szCs w:val="22"/>
          <w:lang w:val="fr-CA"/>
        </w:rPr>
        <w:t xml:space="preserve">a municipalité peut définir une nuisance et la faire supprimer par réglementation </w:t>
      </w:r>
      <w:r w:rsidRPr="00085E49">
        <w:rPr>
          <w:rFonts w:ascii="Times New Roman" w:eastAsia="MS Mincho" w:hAnsi="Times New Roman"/>
          <w:sz w:val="22"/>
          <w:szCs w:val="22"/>
          <w:lang w:val="fr-CA"/>
        </w:rPr>
        <w:t>e</w:t>
      </w:r>
      <w:r>
        <w:rPr>
          <w:rFonts w:ascii="Times New Roman" w:eastAsia="MS Mincho" w:hAnsi="Times New Roman"/>
          <w:sz w:val="22"/>
          <w:szCs w:val="22"/>
          <w:lang w:val="fr-CA"/>
        </w:rPr>
        <w:t>t prescrire des amendes à cet effet;</w:t>
      </w:r>
    </w:p>
    <w:p w:rsidR="00605B79" w:rsidRPr="00085E49" w:rsidRDefault="00605B79" w:rsidP="00605B79">
      <w:pPr>
        <w:pStyle w:val="Textebrut"/>
        <w:ind w:left="1440"/>
        <w:jc w:val="both"/>
        <w:rPr>
          <w:rFonts w:ascii="Times New Roman" w:eastAsia="MS Mincho" w:hAnsi="Times New Roman"/>
          <w:sz w:val="22"/>
          <w:szCs w:val="22"/>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proofErr w:type="gramStart"/>
      <w:r w:rsidRPr="00085E49">
        <w:rPr>
          <w:rFonts w:ascii="Times New Roman" w:eastAsia="MS Mincho" w:hAnsi="Times New Roman"/>
          <w:sz w:val="22"/>
          <w:szCs w:val="22"/>
          <w:lang w:val="fr-CA"/>
        </w:rPr>
        <w:t>qu</w:t>
      </w:r>
      <w:r>
        <w:rPr>
          <w:rFonts w:ascii="Times New Roman" w:eastAsia="MS Mincho" w:hAnsi="Times New Roman"/>
          <w:sz w:val="22"/>
          <w:szCs w:val="22"/>
          <w:lang w:val="fr-CA"/>
        </w:rPr>
        <w:t>e</w:t>
      </w:r>
      <w:proofErr w:type="gramEnd"/>
      <w:r>
        <w:rPr>
          <w:rFonts w:ascii="Times New Roman" w:eastAsia="MS Mincho" w:hAnsi="Times New Roman"/>
          <w:sz w:val="22"/>
          <w:szCs w:val="22"/>
          <w:lang w:val="fr-CA"/>
        </w:rPr>
        <w:t xml:space="preserve"> la municipalité peut réglementer l’accès aux lacs sur son territoire</w:t>
      </w:r>
      <w:r w:rsidRPr="00085E49">
        <w:rPr>
          <w:rFonts w:ascii="Times New Roman" w:eastAsia="MS Mincho" w:hAnsi="Times New Roman"/>
          <w:sz w:val="22"/>
          <w:szCs w:val="22"/>
          <w:lang w:val="fr-CA"/>
        </w:rPr>
        <w:t>;</w:t>
      </w:r>
    </w:p>
    <w:p w:rsidR="00605B79" w:rsidRPr="00085E49" w:rsidRDefault="00605B79" w:rsidP="00605B79">
      <w:pPr>
        <w:pStyle w:val="Textebrut"/>
        <w:ind w:left="1440"/>
        <w:jc w:val="both"/>
        <w:rPr>
          <w:rFonts w:ascii="Times New Roman" w:eastAsia="MS Mincho" w:hAnsi="Times New Roman"/>
          <w:sz w:val="22"/>
          <w:szCs w:val="22"/>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p>
    <w:p w:rsidR="00605B79" w:rsidRDefault="00605B79" w:rsidP="00605B79">
      <w:pPr>
        <w:pStyle w:val="Textebrut"/>
        <w:jc w:val="both"/>
        <w:rPr>
          <w:rFonts w:ascii="Times New Roman" w:eastAsia="MS Mincho" w:hAnsi="Times New Roman"/>
          <w:sz w:val="24"/>
          <w:lang w:val="fr-CA"/>
        </w:rPr>
      </w:pPr>
      <w:r>
        <w:rPr>
          <w:rFonts w:ascii="Times New Roman" w:eastAsia="MS Mincho" w:hAnsi="Times New Roman"/>
          <w:sz w:val="24"/>
          <w:lang w:val="fr-CA"/>
        </w:rPr>
        <w:t xml:space="preserve">Le règlement vise des embarcations motorisées (les bateaux à moteurs dont l’énergie provient d’essence et d’huile), des propriétaires riverains et les résidents, qui sont définis à l’article 2 du règlement :  </w:t>
      </w:r>
    </w:p>
    <w:p w:rsidR="00605B79" w:rsidRDefault="00605B79" w:rsidP="00605B79">
      <w:pPr>
        <w:pStyle w:val="Textebrut"/>
        <w:jc w:val="both"/>
        <w:rPr>
          <w:rFonts w:ascii="Times New Roman" w:eastAsia="MS Mincho" w:hAnsi="Times New Roman"/>
          <w:sz w:val="24"/>
          <w:lang w:val="fr-CA"/>
        </w:rPr>
      </w:pPr>
    </w:p>
    <w:p w:rsidR="00605B79" w:rsidRDefault="00605B79" w:rsidP="00605B79">
      <w:pPr>
        <w:autoSpaceDE w:val="0"/>
        <w:autoSpaceDN w:val="0"/>
        <w:adjustRightInd w:val="0"/>
        <w:ind w:left="1440"/>
        <w:jc w:val="both"/>
        <w:rPr>
          <w:sz w:val="22"/>
          <w:szCs w:val="22"/>
          <w:lang w:val="fr-CA"/>
        </w:rPr>
      </w:pPr>
      <w:r w:rsidRPr="00085E49">
        <w:rPr>
          <w:b/>
          <w:sz w:val="22"/>
          <w:szCs w:val="22"/>
          <w:lang w:val="fr-CA"/>
        </w:rPr>
        <w:t xml:space="preserve">2. </w:t>
      </w:r>
      <w:r>
        <w:rPr>
          <w:sz w:val="22"/>
          <w:szCs w:val="22"/>
          <w:lang w:val="fr-CA"/>
        </w:rPr>
        <w:t>Propriétaire riverain : Toute personne physique ou morale qui est propriétaire d’une propriété limitrophe aux lacs situés sur le territoire de la municipalité.</w:t>
      </w:r>
    </w:p>
    <w:p w:rsidR="00605B79" w:rsidRDefault="00605B79" w:rsidP="00605B79">
      <w:pPr>
        <w:autoSpaceDE w:val="0"/>
        <w:autoSpaceDN w:val="0"/>
        <w:adjustRightInd w:val="0"/>
        <w:ind w:left="1440"/>
        <w:jc w:val="both"/>
        <w:rPr>
          <w:sz w:val="22"/>
          <w:szCs w:val="22"/>
          <w:lang w:val="fr-CA"/>
        </w:rPr>
      </w:pPr>
    </w:p>
    <w:p w:rsidR="00605B79" w:rsidRPr="00085E49" w:rsidRDefault="00605B79" w:rsidP="00605B79">
      <w:pPr>
        <w:autoSpaceDE w:val="0"/>
        <w:autoSpaceDN w:val="0"/>
        <w:adjustRightInd w:val="0"/>
        <w:ind w:left="1440"/>
        <w:jc w:val="both"/>
        <w:rPr>
          <w:sz w:val="22"/>
          <w:szCs w:val="22"/>
          <w:lang w:val="fr-CA"/>
        </w:rPr>
      </w:pPr>
      <w:r>
        <w:rPr>
          <w:sz w:val="22"/>
          <w:szCs w:val="22"/>
          <w:lang w:val="fr-CA"/>
        </w:rPr>
        <w:t>Résidant : Toute personne contribuable sur le territoire de la municipalité à titre de propriétaire ou détenteur d’un bail de location d’une habitation d’une durée minimale de plus de soixante (60) jours.</w:t>
      </w:r>
    </w:p>
    <w:p w:rsidR="00605B79" w:rsidRDefault="00605B79" w:rsidP="00605B79">
      <w:pPr>
        <w:pStyle w:val="Textebrut"/>
        <w:jc w:val="both"/>
        <w:rPr>
          <w:rFonts w:ascii="Times New Roman" w:eastAsia="MS Mincho" w:hAnsi="Times New Roman"/>
          <w:sz w:val="24"/>
          <w:lang w:val="fr-CA"/>
        </w:rPr>
      </w:pPr>
    </w:p>
    <w:p w:rsidR="00605B79" w:rsidRDefault="00605B79" w:rsidP="00605B79">
      <w:pPr>
        <w:pStyle w:val="Textebrut"/>
        <w:jc w:val="both"/>
        <w:rPr>
          <w:rFonts w:ascii="Times New Roman" w:eastAsia="MS Mincho" w:hAnsi="Times New Roman"/>
          <w:sz w:val="24"/>
          <w:lang w:val="fr-CA"/>
        </w:rPr>
      </w:pPr>
      <w:r>
        <w:rPr>
          <w:rFonts w:ascii="Times New Roman" w:eastAsia="MS Mincho" w:hAnsi="Times New Roman"/>
          <w:sz w:val="24"/>
          <w:lang w:val="fr-CA"/>
        </w:rPr>
        <w:t>L’article 3 du règlement exige que</w:t>
      </w:r>
      <w:r w:rsidRPr="00EC07B2">
        <w:rPr>
          <w:rFonts w:ascii="Times New Roman" w:eastAsia="MS Mincho" w:hAnsi="Times New Roman"/>
          <w:sz w:val="24"/>
          <w:u w:val="single"/>
          <w:lang w:val="fr-CA"/>
        </w:rPr>
        <w:t xml:space="preserve"> l’accès aux lacs de la municipalité doive se faire par l’un des débarcadères municipaux</w:t>
      </w:r>
      <w:r>
        <w:rPr>
          <w:rFonts w:ascii="Times New Roman" w:eastAsia="MS Mincho" w:hAnsi="Times New Roman"/>
          <w:sz w:val="24"/>
          <w:lang w:val="fr-CA"/>
        </w:rPr>
        <w:t xml:space="preserve">. On prévoit à l’article 4 que «  </w:t>
      </w:r>
      <w:r w:rsidRPr="00EC07B2">
        <w:rPr>
          <w:rFonts w:ascii="Times New Roman" w:eastAsia="MS Mincho" w:hAnsi="Times New Roman"/>
          <w:sz w:val="24"/>
          <w:u w:val="single"/>
          <w:lang w:val="fr-CA"/>
        </w:rPr>
        <w:t>Seuls les résidents du territoire de la municipalité ont droit à l’utilisation des débarcadères municipaux</w:t>
      </w:r>
      <w:r>
        <w:rPr>
          <w:rFonts w:ascii="Times New Roman" w:eastAsia="MS Mincho" w:hAnsi="Times New Roman"/>
          <w:sz w:val="24"/>
          <w:lang w:val="fr-CA"/>
        </w:rPr>
        <w:t xml:space="preserve"> ». L’article 5 </w:t>
      </w:r>
      <w:r w:rsidRPr="00EC07B2">
        <w:rPr>
          <w:rFonts w:ascii="Times New Roman" w:eastAsia="MS Mincho" w:hAnsi="Times New Roman"/>
          <w:sz w:val="24"/>
          <w:u w:val="single"/>
          <w:lang w:val="fr-CA"/>
        </w:rPr>
        <w:t>prohibe tout débarcadère non autorisé par la municipalité</w:t>
      </w:r>
      <w:r>
        <w:rPr>
          <w:rFonts w:ascii="Times New Roman" w:eastAsia="MS Mincho" w:hAnsi="Times New Roman"/>
          <w:sz w:val="24"/>
          <w:lang w:val="fr-CA"/>
        </w:rPr>
        <w:t xml:space="preserve">. L’article 6 </w:t>
      </w:r>
      <w:r w:rsidRPr="00EC07B2">
        <w:rPr>
          <w:rFonts w:ascii="Times New Roman" w:eastAsia="MS Mincho" w:hAnsi="Times New Roman"/>
          <w:sz w:val="24"/>
          <w:u w:val="single"/>
          <w:lang w:val="fr-CA"/>
        </w:rPr>
        <w:t>interdit « l’utilisation d’un terrain</w:t>
      </w:r>
      <w:r>
        <w:rPr>
          <w:rFonts w:ascii="Times New Roman" w:eastAsia="MS Mincho" w:hAnsi="Times New Roman"/>
          <w:sz w:val="24"/>
          <w:lang w:val="fr-CA"/>
        </w:rPr>
        <w:t xml:space="preserve"> afin qu’une personne, </w:t>
      </w:r>
      <w:r w:rsidRPr="00EC07B2">
        <w:rPr>
          <w:rFonts w:ascii="Times New Roman" w:eastAsia="MS Mincho" w:hAnsi="Times New Roman"/>
          <w:sz w:val="24"/>
          <w:u w:val="single"/>
          <w:lang w:val="fr-CA"/>
        </w:rPr>
        <w:t>autre qu’un résidant ou un propriétaire riverain, ait accès au lac</w:t>
      </w:r>
      <w:r>
        <w:rPr>
          <w:rFonts w:ascii="Times New Roman" w:eastAsia="MS Mincho" w:hAnsi="Times New Roman"/>
          <w:sz w:val="24"/>
          <w:lang w:val="fr-CA"/>
        </w:rPr>
        <w:t xml:space="preserve"> avec une embarcation motorisée. » Article 8 rend obligatoire l’achat d’un permis de la municipalité pour la mise à l’eau d’une embarcation motorisée. Article 9 pose des </w:t>
      </w:r>
      <w:r w:rsidRPr="00EC07B2">
        <w:rPr>
          <w:rFonts w:ascii="Times New Roman" w:eastAsia="MS Mincho" w:hAnsi="Times New Roman"/>
          <w:sz w:val="24"/>
          <w:u w:val="single"/>
          <w:lang w:val="fr-CA"/>
        </w:rPr>
        <w:t xml:space="preserve">conditions d’octroi des permis </w:t>
      </w:r>
      <w:r>
        <w:rPr>
          <w:rFonts w:ascii="Times New Roman" w:eastAsia="MS Mincho" w:hAnsi="Times New Roman"/>
          <w:sz w:val="24"/>
          <w:lang w:val="fr-CA"/>
        </w:rPr>
        <w:t>d’accès au lac, dont la première est « </w:t>
      </w:r>
      <w:r w:rsidRPr="00EC07B2">
        <w:rPr>
          <w:rFonts w:ascii="Times New Roman" w:eastAsia="MS Mincho" w:hAnsi="Times New Roman"/>
          <w:sz w:val="24"/>
          <w:u w:val="single"/>
          <w:lang w:val="fr-CA"/>
        </w:rPr>
        <w:t>être résidant</w:t>
      </w:r>
      <w:r>
        <w:rPr>
          <w:rFonts w:ascii="Times New Roman" w:eastAsia="MS Mincho" w:hAnsi="Times New Roman"/>
          <w:sz w:val="24"/>
          <w:lang w:val="fr-CA"/>
        </w:rPr>
        <w:t xml:space="preserve"> au sens de l’article 2 ». Article 10 impose une pénalité aux contrevenants du règlement : « Quiconque contrevient à l’une des dispositions du présent règlement commet une infraction et est passible d’une amende de 100$ pour une première infraction et d’une amende de 200$ pour une récidive. »</w:t>
      </w:r>
    </w:p>
    <w:p w:rsidR="00605B79" w:rsidRDefault="00605B79" w:rsidP="00605B79">
      <w:pPr>
        <w:pStyle w:val="Textebrut"/>
        <w:jc w:val="both"/>
        <w:rPr>
          <w:rFonts w:ascii="Times New Roman" w:eastAsia="MS Mincho" w:hAnsi="Times New Roman"/>
          <w:sz w:val="24"/>
          <w:lang w:val="fr-CA"/>
        </w:rPr>
      </w:pPr>
      <w:bookmarkStart w:id="23" w:name="_GoBack"/>
      <w:bookmarkEnd w:id="23"/>
    </w:p>
    <w:p w:rsidR="00605B79" w:rsidRPr="00213EF6" w:rsidRDefault="00605B79" w:rsidP="00605B79">
      <w:pPr>
        <w:pStyle w:val="Textebrut"/>
        <w:jc w:val="both"/>
        <w:rPr>
          <w:rFonts w:ascii="Times New Roman" w:eastAsia="MS Mincho" w:hAnsi="Times New Roman"/>
          <w:sz w:val="24"/>
          <w:u w:val="single"/>
          <w:lang w:val="fr-CA"/>
        </w:rPr>
      </w:pPr>
      <w:r>
        <w:rPr>
          <w:rFonts w:ascii="Times New Roman" w:eastAsia="MS Mincho" w:hAnsi="Times New Roman"/>
          <w:sz w:val="24"/>
          <w:lang w:val="fr-CA"/>
        </w:rPr>
        <w:t xml:space="preserve">Le Parlement du Canada avait déjà édicté la </w:t>
      </w:r>
      <w:r w:rsidRPr="007335A6">
        <w:rPr>
          <w:rFonts w:ascii="Times New Roman" w:eastAsia="MS Mincho" w:hAnsi="Times New Roman"/>
          <w:i/>
          <w:sz w:val="24"/>
          <w:lang w:val="fr-CA"/>
        </w:rPr>
        <w:t>Loi sur la marine marchande</w:t>
      </w:r>
      <w:r>
        <w:rPr>
          <w:rFonts w:ascii="Times New Roman" w:eastAsia="MS Mincho" w:hAnsi="Times New Roman"/>
          <w:sz w:val="24"/>
          <w:lang w:val="fr-CA"/>
        </w:rPr>
        <w:t xml:space="preserve">, dont le par. 136(1) prévoit que « le gouverneur en conseil peut par règlement, sur recommandation du ministre des Transports […] (f) dans l’intérêt public et afin d’assurer la sécurité et l’efficacité de la navigation ou de protéger l’environnement, réglementer ou interdire la navigation, le mouillage et l’amarrage des bâtiments ». Le terme « bâtiment » est défini à l’art. 2 de la Loi, comme suit : « Navire, bateau ou embarcation utilisé pour la navigation sur l’eau. »  Le gouverneur en conseil a adopté le </w:t>
      </w:r>
      <w:r w:rsidRPr="007335A6">
        <w:rPr>
          <w:rFonts w:ascii="Times New Roman" w:eastAsia="MS Mincho" w:hAnsi="Times New Roman"/>
          <w:i/>
          <w:sz w:val="24"/>
          <w:lang w:val="fr-CA"/>
        </w:rPr>
        <w:t xml:space="preserve">Règlement sur les restrictions </w:t>
      </w:r>
      <w:r>
        <w:rPr>
          <w:rFonts w:ascii="Times New Roman" w:eastAsia="MS Mincho" w:hAnsi="Times New Roman"/>
          <w:i/>
          <w:sz w:val="24"/>
          <w:lang w:val="fr-CA"/>
        </w:rPr>
        <w:t>visant l’utilisation des bâtiments</w:t>
      </w:r>
      <w:r>
        <w:rPr>
          <w:rFonts w:ascii="Times New Roman" w:eastAsia="MS Mincho" w:hAnsi="Times New Roman"/>
          <w:sz w:val="24"/>
          <w:lang w:val="fr-CA"/>
        </w:rPr>
        <w:t xml:space="preserve">, qui .prévoit un mécanisme pour qu’une restriction à la navigation soit mise en vigueur sur un lac, une rivière ou autre plan d’eau donné. </w:t>
      </w:r>
      <w:r w:rsidRPr="00213EF6">
        <w:rPr>
          <w:rFonts w:ascii="Times New Roman" w:eastAsia="MS Mincho" w:hAnsi="Times New Roman"/>
          <w:sz w:val="24"/>
          <w:u w:val="single"/>
          <w:lang w:val="fr-CA"/>
        </w:rPr>
        <w:t>Une municipalité qui désire qu’un plan d’eau navigable soit assujetti à une restriction spécifique doit formuler une demande qui sera présentée pour l’approbation à l’autorité réglementaire fédérale.</w:t>
      </w:r>
    </w:p>
    <w:p w:rsidR="00605B79" w:rsidRDefault="00605B79" w:rsidP="00605B79">
      <w:pPr>
        <w:pStyle w:val="Textebrut"/>
        <w:jc w:val="both"/>
        <w:rPr>
          <w:rFonts w:ascii="Times New Roman" w:eastAsia="MS Mincho" w:hAnsi="Times New Roman"/>
          <w:sz w:val="24"/>
          <w:lang w:val="fr-CA"/>
        </w:rPr>
      </w:pPr>
    </w:p>
    <w:p w:rsidR="00605B79" w:rsidRDefault="00605B79" w:rsidP="00605B79">
      <w:pPr>
        <w:pStyle w:val="Textebrut"/>
        <w:jc w:val="both"/>
        <w:rPr>
          <w:rFonts w:ascii="Times New Roman" w:eastAsia="MS Mincho" w:hAnsi="Times New Roman"/>
          <w:sz w:val="24"/>
          <w:lang w:val="fr-CA"/>
        </w:rPr>
      </w:pPr>
      <w:r>
        <w:rPr>
          <w:rFonts w:ascii="Times New Roman" w:eastAsia="MS Mincho" w:hAnsi="Times New Roman"/>
          <w:sz w:val="24"/>
          <w:lang w:val="fr-CA"/>
        </w:rPr>
        <w:t>Le Règlement fédéral prévoit une série de restrictions qui peuvent être imposées sur les plans d’eau, et notamment les dispositions suivantes :</w:t>
      </w:r>
    </w:p>
    <w:p w:rsidR="00605B79" w:rsidRDefault="00605B79" w:rsidP="00605B79">
      <w:pPr>
        <w:pStyle w:val="Textebrut"/>
        <w:jc w:val="both"/>
        <w:rPr>
          <w:rFonts w:ascii="Times New Roman" w:eastAsia="MS Mincho" w:hAnsi="Times New Roman"/>
          <w:sz w:val="24"/>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r w:rsidRPr="00C964D6">
        <w:rPr>
          <w:rFonts w:ascii="Times New Roman" w:eastAsia="MS Mincho" w:hAnsi="Times New Roman"/>
          <w:b/>
          <w:sz w:val="22"/>
          <w:szCs w:val="22"/>
          <w:lang w:val="fr-CA"/>
        </w:rPr>
        <w:t>2.</w:t>
      </w:r>
      <w:r w:rsidRPr="00085E49">
        <w:rPr>
          <w:rFonts w:ascii="Times New Roman" w:eastAsia="MS Mincho" w:hAnsi="Times New Roman"/>
          <w:sz w:val="22"/>
          <w:szCs w:val="22"/>
          <w:lang w:val="fr-CA"/>
        </w:rPr>
        <w:t xml:space="preserve"> (1) </w:t>
      </w:r>
      <w:r>
        <w:rPr>
          <w:rFonts w:ascii="Times New Roman" w:eastAsia="MS Mincho" w:hAnsi="Times New Roman"/>
          <w:sz w:val="22"/>
          <w:szCs w:val="22"/>
          <w:lang w:val="fr-CA"/>
        </w:rPr>
        <w:t>Il est interdit d’utiliser un bâtiment dans les eaux indiquées, sauf en conformité avec ce règlement</w:t>
      </w:r>
      <w:r w:rsidRPr="00085E49">
        <w:rPr>
          <w:rFonts w:ascii="Times New Roman" w:eastAsia="MS Mincho" w:hAnsi="Times New Roman"/>
          <w:sz w:val="22"/>
          <w:szCs w:val="22"/>
          <w:lang w:val="fr-CA"/>
        </w:rPr>
        <w:t xml:space="preserve">.  </w:t>
      </w:r>
    </w:p>
    <w:p w:rsidR="00605B79" w:rsidRPr="00085E49" w:rsidRDefault="00605B79" w:rsidP="00605B79">
      <w:pPr>
        <w:pStyle w:val="Textebrut"/>
        <w:ind w:left="1440"/>
        <w:rPr>
          <w:rFonts w:ascii="Times New Roman" w:eastAsia="MS Mincho" w:hAnsi="Times New Roman"/>
          <w:sz w:val="22"/>
          <w:szCs w:val="22"/>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r w:rsidRPr="00085E49">
        <w:rPr>
          <w:rFonts w:ascii="Times New Roman" w:eastAsia="MS Mincho" w:hAnsi="Times New Roman"/>
          <w:sz w:val="22"/>
          <w:szCs w:val="22"/>
          <w:lang w:val="fr-CA"/>
        </w:rPr>
        <w:t>(2)</w:t>
      </w:r>
      <w:r>
        <w:rPr>
          <w:rFonts w:ascii="Times New Roman" w:eastAsia="MS Mincho" w:hAnsi="Times New Roman"/>
          <w:sz w:val="22"/>
          <w:szCs w:val="22"/>
          <w:lang w:val="fr-CA"/>
        </w:rPr>
        <w:t xml:space="preserve"> Il est interdit d’utiliser un bâtiment à propulsion mécanique ou à propulsion électrique dans les eaux indiquées, sauf en conformité avec ce règlement</w:t>
      </w:r>
      <w:r w:rsidRPr="00085E49">
        <w:rPr>
          <w:rFonts w:ascii="Times New Roman" w:eastAsia="MS Mincho" w:hAnsi="Times New Roman"/>
          <w:sz w:val="22"/>
          <w:szCs w:val="22"/>
          <w:lang w:val="fr-CA"/>
        </w:rPr>
        <w:t xml:space="preserve">. </w:t>
      </w:r>
    </w:p>
    <w:p w:rsidR="00605B79" w:rsidRPr="00085E49" w:rsidRDefault="00605B79" w:rsidP="00605B79">
      <w:pPr>
        <w:pStyle w:val="Textebrut"/>
        <w:ind w:left="1440"/>
        <w:rPr>
          <w:rFonts w:ascii="Times New Roman" w:eastAsia="MS Mincho" w:hAnsi="Times New Roman"/>
          <w:sz w:val="22"/>
          <w:szCs w:val="22"/>
          <w:lang w:val="fr-CA"/>
        </w:rPr>
      </w:pPr>
    </w:p>
    <w:p w:rsidR="00605B79" w:rsidRDefault="00605B79" w:rsidP="00605B79">
      <w:pPr>
        <w:pStyle w:val="Textebrut"/>
        <w:ind w:left="1440"/>
        <w:jc w:val="both"/>
        <w:rPr>
          <w:rFonts w:ascii="Times New Roman" w:eastAsia="MS Mincho" w:hAnsi="Times New Roman"/>
          <w:sz w:val="22"/>
          <w:szCs w:val="22"/>
          <w:lang w:val="fr-CA"/>
        </w:rPr>
      </w:pPr>
      <w:r w:rsidRPr="00085E49">
        <w:rPr>
          <w:rFonts w:ascii="Times New Roman" w:eastAsia="MS Mincho" w:hAnsi="Times New Roman"/>
          <w:sz w:val="22"/>
          <w:szCs w:val="22"/>
          <w:lang w:val="fr-CA"/>
        </w:rPr>
        <w:t xml:space="preserve">(3) </w:t>
      </w:r>
      <w:r>
        <w:rPr>
          <w:rFonts w:ascii="Times New Roman" w:eastAsia="MS Mincho" w:hAnsi="Times New Roman"/>
          <w:sz w:val="22"/>
          <w:szCs w:val="22"/>
          <w:lang w:val="fr-CA"/>
        </w:rPr>
        <w:t>Il est interdit d’utiliser à une vitesse supérieure à 10 km/h un bâtiment à propulsion mécanique à 30 m ou moins de la rive des eaux visées par ce règlement</w:t>
      </w:r>
      <w:r w:rsidRPr="00085E49">
        <w:rPr>
          <w:rFonts w:ascii="Times New Roman" w:eastAsia="MS Mincho" w:hAnsi="Times New Roman"/>
          <w:sz w:val="22"/>
          <w:szCs w:val="22"/>
          <w:lang w:val="fr-CA"/>
        </w:rPr>
        <w:t>.</w:t>
      </w:r>
    </w:p>
    <w:p w:rsidR="00605B79" w:rsidRDefault="00605B79" w:rsidP="00605B79">
      <w:pPr>
        <w:pStyle w:val="Textebrut"/>
        <w:ind w:left="1440"/>
        <w:jc w:val="both"/>
        <w:rPr>
          <w:rFonts w:ascii="Times New Roman" w:eastAsia="MS Mincho" w:hAnsi="Times New Roman"/>
          <w:sz w:val="22"/>
          <w:szCs w:val="22"/>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r>
        <w:rPr>
          <w:rFonts w:ascii="Times New Roman" w:eastAsia="MS Mincho" w:hAnsi="Times New Roman"/>
          <w:sz w:val="22"/>
          <w:szCs w:val="22"/>
          <w:lang w:val="fr-CA"/>
        </w:rPr>
        <w:t>(4) Il est interdit à toute personne de tenir une activité ou un événement sportif, récréatif ou public au cours duquel des bâtiments seront utilisés à une vitesse supérieure à la vitesse maximale prévue par le présent règlement pour ces eaux, à moins d’y être autorisée par un permis délivré par l’autorité désignée par le gouverneur en conseil.</w:t>
      </w:r>
    </w:p>
    <w:p w:rsidR="00605B79" w:rsidRDefault="00605B79" w:rsidP="00605B79">
      <w:pPr>
        <w:jc w:val="both"/>
        <w:rPr>
          <w:lang w:val="fr-CA"/>
        </w:rPr>
      </w:pPr>
    </w:p>
    <w:p w:rsidR="00605B79" w:rsidRDefault="00605B79" w:rsidP="00605B79">
      <w:pPr>
        <w:pStyle w:val="Textebrut"/>
        <w:jc w:val="both"/>
        <w:rPr>
          <w:rFonts w:ascii="Times New Roman" w:eastAsia="MS Mincho" w:hAnsi="Times New Roman"/>
          <w:sz w:val="24"/>
          <w:lang w:val="fr-CA"/>
        </w:rPr>
      </w:pPr>
      <w:r>
        <w:rPr>
          <w:rFonts w:ascii="Times New Roman" w:eastAsia="MS Mincho" w:hAnsi="Times New Roman"/>
          <w:b/>
          <w:bCs/>
          <w:i/>
          <w:iCs/>
          <w:sz w:val="24"/>
          <w:lang w:val="fr-CA"/>
        </w:rPr>
        <w:t>Questions à répondre</w:t>
      </w:r>
    </w:p>
    <w:p w:rsidR="00605B79" w:rsidRDefault="00605B79" w:rsidP="00605B79">
      <w:pPr>
        <w:pStyle w:val="Textebrut"/>
        <w:jc w:val="both"/>
        <w:rPr>
          <w:rFonts w:ascii="Times New Roman" w:eastAsia="MS Mincho" w:hAnsi="Times New Roman"/>
          <w:sz w:val="24"/>
          <w:lang w:val="fr-CA"/>
        </w:rPr>
      </w:pPr>
    </w:p>
    <w:p w:rsidR="00605B79" w:rsidRDefault="00605B79" w:rsidP="00605B79">
      <w:pPr>
        <w:jc w:val="both"/>
        <w:rPr>
          <w:rFonts w:eastAsia="MS Mincho"/>
          <w:lang w:val="fr-CA"/>
        </w:rPr>
      </w:pPr>
      <w:r>
        <w:rPr>
          <w:rFonts w:eastAsia="MS Mincho"/>
          <w:lang w:val="fr-CA"/>
        </w:rPr>
        <w:t xml:space="preserve">(1) Votre client exploite un hôtel fréquenté par des touristes à Sainte-Anne-des-Lacs. Il songe à poursuivre la municipalité en </w:t>
      </w:r>
      <w:r w:rsidRPr="00213EF6">
        <w:rPr>
          <w:rFonts w:eastAsia="MS Mincho"/>
          <w:u w:val="single"/>
          <w:lang w:val="fr-CA"/>
        </w:rPr>
        <w:t>contestant la validité constitutionnelle du règlement</w:t>
      </w:r>
      <w:r>
        <w:rPr>
          <w:rFonts w:eastAsia="MS Mincho"/>
          <w:lang w:val="fr-CA"/>
        </w:rPr>
        <w:t xml:space="preserve"> municipal. Compte tenu notamment des </w:t>
      </w:r>
      <w:r w:rsidRPr="00AC3FCD">
        <w:rPr>
          <w:rFonts w:eastAsia="MS Mincho"/>
          <w:u w:val="single"/>
          <w:lang w:val="fr-CA"/>
        </w:rPr>
        <w:t>principes constitutionnels et des règles d’interprétation applicables au partage des compétences</w:t>
      </w:r>
      <w:r>
        <w:rPr>
          <w:rFonts w:eastAsia="MS Mincho"/>
          <w:lang w:val="fr-CA"/>
        </w:rPr>
        <w:t xml:space="preserve"> législatives en vertu des article 91 et 92 de la </w:t>
      </w:r>
      <w:r>
        <w:rPr>
          <w:rFonts w:eastAsia="MS Mincho"/>
          <w:i/>
          <w:iCs/>
          <w:lang w:val="fr-CA"/>
        </w:rPr>
        <w:t>Loi constitutionnelle de 1867</w:t>
      </w:r>
      <w:r>
        <w:rPr>
          <w:rFonts w:eastAsia="MS Mincho"/>
          <w:lang w:val="fr-CA"/>
        </w:rPr>
        <w:t xml:space="preserve">, </w:t>
      </w:r>
      <w:r w:rsidRPr="00213EF6">
        <w:rPr>
          <w:rFonts w:eastAsia="MS Mincho"/>
          <w:u w:val="single"/>
          <w:lang w:val="fr-CA"/>
        </w:rPr>
        <w:t>quels sont les arguments</w:t>
      </w:r>
      <w:r>
        <w:rPr>
          <w:rFonts w:eastAsia="MS Mincho"/>
          <w:lang w:val="fr-CA"/>
        </w:rPr>
        <w:t xml:space="preserve"> que votre client pourrait faire valoir pour contester la validité du </w:t>
      </w:r>
      <w:r w:rsidRPr="00632D03">
        <w:rPr>
          <w:rFonts w:eastAsia="MS Mincho"/>
          <w:i/>
          <w:lang w:val="fr-CA"/>
        </w:rPr>
        <w:t>Règlement concernant les accès, la protection des berges et la sécurité nautique</w:t>
      </w:r>
      <w:r>
        <w:rPr>
          <w:rFonts w:eastAsia="MS Mincho"/>
          <w:lang w:val="fr-CA"/>
        </w:rPr>
        <w:t xml:space="preserve"> adopté par la municipalité? </w:t>
      </w:r>
    </w:p>
    <w:p w:rsidR="00AC3FCD" w:rsidRDefault="00AC3FCD" w:rsidP="00605B79">
      <w:pPr>
        <w:jc w:val="both"/>
        <w:rPr>
          <w:rFonts w:eastAsia="MS Mincho"/>
          <w:lang w:val="fr-CA"/>
        </w:rPr>
      </w:pPr>
    </w:p>
    <w:p w:rsidR="00AC3FCD" w:rsidRPr="00AC3FCD" w:rsidRDefault="00AC3FCD" w:rsidP="00605B79">
      <w:pPr>
        <w:jc w:val="both"/>
        <w:rPr>
          <w:rFonts w:eastAsia="MS Mincho"/>
          <w:i/>
          <w:lang w:val="fr-CA"/>
        </w:rPr>
      </w:pPr>
    </w:p>
    <w:p w:rsidR="00605B79" w:rsidRDefault="00605B79" w:rsidP="00605B79">
      <w:pPr>
        <w:jc w:val="both"/>
        <w:rPr>
          <w:rFonts w:eastAsia="MS Mincho"/>
          <w:lang w:val="fr-CA"/>
        </w:rPr>
      </w:pPr>
    </w:p>
    <w:p w:rsidR="00605B79" w:rsidRDefault="00605B79" w:rsidP="00605B79">
      <w:pPr>
        <w:jc w:val="both"/>
        <w:rPr>
          <w:rFonts w:eastAsia="MS Mincho"/>
          <w:lang w:val="fr-CA"/>
        </w:rPr>
      </w:pPr>
      <w:r>
        <w:rPr>
          <w:rFonts w:eastAsia="MS Mincho"/>
          <w:lang w:val="fr-CA"/>
        </w:rPr>
        <w:t xml:space="preserve"> (2) Quels sont les moyens que pourrait faire valoir la municipalité pour soutenir la validité de son règlement?</w:t>
      </w:r>
    </w:p>
    <w:p w:rsidR="00605B79" w:rsidRDefault="00605B79" w:rsidP="00605B79">
      <w:pPr>
        <w:jc w:val="both"/>
        <w:rPr>
          <w:rFonts w:eastAsia="MS Mincho"/>
          <w:lang w:val="fr-CA"/>
        </w:rPr>
      </w:pPr>
    </w:p>
    <w:p w:rsidR="00605B79" w:rsidRDefault="00605B79" w:rsidP="00605B79">
      <w:pPr>
        <w:jc w:val="both"/>
        <w:rPr>
          <w:rFonts w:eastAsia="MS Mincho"/>
          <w:lang w:val="fr-CA"/>
        </w:rPr>
      </w:pPr>
      <w:r w:rsidRPr="000A642F">
        <w:rPr>
          <w:rFonts w:eastAsia="MS Mincho"/>
          <w:b/>
          <w:i/>
          <w:lang w:val="fr-CA"/>
        </w:rPr>
        <w:t>Notez bien</w:t>
      </w:r>
      <w:r>
        <w:rPr>
          <w:rFonts w:eastAsia="MS Mincho"/>
          <w:lang w:val="fr-CA"/>
        </w:rPr>
        <w:t> </w:t>
      </w:r>
      <w:r w:rsidRPr="000A642F">
        <w:rPr>
          <w:rFonts w:eastAsia="MS Mincho"/>
          <w:u w:val="single"/>
          <w:lang w:val="fr-CA"/>
        </w:rPr>
        <w:t xml:space="preserve">: la validité </w:t>
      </w:r>
      <w:r>
        <w:rPr>
          <w:rFonts w:eastAsia="MS Mincho"/>
          <w:u w:val="single"/>
          <w:lang w:val="fr-CA"/>
        </w:rPr>
        <w:t>du règlement</w:t>
      </w:r>
      <w:r w:rsidRPr="000A642F">
        <w:rPr>
          <w:rFonts w:eastAsia="MS Mincho"/>
          <w:u w:val="single"/>
          <w:lang w:val="fr-CA"/>
        </w:rPr>
        <w:t xml:space="preserve"> </w:t>
      </w:r>
      <w:r>
        <w:rPr>
          <w:rFonts w:eastAsia="MS Mincho"/>
          <w:u w:val="single"/>
          <w:lang w:val="fr-CA"/>
        </w:rPr>
        <w:t>fédéral</w:t>
      </w:r>
      <w:r w:rsidRPr="000A642F">
        <w:rPr>
          <w:rFonts w:eastAsia="MS Mincho"/>
          <w:u w:val="single"/>
          <w:lang w:val="fr-CA"/>
        </w:rPr>
        <w:t xml:space="preserve"> n</w:t>
      </w:r>
      <w:r>
        <w:rPr>
          <w:rFonts w:eastAsia="MS Mincho"/>
          <w:u w:val="single"/>
          <w:lang w:val="fr-CA"/>
        </w:rPr>
        <w:t xml:space="preserve">’est </w:t>
      </w:r>
      <w:r w:rsidRPr="000A642F">
        <w:rPr>
          <w:rFonts w:eastAsia="MS Mincho"/>
          <w:u w:val="single"/>
          <w:lang w:val="fr-CA"/>
        </w:rPr>
        <w:t>pas contestée</w:t>
      </w:r>
      <w:r>
        <w:rPr>
          <w:rFonts w:eastAsia="MS Mincho"/>
          <w:u w:val="single"/>
          <w:lang w:val="fr-CA"/>
        </w:rPr>
        <w:t>; vous pouvez présumer, aux fins de votre réponse à la prochaine question, qu’il est valide</w:t>
      </w:r>
      <w:r>
        <w:rPr>
          <w:rFonts w:eastAsia="MS Mincho"/>
          <w:lang w:val="fr-CA"/>
        </w:rPr>
        <w:t xml:space="preserve">. </w:t>
      </w:r>
    </w:p>
    <w:p w:rsidR="00605B79" w:rsidRDefault="00605B79" w:rsidP="00605B79">
      <w:pPr>
        <w:jc w:val="both"/>
        <w:rPr>
          <w:rFonts w:eastAsia="MS Mincho"/>
          <w:lang w:val="fr-CA"/>
        </w:rPr>
      </w:pPr>
    </w:p>
    <w:p w:rsidR="00605B79" w:rsidRDefault="00605B79" w:rsidP="00605B79">
      <w:pPr>
        <w:jc w:val="both"/>
        <w:rPr>
          <w:rFonts w:eastAsia="MS Mincho"/>
          <w:lang w:val="fr-CA"/>
        </w:rPr>
      </w:pPr>
      <w:r>
        <w:rPr>
          <w:rFonts w:eastAsia="MS Mincho"/>
          <w:lang w:val="fr-CA"/>
        </w:rPr>
        <w:lastRenderedPageBreak/>
        <w:t>(3) Si le règlement fédéral est valide et le règlement municipal également (qui est, aux fins de l’analyse constitutionnelle, une loi provinciale), faut-il se soumettre aux deux régimes, compte tenu de la doctrine de la prépondérance ?</w:t>
      </w:r>
    </w:p>
    <w:p w:rsidR="00605B79" w:rsidRDefault="00605B79" w:rsidP="00605B79">
      <w:pPr>
        <w:jc w:val="both"/>
        <w:rPr>
          <w:b/>
          <w:i/>
          <w:lang w:val="fr-CA"/>
        </w:rPr>
      </w:pPr>
    </w:p>
    <w:p w:rsidR="00605B79" w:rsidRDefault="00605B79" w:rsidP="00605B79">
      <w:pPr>
        <w:jc w:val="both"/>
        <w:rPr>
          <w:rFonts w:eastAsia="MS Mincho"/>
          <w:lang w:val="fr-CA"/>
        </w:rPr>
      </w:pPr>
      <w:r>
        <w:rPr>
          <w:rFonts w:eastAsia="MS Mincho"/>
          <w:lang w:val="fr-CA"/>
        </w:rPr>
        <w:t>Motivez votre réponse en citant les principes et les dispositions constitutionnels ainsi que les règles d’interprétation et les arrêts de jurisprudence qui sont pertinents.</w:t>
      </w:r>
    </w:p>
    <w:p w:rsidR="00605B79" w:rsidRDefault="00605B79" w:rsidP="00605B79">
      <w:pPr>
        <w:jc w:val="both"/>
        <w:rPr>
          <w:lang w:val="fr-CA"/>
        </w:rPr>
      </w:pPr>
    </w:p>
    <w:p w:rsidR="00605B79" w:rsidRDefault="00605B79" w:rsidP="00605B79">
      <w:pPr>
        <w:jc w:val="both"/>
        <w:rPr>
          <w:lang w:val="fr-CA"/>
        </w:rPr>
      </w:pPr>
    </w:p>
    <w:p w:rsidR="00605B79" w:rsidRDefault="00605B79" w:rsidP="00605B79">
      <w:pPr>
        <w:jc w:val="both"/>
        <w:rPr>
          <w:lang w:val="fr-CA"/>
        </w:rPr>
      </w:pPr>
    </w:p>
    <w:p w:rsidR="00605B79" w:rsidRDefault="00605B79" w:rsidP="00605B79">
      <w:pPr>
        <w:jc w:val="both"/>
        <w:rPr>
          <w:b/>
          <w:sz w:val="28"/>
          <w:szCs w:val="28"/>
          <w:lang w:val="fr-CA"/>
        </w:rPr>
      </w:pPr>
      <w:r w:rsidRPr="004047F4">
        <w:rPr>
          <w:b/>
          <w:sz w:val="28"/>
          <w:szCs w:val="28"/>
          <w:lang w:val="fr-CA"/>
        </w:rPr>
        <w:t xml:space="preserve">Question </w:t>
      </w:r>
      <w:r>
        <w:rPr>
          <w:b/>
          <w:sz w:val="28"/>
          <w:szCs w:val="28"/>
          <w:lang w:val="fr-CA"/>
        </w:rPr>
        <w:t>2</w:t>
      </w:r>
      <w:r w:rsidRPr="004047F4">
        <w:rPr>
          <w:b/>
          <w:sz w:val="28"/>
          <w:szCs w:val="28"/>
          <w:lang w:val="fr-CA"/>
        </w:rPr>
        <w:t xml:space="preserve"> (90 minutes; 50 points) </w:t>
      </w:r>
      <w:r>
        <w:rPr>
          <w:b/>
          <w:sz w:val="28"/>
          <w:szCs w:val="28"/>
          <w:lang w:val="fr-CA"/>
        </w:rPr>
        <w:t xml:space="preserve">– Le fédéralisme et le partage des compétences législatives </w:t>
      </w:r>
    </w:p>
    <w:p w:rsidR="00605B79" w:rsidRDefault="00605B79" w:rsidP="00605B79">
      <w:pPr>
        <w:jc w:val="both"/>
        <w:rPr>
          <w:b/>
          <w:sz w:val="28"/>
          <w:szCs w:val="28"/>
          <w:lang w:val="fr-CA"/>
        </w:rPr>
      </w:pPr>
    </w:p>
    <w:p w:rsidR="00605B79" w:rsidRPr="00EF6172" w:rsidRDefault="00605B79" w:rsidP="00605B79">
      <w:pPr>
        <w:shd w:val="clear" w:color="auto" w:fill="FFFFFF"/>
        <w:jc w:val="both"/>
        <w:rPr>
          <w:szCs w:val="24"/>
          <w:lang w:val="fr-CA" w:eastAsia="en-CA"/>
        </w:rPr>
      </w:pPr>
      <w:r w:rsidRPr="002473F0">
        <w:rPr>
          <w:szCs w:val="24"/>
          <w:lang w:val="fr-CA"/>
        </w:rPr>
        <w:t xml:space="preserve">En 1995, le Parlement du Canada a édicté la </w:t>
      </w:r>
      <w:r w:rsidRPr="002473F0">
        <w:rPr>
          <w:i/>
          <w:szCs w:val="24"/>
          <w:lang w:val="fr-CA"/>
        </w:rPr>
        <w:t>Loi sur les armes à</w:t>
      </w:r>
      <w:r w:rsidRPr="002473F0">
        <w:rPr>
          <w:szCs w:val="24"/>
          <w:lang w:val="fr-CA"/>
        </w:rPr>
        <w:t xml:space="preserve"> </w:t>
      </w:r>
      <w:r w:rsidRPr="002473F0">
        <w:rPr>
          <w:i/>
          <w:szCs w:val="24"/>
          <w:lang w:val="fr-CA"/>
        </w:rPr>
        <w:t>feu</w:t>
      </w:r>
      <w:r>
        <w:rPr>
          <w:i/>
          <w:szCs w:val="24"/>
          <w:lang w:val="fr-CA"/>
        </w:rPr>
        <w:t xml:space="preserve"> </w:t>
      </w:r>
      <w:r>
        <w:rPr>
          <w:szCs w:val="24"/>
          <w:lang w:val="fr-CA"/>
        </w:rPr>
        <w:t xml:space="preserve">(en anglais, la loi s’intitule : </w:t>
      </w:r>
      <w:r w:rsidRPr="00E6779C">
        <w:rPr>
          <w:i/>
          <w:szCs w:val="24"/>
          <w:lang w:val="fr-CA"/>
        </w:rPr>
        <w:t>The</w:t>
      </w:r>
      <w:r>
        <w:rPr>
          <w:szCs w:val="24"/>
          <w:lang w:val="fr-CA"/>
        </w:rPr>
        <w:t xml:space="preserve"> </w:t>
      </w:r>
      <w:proofErr w:type="spellStart"/>
      <w:r w:rsidRPr="007D442F">
        <w:rPr>
          <w:i/>
          <w:szCs w:val="24"/>
          <w:lang w:val="fr-CA"/>
        </w:rPr>
        <w:t>Firearms</w:t>
      </w:r>
      <w:proofErr w:type="spellEnd"/>
      <w:r w:rsidRPr="007D442F">
        <w:rPr>
          <w:i/>
          <w:szCs w:val="24"/>
          <w:lang w:val="fr-CA"/>
        </w:rPr>
        <w:t xml:space="preserve"> </w:t>
      </w:r>
      <w:proofErr w:type="spellStart"/>
      <w:r w:rsidRPr="007D442F">
        <w:rPr>
          <w:i/>
          <w:szCs w:val="24"/>
          <w:lang w:val="fr-CA"/>
        </w:rPr>
        <w:t>Act</w:t>
      </w:r>
      <w:proofErr w:type="spellEnd"/>
      <w:r>
        <w:rPr>
          <w:szCs w:val="24"/>
          <w:lang w:val="fr-CA"/>
        </w:rPr>
        <w:t>)</w:t>
      </w:r>
      <w:r w:rsidRPr="002473F0">
        <w:rPr>
          <w:szCs w:val="24"/>
          <w:lang w:val="fr-CA"/>
        </w:rPr>
        <w:t xml:space="preserve">.  La </w:t>
      </w:r>
      <w:r w:rsidRPr="002473F0">
        <w:rPr>
          <w:i/>
          <w:szCs w:val="24"/>
          <w:lang w:val="fr-CA"/>
        </w:rPr>
        <w:t>Loi sur les armes à feu</w:t>
      </w:r>
      <w:r w:rsidRPr="002473F0">
        <w:rPr>
          <w:szCs w:val="24"/>
          <w:lang w:val="fr-CA"/>
        </w:rPr>
        <w:t xml:space="preserve"> </w:t>
      </w:r>
      <w:r>
        <w:rPr>
          <w:szCs w:val="24"/>
          <w:lang w:val="fr-CA"/>
        </w:rPr>
        <w:t xml:space="preserve">avait </w:t>
      </w:r>
      <w:r w:rsidRPr="002473F0">
        <w:rPr>
          <w:szCs w:val="24"/>
          <w:lang w:val="fr-CA"/>
        </w:rPr>
        <w:t>oblig</w:t>
      </w:r>
      <w:r>
        <w:rPr>
          <w:szCs w:val="24"/>
          <w:lang w:val="fr-CA"/>
        </w:rPr>
        <w:t>é</w:t>
      </w:r>
      <w:r w:rsidRPr="002473F0">
        <w:rPr>
          <w:szCs w:val="24"/>
          <w:lang w:val="fr-CA"/>
        </w:rPr>
        <w:t xml:space="preserve"> </w:t>
      </w:r>
      <w:r w:rsidRPr="002473F0">
        <w:rPr>
          <w:lang w:val="fr-CA"/>
        </w:rPr>
        <w:t>tous les détenteurs d’armes à feu à obtenir un permis et à enregistrer leurs armes.  La validité constitutionnelle de cette loi fut l’objet d’un avis rendu par la Cour suprême du Canada en 2000</w:t>
      </w:r>
      <w:r>
        <w:rPr>
          <w:szCs w:val="24"/>
          <w:lang w:val="fr-CA" w:eastAsia="en-CA"/>
        </w:rPr>
        <w:t xml:space="preserve">. En 2012, le Parlement du Canada a adopté le projet de loi C-19, </w:t>
      </w:r>
      <w:r w:rsidRPr="001A706B">
        <w:rPr>
          <w:i/>
          <w:szCs w:val="24"/>
          <w:lang w:val="fr-CA" w:eastAsia="en-CA"/>
        </w:rPr>
        <w:t>Loi sur l’abolition du registre des armes d’épaule</w:t>
      </w:r>
      <w:r>
        <w:rPr>
          <w:szCs w:val="24"/>
          <w:lang w:val="fr-CA" w:eastAsia="en-CA"/>
        </w:rPr>
        <w:t xml:space="preserve">  (en anglais : </w:t>
      </w:r>
      <w:proofErr w:type="spellStart"/>
      <w:r w:rsidRPr="001A706B">
        <w:rPr>
          <w:i/>
          <w:szCs w:val="24"/>
          <w:lang w:val="fr-CA" w:eastAsia="en-CA"/>
        </w:rPr>
        <w:t>Ending</w:t>
      </w:r>
      <w:proofErr w:type="spellEnd"/>
      <w:r w:rsidRPr="001A706B">
        <w:rPr>
          <w:i/>
          <w:szCs w:val="24"/>
          <w:lang w:val="fr-CA" w:eastAsia="en-CA"/>
        </w:rPr>
        <w:t xml:space="preserve"> the Long-gun </w:t>
      </w:r>
      <w:proofErr w:type="spellStart"/>
      <w:r w:rsidRPr="001A706B">
        <w:rPr>
          <w:i/>
          <w:szCs w:val="24"/>
          <w:lang w:val="fr-CA" w:eastAsia="en-CA"/>
        </w:rPr>
        <w:t>Registry</w:t>
      </w:r>
      <w:proofErr w:type="spellEnd"/>
      <w:r w:rsidRPr="001A706B">
        <w:rPr>
          <w:i/>
          <w:szCs w:val="24"/>
          <w:lang w:val="fr-CA" w:eastAsia="en-CA"/>
        </w:rPr>
        <w:t xml:space="preserve"> </w:t>
      </w:r>
      <w:proofErr w:type="spellStart"/>
      <w:r w:rsidRPr="001A706B">
        <w:rPr>
          <w:i/>
          <w:szCs w:val="24"/>
          <w:lang w:val="fr-CA" w:eastAsia="en-CA"/>
        </w:rPr>
        <w:t>Act</w:t>
      </w:r>
      <w:proofErr w:type="spellEnd"/>
      <w:r>
        <w:rPr>
          <w:szCs w:val="24"/>
          <w:lang w:val="fr-CA" w:eastAsia="en-CA"/>
        </w:rPr>
        <w:t xml:space="preserve">). </w:t>
      </w:r>
      <w:r w:rsidRPr="00EF6172">
        <w:rPr>
          <w:szCs w:val="24"/>
          <w:lang w:val="fr-CA" w:eastAsia="en-CA"/>
        </w:rPr>
        <w:t xml:space="preserve">Selon le sommaire, ce texte </w:t>
      </w:r>
      <w:r>
        <w:rPr>
          <w:szCs w:val="24"/>
          <w:lang w:val="fr-CA" w:eastAsia="en-CA"/>
        </w:rPr>
        <w:t xml:space="preserve">modifie le </w:t>
      </w:r>
      <w:r w:rsidRPr="008D06F2">
        <w:rPr>
          <w:i/>
          <w:szCs w:val="24"/>
          <w:lang w:val="fr-CA" w:eastAsia="en-CA"/>
        </w:rPr>
        <w:t>Code criminel</w:t>
      </w:r>
      <w:r>
        <w:rPr>
          <w:szCs w:val="24"/>
          <w:lang w:val="fr-CA" w:eastAsia="en-CA"/>
        </w:rPr>
        <w:t xml:space="preserve"> et la </w:t>
      </w:r>
      <w:r w:rsidRPr="008D06F2">
        <w:rPr>
          <w:i/>
          <w:szCs w:val="24"/>
          <w:lang w:val="fr-CA" w:eastAsia="en-CA"/>
        </w:rPr>
        <w:t>Loi sur les armes à feu</w:t>
      </w:r>
      <w:r>
        <w:rPr>
          <w:szCs w:val="24"/>
          <w:lang w:val="fr-CA" w:eastAsia="en-CA"/>
        </w:rPr>
        <w:t xml:space="preserve"> </w:t>
      </w:r>
      <w:r w:rsidRPr="00EF6172">
        <w:rPr>
          <w:szCs w:val="24"/>
          <w:lang w:val="fr-FR"/>
        </w:rPr>
        <w:t>afin de supprimer l’obligation d’enregistrer les armes à feu autres que les armes à feu prohibées ou les armes à feu à autorisation restreinte. Il prévoit également la destruction des registres et fichiers relatifs à l’enregistrement des armes à feu autres que les armes à feu prohibées ou les armes à feu à autorisation restreinte qui se trouvent dans le Registre canadien des armes à feu et relèvent des contrôleurs des armes à feu.</w:t>
      </w:r>
    </w:p>
    <w:p w:rsidR="00605B79" w:rsidRPr="00EF6172" w:rsidRDefault="00605B79" w:rsidP="00605B79">
      <w:pPr>
        <w:shd w:val="clear" w:color="auto" w:fill="FFFFFF"/>
        <w:jc w:val="both"/>
        <w:rPr>
          <w:szCs w:val="24"/>
          <w:lang w:val="fr-CA" w:eastAsia="en-CA"/>
        </w:rPr>
      </w:pPr>
    </w:p>
    <w:p w:rsidR="00605B79" w:rsidRDefault="00605B79" w:rsidP="00605B79">
      <w:pPr>
        <w:shd w:val="clear" w:color="auto" w:fill="FFFFFF"/>
        <w:jc w:val="both"/>
        <w:rPr>
          <w:lang w:val="fr-CA"/>
        </w:rPr>
      </w:pPr>
      <w:r>
        <w:rPr>
          <w:lang w:val="fr-CA"/>
        </w:rPr>
        <w:t xml:space="preserve">En 2007, la Législature du Québec a édicté la </w:t>
      </w:r>
      <w:r w:rsidRPr="008A2CF4">
        <w:rPr>
          <w:i/>
          <w:lang w:val="fr-CA"/>
        </w:rPr>
        <w:t>Loi visant à favoriser la protection des personnes à</w:t>
      </w:r>
      <w:r>
        <w:rPr>
          <w:lang w:val="fr-CA"/>
        </w:rPr>
        <w:t xml:space="preserve"> </w:t>
      </w:r>
      <w:r w:rsidRPr="008A2CF4">
        <w:rPr>
          <w:i/>
          <w:lang w:val="fr-CA"/>
        </w:rPr>
        <w:t>l’égard d’une activité impliquant des armes à feu</w:t>
      </w:r>
      <w:r>
        <w:rPr>
          <w:lang w:val="fr-CA"/>
        </w:rPr>
        <w:t xml:space="preserve">. </w:t>
      </w:r>
      <w:r w:rsidRPr="00506A30">
        <w:t>(</w:t>
      </w:r>
      <w:proofErr w:type="spellStart"/>
      <w:r w:rsidRPr="00506A30">
        <w:t>En</w:t>
      </w:r>
      <w:proofErr w:type="spellEnd"/>
      <w:r w:rsidRPr="00506A30">
        <w:t xml:space="preserve"> </w:t>
      </w:r>
      <w:proofErr w:type="spellStart"/>
      <w:r w:rsidRPr="00506A30">
        <w:t>anglais</w:t>
      </w:r>
      <w:proofErr w:type="spellEnd"/>
      <w:r w:rsidRPr="00506A30">
        <w:t xml:space="preserve">, la </w:t>
      </w:r>
      <w:proofErr w:type="spellStart"/>
      <w:r w:rsidRPr="00506A30">
        <w:t>Loi</w:t>
      </w:r>
      <w:proofErr w:type="spellEnd"/>
      <w:r w:rsidRPr="00506A30">
        <w:t xml:space="preserve"> </w:t>
      </w:r>
      <w:proofErr w:type="spellStart"/>
      <w:r w:rsidRPr="00506A30">
        <w:t>s’intitule</w:t>
      </w:r>
      <w:proofErr w:type="spellEnd"/>
      <w:r w:rsidRPr="00506A30">
        <w:t xml:space="preserve">: </w:t>
      </w:r>
      <w:r w:rsidRPr="008A2CF4">
        <w:rPr>
          <w:i/>
        </w:rPr>
        <w:t>An Act to protect persons with regard to activities involving</w:t>
      </w:r>
      <w:r w:rsidRPr="00506A30">
        <w:t xml:space="preserve"> </w:t>
      </w:r>
      <w:r w:rsidRPr="008A2CF4">
        <w:rPr>
          <w:i/>
        </w:rPr>
        <w:t>firearms</w:t>
      </w:r>
      <w:r>
        <w:t>.)</w:t>
      </w:r>
      <w:r w:rsidRPr="00506A30">
        <w:t xml:space="preserve"> </w:t>
      </w:r>
      <w:r>
        <w:t xml:space="preserve"> </w:t>
      </w:r>
      <w:r w:rsidRPr="008A2CF4">
        <w:rPr>
          <w:szCs w:val="24"/>
          <w:lang w:val="fr-FR"/>
        </w:rPr>
        <w:t xml:space="preserve">Le projet de loi </w:t>
      </w:r>
      <w:r>
        <w:rPr>
          <w:lang w:val="fr-FR"/>
        </w:rPr>
        <w:t>fut</w:t>
      </w:r>
      <w:r w:rsidRPr="008A2CF4">
        <w:rPr>
          <w:szCs w:val="24"/>
          <w:lang w:val="fr-FR"/>
        </w:rPr>
        <w:t xml:space="preserve"> baptisé </w:t>
      </w:r>
      <w:r>
        <w:rPr>
          <w:lang w:val="fr-FR"/>
        </w:rPr>
        <w:t>symboliquement</w:t>
      </w:r>
      <w:r w:rsidRPr="008A2CF4">
        <w:rPr>
          <w:szCs w:val="24"/>
          <w:lang w:val="fr-FR"/>
        </w:rPr>
        <w:t xml:space="preserve"> la </w:t>
      </w:r>
      <w:r>
        <w:rPr>
          <w:szCs w:val="24"/>
          <w:lang w:val="fr-FR"/>
        </w:rPr>
        <w:t>« </w:t>
      </w:r>
      <w:r w:rsidRPr="008A2CF4">
        <w:rPr>
          <w:szCs w:val="24"/>
          <w:lang w:val="fr-FR"/>
        </w:rPr>
        <w:t>Loi Anastasia</w:t>
      </w:r>
      <w:r>
        <w:rPr>
          <w:szCs w:val="24"/>
          <w:lang w:val="fr-FR"/>
        </w:rPr>
        <w:t> »</w:t>
      </w:r>
      <w:r w:rsidRPr="008A2CF4">
        <w:rPr>
          <w:szCs w:val="24"/>
          <w:lang w:val="fr-FR"/>
        </w:rPr>
        <w:t xml:space="preserve">, </w:t>
      </w:r>
      <w:r>
        <w:rPr>
          <w:lang w:val="fr-FR"/>
        </w:rPr>
        <w:t>à la mémoire</w:t>
      </w:r>
      <w:r w:rsidRPr="008A2CF4">
        <w:rPr>
          <w:szCs w:val="24"/>
          <w:lang w:val="fr-FR"/>
        </w:rPr>
        <w:t xml:space="preserve"> d'Anastasia De Sousa, la jeune femme qui a perdu la vie dans la fusillade au collège Dawson à Montréal, en septembre 2006.</w:t>
      </w:r>
      <w:r>
        <w:rPr>
          <w:szCs w:val="24"/>
          <w:lang w:val="fr-FR"/>
        </w:rPr>
        <w:t xml:space="preserve"> </w:t>
      </w:r>
      <w:r w:rsidRPr="008A2CF4">
        <w:rPr>
          <w:lang w:val="fr-CA"/>
        </w:rPr>
        <w:t>La loi québécoise a été rédigée après le meurtre de M</w:t>
      </w:r>
      <w:r>
        <w:rPr>
          <w:lang w:val="fr-CA"/>
        </w:rPr>
        <w:t>m</w:t>
      </w:r>
      <w:r w:rsidRPr="008A2CF4">
        <w:rPr>
          <w:lang w:val="fr-CA"/>
        </w:rPr>
        <w:t xml:space="preserve">e De Sousa par </w:t>
      </w:r>
      <w:r>
        <w:rPr>
          <w:lang w:val="fr-CA"/>
        </w:rPr>
        <w:t>un tueur fou</w:t>
      </w:r>
      <w:r w:rsidRPr="008A2CF4">
        <w:rPr>
          <w:lang w:val="fr-CA"/>
        </w:rPr>
        <w:t>, qui avait aussi blessé vingt autres personnes.</w:t>
      </w:r>
    </w:p>
    <w:p w:rsidR="00605B79" w:rsidRDefault="00605B79" w:rsidP="00605B79">
      <w:pPr>
        <w:pStyle w:val="NormalWeb"/>
        <w:jc w:val="both"/>
        <w:rPr>
          <w:lang w:val="fr-CA"/>
        </w:rPr>
      </w:pPr>
      <w:r>
        <w:rPr>
          <w:lang w:val="fr-CA"/>
        </w:rPr>
        <w:t>Selon les notes explicatives qui ont été déposées par le parrain du projet de loi, le ministre de la Sécurité publique du Québec, l’un des buts de la nouvelle loi est d’interdire la possession de toute arme à feu sur les terrains et dans les bâtiments d’une institution d’enseignement et d’une garderie, ainsi que dans un transport public ou scolaire.  Qui plus est,</w:t>
      </w:r>
    </w:p>
    <w:p w:rsidR="00605B79" w:rsidRPr="00E55E96" w:rsidRDefault="00605B79" w:rsidP="00605B79">
      <w:pPr>
        <w:numPr>
          <w:ilvl w:val="0"/>
          <w:numId w:val="5"/>
        </w:numPr>
        <w:spacing w:before="100" w:beforeAutospacing="1" w:after="100" w:afterAutospacing="1"/>
        <w:jc w:val="both"/>
        <w:rPr>
          <w:szCs w:val="24"/>
          <w:lang w:val="fr-FR" w:eastAsia="en-CA"/>
        </w:rPr>
      </w:pPr>
      <w:r w:rsidRPr="00E55E96">
        <w:rPr>
          <w:szCs w:val="24"/>
          <w:lang w:val="fr-CA"/>
        </w:rPr>
        <w:t xml:space="preserve">La loi </w:t>
      </w:r>
      <w:r w:rsidRPr="00E55E96">
        <w:rPr>
          <w:szCs w:val="24"/>
          <w:lang w:val="fr-FR" w:eastAsia="en-CA"/>
        </w:rPr>
        <w:t xml:space="preserve">oblige les professionnels, </w:t>
      </w:r>
      <w:r>
        <w:rPr>
          <w:szCs w:val="24"/>
          <w:lang w:val="fr-FR" w:eastAsia="en-CA"/>
        </w:rPr>
        <w:t>tels que</w:t>
      </w:r>
      <w:r w:rsidRPr="00E55E96">
        <w:rPr>
          <w:szCs w:val="24"/>
          <w:lang w:val="fr-FR" w:eastAsia="en-CA"/>
        </w:rPr>
        <w:t xml:space="preserve"> les psychologues ou les médecins, à déclarer un patient qu'ils croient être dangereux pour eux-mêmes ou les autres, malgré l'obligation de confidentialité qu'ils doivent normalement respecter.</w:t>
      </w:r>
    </w:p>
    <w:p w:rsidR="00605B79" w:rsidRPr="00E55E96" w:rsidRDefault="00605B79" w:rsidP="00605B79">
      <w:pPr>
        <w:numPr>
          <w:ilvl w:val="0"/>
          <w:numId w:val="6"/>
        </w:numPr>
        <w:spacing w:before="100" w:beforeAutospacing="1" w:after="100" w:afterAutospacing="1"/>
        <w:jc w:val="both"/>
        <w:rPr>
          <w:szCs w:val="24"/>
          <w:lang w:val="fr-FR" w:eastAsia="en-CA"/>
        </w:rPr>
      </w:pPr>
      <w:r w:rsidRPr="00E55E96">
        <w:rPr>
          <w:szCs w:val="24"/>
          <w:lang w:val="fr-FR" w:eastAsia="en-CA"/>
        </w:rPr>
        <w:t>La loi oblige aussi le personnel hospitalier à déclarer un patient qui a été victime d'un coup de feu.</w:t>
      </w:r>
    </w:p>
    <w:p w:rsidR="00605B79" w:rsidRPr="00E55E96" w:rsidRDefault="00605B79" w:rsidP="00605B79">
      <w:pPr>
        <w:numPr>
          <w:ilvl w:val="0"/>
          <w:numId w:val="7"/>
        </w:numPr>
        <w:spacing w:before="100" w:beforeAutospacing="1" w:after="100" w:afterAutospacing="1"/>
        <w:jc w:val="both"/>
        <w:rPr>
          <w:szCs w:val="24"/>
          <w:lang w:val="fr-FR" w:eastAsia="en-CA"/>
        </w:rPr>
      </w:pPr>
      <w:r w:rsidRPr="00E55E96">
        <w:rPr>
          <w:szCs w:val="24"/>
          <w:lang w:val="fr-FR" w:eastAsia="en-CA"/>
        </w:rPr>
        <w:t>On ne pourra plus obtenir un permis de port d'arme par la poste, il faudra se rendre au poste de police.</w:t>
      </w:r>
    </w:p>
    <w:p w:rsidR="00605B79" w:rsidRDefault="00605B79" w:rsidP="00605B79">
      <w:pPr>
        <w:numPr>
          <w:ilvl w:val="0"/>
          <w:numId w:val="8"/>
        </w:numPr>
        <w:spacing w:before="100" w:beforeAutospacing="1" w:after="100" w:afterAutospacing="1"/>
        <w:jc w:val="both"/>
        <w:rPr>
          <w:szCs w:val="24"/>
          <w:lang w:val="fr-FR" w:eastAsia="en-CA"/>
        </w:rPr>
      </w:pPr>
      <w:r w:rsidRPr="00E55E96">
        <w:rPr>
          <w:szCs w:val="24"/>
          <w:lang w:val="fr-FR" w:eastAsia="en-CA"/>
        </w:rPr>
        <w:lastRenderedPageBreak/>
        <w:t>Les mesures seront resserrées dans les clubs de tir. Ils devront notamment tenir un registre de fréquentation des membres. L</w:t>
      </w:r>
      <w:r>
        <w:rPr>
          <w:szCs w:val="24"/>
          <w:lang w:val="fr-FR" w:eastAsia="en-CA"/>
        </w:rPr>
        <w:t>a</w:t>
      </w:r>
      <w:r w:rsidRPr="00E55E96">
        <w:rPr>
          <w:szCs w:val="24"/>
          <w:lang w:val="fr-FR" w:eastAsia="en-CA"/>
        </w:rPr>
        <w:t xml:space="preserve"> loi oblige aussi le personnel des établissements d'enseignement et les responsables des clubs de tir à signaler aux autorités policières tout comportement d'un individu susceptible de compromettre sa sécurité ou celle d'autrui.</w:t>
      </w:r>
    </w:p>
    <w:p w:rsidR="00605B79" w:rsidRDefault="00605B79" w:rsidP="00605B79">
      <w:pPr>
        <w:spacing w:before="100" w:beforeAutospacing="1" w:after="100" w:afterAutospacing="1"/>
        <w:jc w:val="both"/>
        <w:rPr>
          <w:lang w:val="fr-CA"/>
        </w:rPr>
      </w:pPr>
      <w:r>
        <w:rPr>
          <w:szCs w:val="24"/>
          <w:lang w:val="fr-FR" w:eastAsia="en-CA"/>
        </w:rPr>
        <w:t xml:space="preserve">Voici, aux fins de la question, les dispositions principales de la loi québécoise, la </w:t>
      </w:r>
      <w:r w:rsidRPr="008A2CF4">
        <w:rPr>
          <w:i/>
          <w:lang w:val="fr-CA"/>
        </w:rPr>
        <w:t>Loi visant à favoriser la protection des personnes à</w:t>
      </w:r>
      <w:r>
        <w:rPr>
          <w:lang w:val="fr-CA"/>
        </w:rPr>
        <w:t xml:space="preserve"> </w:t>
      </w:r>
      <w:r w:rsidRPr="008A2CF4">
        <w:rPr>
          <w:i/>
          <w:lang w:val="fr-CA"/>
        </w:rPr>
        <w:t>l’égard d’une activité impliquant des armes à feu</w:t>
      </w:r>
      <w:r>
        <w:rPr>
          <w:i/>
          <w:lang w:val="fr-CA"/>
        </w:rPr>
        <w:t> </w:t>
      </w:r>
      <w:r>
        <w:rPr>
          <w:lang w:val="fr-CA"/>
        </w:rPr>
        <w:t>:</w:t>
      </w:r>
    </w:p>
    <w:p w:rsidR="00605B79" w:rsidRPr="00243AD4" w:rsidRDefault="00605B79" w:rsidP="00605B79">
      <w:pPr>
        <w:ind w:left="284" w:right="284"/>
        <w:jc w:val="both"/>
        <w:rPr>
          <w:color w:val="000000"/>
          <w:sz w:val="22"/>
          <w:szCs w:val="22"/>
          <w:lang w:val="fr-CA" w:eastAsia="en-CA"/>
        </w:rPr>
      </w:pPr>
      <w:r w:rsidRPr="00243AD4">
        <w:rPr>
          <w:b/>
          <w:bCs/>
          <w:color w:val="000000"/>
          <w:sz w:val="22"/>
          <w:szCs w:val="22"/>
          <w:lang w:val="fr-CA" w:eastAsia="en-CA"/>
        </w:rPr>
        <w:t>1.</w:t>
      </w:r>
      <w:r w:rsidRPr="00243AD4">
        <w:rPr>
          <w:color w:val="000000"/>
          <w:sz w:val="22"/>
          <w:szCs w:val="22"/>
          <w:lang w:val="fr-CA" w:eastAsia="en-CA"/>
        </w:rPr>
        <w:t> La présente loi vise notamment à favoriser la protection des personnes qui fréquentent les lieux d'une institution désignée, lesquels comprennent l'ensemble des terrains dont elle dispose et les constructions qui y sont érigées.</w:t>
      </w:r>
    </w:p>
    <w:p w:rsidR="00605B79" w:rsidRPr="00243AD4" w:rsidRDefault="00605B79" w:rsidP="00605B79">
      <w:pPr>
        <w:ind w:left="284" w:right="284"/>
        <w:jc w:val="both"/>
        <w:rPr>
          <w:color w:val="000000"/>
          <w:sz w:val="22"/>
          <w:szCs w:val="22"/>
          <w:lang w:val="fr-CA" w:eastAsia="en-CA"/>
        </w:rPr>
      </w:pPr>
    </w:p>
    <w:p w:rsidR="00605B79" w:rsidRPr="00243AD4" w:rsidRDefault="00605B79" w:rsidP="00605B79">
      <w:pPr>
        <w:ind w:left="284" w:right="284"/>
        <w:jc w:val="both"/>
        <w:rPr>
          <w:color w:val="000000"/>
          <w:sz w:val="22"/>
          <w:szCs w:val="22"/>
          <w:lang w:val="fr-CA" w:eastAsia="en-CA"/>
        </w:rPr>
      </w:pPr>
      <w:r w:rsidRPr="00243AD4">
        <w:rPr>
          <w:color w:val="000000"/>
          <w:sz w:val="22"/>
          <w:szCs w:val="22"/>
          <w:lang w:val="fr-CA" w:eastAsia="en-CA"/>
        </w:rPr>
        <w:t>Sont des institutions désignées:</w:t>
      </w:r>
    </w:p>
    <w:p w:rsidR="00605B79" w:rsidRPr="00243AD4" w:rsidRDefault="00605B79" w:rsidP="00605B79">
      <w:pPr>
        <w:ind w:left="284" w:right="284"/>
        <w:jc w:val="both"/>
        <w:rPr>
          <w:color w:val="000000"/>
          <w:sz w:val="22"/>
          <w:szCs w:val="22"/>
          <w:lang w:val="fr-CA" w:eastAsia="en-CA"/>
        </w:rPr>
      </w:pPr>
    </w:p>
    <w:p w:rsidR="00605B79" w:rsidRPr="00243AD4" w:rsidRDefault="00605B79" w:rsidP="00605B79">
      <w:pPr>
        <w:ind w:left="284" w:right="284"/>
        <w:jc w:val="both"/>
        <w:rPr>
          <w:color w:val="000000"/>
          <w:sz w:val="22"/>
          <w:szCs w:val="22"/>
          <w:lang w:val="fr-CA" w:eastAsia="en-CA"/>
        </w:rPr>
      </w:pPr>
      <w:r w:rsidRPr="00243AD4">
        <w:rPr>
          <w:color w:val="000000"/>
          <w:sz w:val="22"/>
          <w:szCs w:val="22"/>
          <w:lang w:val="fr-CA" w:eastAsia="en-CA"/>
        </w:rPr>
        <w:t> 1° un centre de la petite enfance et une garderie;</w:t>
      </w:r>
    </w:p>
    <w:p w:rsidR="00605B79" w:rsidRPr="00243AD4" w:rsidRDefault="00605B79" w:rsidP="00605B79">
      <w:pPr>
        <w:ind w:left="284" w:right="284"/>
        <w:jc w:val="both"/>
        <w:rPr>
          <w:color w:val="000000"/>
          <w:sz w:val="22"/>
          <w:szCs w:val="22"/>
          <w:lang w:val="fr-CA" w:eastAsia="en-CA"/>
        </w:rPr>
      </w:pPr>
    </w:p>
    <w:p w:rsidR="00605B79" w:rsidRPr="00243AD4" w:rsidRDefault="00605B79" w:rsidP="00605B79">
      <w:pPr>
        <w:ind w:left="284" w:right="284"/>
        <w:jc w:val="both"/>
        <w:rPr>
          <w:color w:val="000000"/>
          <w:sz w:val="22"/>
          <w:szCs w:val="22"/>
          <w:lang w:val="fr-CA" w:eastAsia="en-CA"/>
        </w:rPr>
      </w:pPr>
      <w:r w:rsidRPr="00243AD4">
        <w:rPr>
          <w:color w:val="000000"/>
          <w:sz w:val="22"/>
          <w:szCs w:val="22"/>
          <w:lang w:val="fr-CA" w:eastAsia="en-CA"/>
        </w:rPr>
        <w:t> 2° un jardin d'enfants;</w:t>
      </w:r>
    </w:p>
    <w:p w:rsidR="00605B79" w:rsidRPr="00243AD4" w:rsidRDefault="00605B79" w:rsidP="00605B79">
      <w:pPr>
        <w:ind w:left="284" w:right="284"/>
        <w:jc w:val="both"/>
        <w:rPr>
          <w:color w:val="000000"/>
          <w:sz w:val="22"/>
          <w:szCs w:val="22"/>
          <w:lang w:val="fr-CA" w:eastAsia="en-CA"/>
        </w:rPr>
      </w:pPr>
    </w:p>
    <w:p w:rsidR="00605B79" w:rsidRPr="00243AD4" w:rsidRDefault="00605B79" w:rsidP="00605B79">
      <w:pPr>
        <w:ind w:left="284" w:right="284"/>
        <w:jc w:val="both"/>
        <w:rPr>
          <w:color w:val="000000"/>
          <w:sz w:val="22"/>
          <w:szCs w:val="22"/>
          <w:lang w:val="fr-CA" w:eastAsia="en-CA"/>
        </w:rPr>
      </w:pPr>
      <w:r w:rsidRPr="00243AD4">
        <w:rPr>
          <w:color w:val="000000"/>
          <w:sz w:val="22"/>
          <w:szCs w:val="22"/>
          <w:lang w:val="fr-CA" w:eastAsia="en-CA"/>
        </w:rPr>
        <w:t> 3° un service de garde en milieu scolaire, une école d'enseignement de niveau préscolaire, primaire et secondaire, un collège d'enseignement de niveau post-secondaire ou un collège d'enseignement général et professionnel, un centre de formation professionnelle, un centre d'éducation des adultes et une université.</w:t>
      </w:r>
    </w:p>
    <w:p w:rsidR="00605B79" w:rsidRPr="00243AD4" w:rsidRDefault="00605B79" w:rsidP="00605B79">
      <w:pPr>
        <w:ind w:left="284" w:right="284"/>
        <w:jc w:val="both"/>
        <w:rPr>
          <w:color w:val="000000"/>
          <w:sz w:val="22"/>
          <w:szCs w:val="22"/>
          <w:lang w:val="fr-CA" w:eastAsia="en-CA"/>
        </w:rPr>
      </w:pPr>
    </w:p>
    <w:p w:rsidR="00605B79" w:rsidRPr="00243AD4" w:rsidRDefault="00605B79" w:rsidP="00605B79">
      <w:pPr>
        <w:ind w:left="284" w:right="284"/>
        <w:jc w:val="both"/>
        <w:rPr>
          <w:color w:val="000000"/>
          <w:sz w:val="22"/>
          <w:szCs w:val="22"/>
          <w:lang w:val="fr-CA" w:eastAsia="en-CA"/>
        </w:rPr>
      </w:pPr>
      <w:r w:rsidRPr="00243AD4">
        <w:rPr>
          <w:color w:val="000000"/>
          <w:sz w:val="22"/>
          <w:szCs w:val="22"/>
          <w:lang w:val="fr-CA" w:eastAsia="en-CA"/>
        </w:rPr>
        <w:t>La présente loi vise également à favoriser la protection des personnes qui utilisent un moyen de transport public, à l'exclusion du transport par taxi, ou qui utilisent un moyen de transport scolaire.</w:t>
      </w:r>
    </w:p>
    <w:p w:rsidR="00605B79" w:rsidRPr="00243AD4" w:rsidRDefault="00605B79" w:rsidP="00605B79">
      <w:pPr>
        <w:ind w:left="284" w:right="284"/>
        <w:jc w:val="both"/>
        <w:rPr>
          <w:color w:val="000000"/>
          <w:sz w:val="22"/>
          <w:szCs w:val="22"/>
          <w:lang w:val="fr-CA" w:eastAsia="en-CA"/>
        </w:rPr>
      </w:pPr>
    </w:p>
    <w:p w:rsidR="00605B79" w:rsidRPr="00243AD4" w:rsidRDefault="00605B79" w:rsidP="00605B79">
      <w:pPr>
        <w:ind w:left="284" w:right="284"/>
        <w:jc w:val="both"/>
        <w:rPr>
          <w:color w:val="000000"/>
          <w:sz w:val="22"/>
          <w:szCs w:val="22"/>
          <w:lang w:val="fr-CA" w:eastAsia="en-CA"/>
        </w:rPr>
      </w:pPr>
      <w:r w:rsidRPr="00243AD4">
        <w:rPr>
          <w:b/>
          <w:bCs/>
          <w:color w:val="000000"/>
          <w:sz w:val="22"/>
          <w:szCs w:val="22"/>
          <w:lang w:val="fr-CA" w:eastAsia="en-CA"/>
        </w:rPr>
        <w:t>2.</w:t>
      </w:r>
      <w:r w:rsidRPr="00243AD4">
        <w:rPr>
          <w:color w:val="000000"/>
          <w:sz w:val="22"/>
          <w:szCs w:val="22"/>
          <w:lang w:val="fr-CA" w:eastAsia="en-CA"/>
        </w:rPr>
        <w:t> Nul ne peut être en possession d'une arme à feu au sens du Code criminel du Canada sur les lieux d'une institution désignée. Il en est de même pour tout transport public et pour tout transport scolaire.</w:t>
      </w:r>
    </w:p>
    <w:p w:rsidR="00605B79" w:rsidRPr="00243AD4" w:rsidRDefault="00605B79" w:rsidP="00605B79">
      <w:pPr>
        <w:ind w:left="284" w:right="284"/>
        <w:jc w:val="both"/>
        <w:rPr>
          <w:vanish/>
          <w:color w:val="000000"/>
          <w:sz w:val="22"/>
          <w:szCs w:val="22"/>
          <w:lang w:val="fr-CA" w:eastAsia="en-CA"/>
        </w:rPr>
      </w:pPr>
    </w:p>
    <w:p w:rsidR="00605B79" w:rsidRPr="00243AD4" w:rsidRDefault="00605B79" w:rsidP="00605B79">
      <w:pPr>
        <w:ind w:left="284" w:right="284"/>
        <w:jc w:val="both"/>
        <w:rPr>
          <w:color w:val="000000"/>
          <w:sz w:val="22"/>
          <w:szCs w:val="22"/>
          <w:lang w:val="fr-CA" w:eastAsia="en-CA"/>
        </w:rPr>
      </w:pPr>
      <w:r w:rsidRPr="00243AD4">
        <w:rPr>
          <w:color w:val="000000"/>
          <w:sz w:val="22"/>
          <w:szCs w:val="22"/>
          <w:lang w:val="fr-CA" w:eastAsia="en-CA"/>
        </w:rPr>
        <w:t>La personne qui contrevient aux dispositions du premier alinéa commet une infraction et est passible d'une amende de 500 $ à 5 000 $.</w:t>
      </w:r>
    </w:p>
    <w:p w:rsidR="00605B79" w:rsidRPr="00243AD4" w:rsidRDefault="00605B79" w:rsidP="00605B79">
      <w:pPr>
        <w:ind w:left="284" w:right="284"/>
        <w:jc w:val="both"/>
        <w:rPr>
          <w:color w:val="000000"/>
          <w:sz w:val="22"/>
          <w:szCs w:val="22"/>
          <w:lang w:val="fr-CA" w:eastAsia="en-CA"/>
        </w:rPr>
      </w:pPr>
      <w:r w:rsidRPr="00243AD4">
        <w:rPr>
          <w:color w:val="000000"/>
          <w:sz w:val="22"/>
          <w:szCs w:val="22"/>
          <w:lang w:val="fr-CA" w:eastAsia="en-CA"/>
        </w:rPr>
        <w:br/>
      </w:r>
      <w:r w:rsidRPr="00243AD4">
        <w:rPr>
          <w:b/>
          <w:bCs/>
          <w:color w:val="000000"/>
          <w:sz w:val="22"/>
          <w:szCs w:val="22"/>
          <w:lang w:val="fr-CA" w:eastAsia="en-CA"/>
        </w:rPr>
        <w:t>5.</w:t>
      </w:r>
      <w:r w:rsidRPr="00243AD4">
        <w:rPr>
          <w:color w:val="000000"/>
          <w:sz w:val="22"/>
          <w:szCs w:val="22"/>
          <w:lang w:val="fr-CA" w:eastAsia="en-CA"/>
        </w:rPr>
        <w:t> L'agent de la paix qui a un motif raisonnable de croire qu'une personne contrevient aux dispositions de l'article 2 peut, sans mandat, procéder à la fouille de cette personne et de son environnement immédiat et, le cas échéant, à la saisie de l'arme à feu qui est en sa possession.</w:t>
      </w:r>
    </w:p>
    <w:p w:rsidR="00605B79" w:rsidRPr="00243AD4" w:rsidRDefault="00605B79" w:rsidP="00605B79">
      <w:pPr>
        <w:ind w:left="284" w:right="284"/>
        <w:jc w:val="both"/>
        <w:rPr>
          <w:color w:val="000000"/>
          <w:sz w:val="22"/>
          <w:szCs w:val="22"/>
          <w:lang w:val="fr-CA" w:eastAsia="en-CA"/>
        </w:rPr>
      </w:pPr>
    </w:p>
    <w:p w:rsidR="00605B79" w:rsidRPr="00243AD4" w:rsidRDefault="00605B79" w:rsidP="00605B79">
      <w:pPr>
        <w:ind w:left="284" w:right="284"/>
        <w:jc w:val="both"/>
        <w:rPr>
          <w:color w:val="000000"/>
          <w:sz w:val="22"/>
          <w:szCs w:val="22"/>
          <w:lang w:val="fr-CA" w:eastAsia="en-CA"/>
        </w:rPr>
      </w:pPr>
      <w:r w:rsidRPr="00243AD4">
        <w:rPr>
          <w:color w:val="000000"/>
          <w:sz w:val="22"/>
          <w:szCs w:val="22"/>
          <w:lang w:val="fr-CA" w:eastAsia="en-CA"/>
        </w:rPr>
        <w:t>L'arme ainsi saisie peut être retenue jusqu'à concurrence de 90 jours. À l'expiration de ce délai, elle doit être remise à son propriétaire, à moins que ce dernier ne se conforme pas aux dispositions de la Loi sur les armes à feu ou que la détention de cette arme ne soit requise aux fins d'une procédure judiciaire.</w:t>
      </w:r>
    </w:p>
    <w:p w:rsidR="00605B79" w:rsidRPr="00243AD4" w:rsidRDefault="00605B79" w:rsidP="00605B79">
      <w:pPr>
        <w:ind w:left="284" w:right="284"/>
        <w:jc w:val="both"/>
        <w:rPr>
          <w:color w:val="000000"/>
          <w:sz w:val="22"/>
          <w:szCs w:val="22"/>
          <w:lang w:val="fr-CA" w:eastAsia="en-CA"/>
        </w:rPr>
      </w:pPr>
    </w:p>
    <w:p w:rsidR="00605B79" w:rsidRPr="00243AD4" w:rsidRDefault="00605B79" w:rsidP="00605B79">
      <w:pPr>
        <w:ind w:left="284" w:right="284"/>
        <w:jc w:val="both"/>
        <w:rPr>
          <w:color w:val="000000"/>
          <w:sz w:val="22"/>
          <w:szCs w:val="22"/>
          <w:lang w:val="fr-CA" w:eastAsia="en-CA"/>
        </w:rPr>
      </w:pPr>
      <w:r w:rsidRPr="00243AD4">
        <w:rPr>
          <w:color w:val="000000"/>
          <w:sz w:val="22"/>
          <w:szCs w:val="22"/>
          <w:lang w:val="fr-CA" w:eastAsia="en-CA"/>
        </w:rPr>
        <w:t>Sur déclaration de culpabilité à une infraction à l'article 2, le juge peut, sur demande du poursuivant, prononcer la confiscation de l'arme saisie.</w:t>
      </w:r>
    </w:p>
    <w:p w:rsidR="00605B79" w:rsidRPr="00243AD4" w:rsidRDefault="00605B79" w:rsidP="00605B79">
      <w:pPr>
        <w:ind w:left="284" w:right="284"/>
        <w:jc w:val="both"/>
        <w:rPr>
          <w:color w:val="000000"/>
          <w:sz w:val="22"/>
          <w:szCs w:val="22"/>
          <w:lang w:val="fr-CA" w:eastAsia="en-CA"/>
        </w:rPr>
      </w:pPr>
    </w:p>
    <w:p w:rsidR="00605B79" w:rsidRDefault="00605B79" w:rsidP="00605B79">
      <w:pPr>
        <w:ind w:left="284" w:right="284"/>
        <w:jc w:val="both"/>
        <w:rPr>
          <w:color w:val="000000"/>
          <w:sz w:val="22"/>
          <w:szCs w:val="22"/>
          <w:lang w:val="fr-CA" w:eastAsia="en-CA"/>
        </w:rPr>
      </w:pPr>
      <w:r w:rsidRPr="00243AD4">
        <w:rPr>
          <w:b/>
          <w:bCs/>
          <w:color w:val="000000"/>
          <w:sz w:val="22"/>
          <w:szCs w:val="22"/>
          <w:lang w:val="fr-CA" w:eastAsia="en-CA"/>
        </w:rPr>
        <w:t>6.</w:t>
      </w:r>
      <w:r w:rsidRPr="00243AD4">
        <w:rPr>
          <w:color w:val="000000"/>
          <w:sz w:val="22"/>
          <w:szCs w:val="22"/>
          <w:lang w:val="fr-CA" w:eastAsia="en-CA"/>
        </w:rPr>
        <w:t> Un enseignant, un professionnel ou toute autre personne œuvrant au sein d'une institution désignée, qui a un motif raisonnable de croire qu'une personne contrevient à l'article 2 ou qu'une arme à feu se trouve sur les lieux de cette institution, est tenu d'en aviser, sans délai, les autorités policières. Il en est de même pour tout préposé à l'accès ou chauffeur d'un moyen de transport public ou scolaire à l'égard des personnes qui utilisent ce moyen de transport.</w:t>
      </w:r>
    </w:p>
    <w:p w:rsidR="00605B79" w:rsidRDefault="00605B79" w:rsidP="00605B79">
      <w:pPr>
        <w:ind w:left="284" w:right="284"/>
        <w:jc w:val="both"/>
        <w:rPr>
          <w:color w:val="000000"/>
          <w:sz w:val="22"/>
          <w:szCs w:val="22"/>
          <w:lang w:val="fr-CA" w:eastAsia="en-CA"/>
        </w:rPr>
      </w:pPr>
    </w:p>
    <w:p w:rsidR="00605B79" w:rsidRPr="00DC5EFB" w:rsidRDefault="00605B79" w:rsidP="00605B79">
      <w:pPr>
        <w:ind w:left="284" w:right="284"/>
        <w:jc w:val="both"/>
        <w:rPr>
          <w:color w:val="000000"/>
          <w:sz w:val="22"/>
          <w:szCs w:val="22"/>
          <w:lang w:val="fr-CA" w:eastAsia="en-CA"/>
        </w:rPr>
      </w:pPr>
      <w:r w:rsidRPr="00DC5EFB">
        <w:rPr>
          <w:rStyle w:val="nobold"/>
          <w:color w:val="000000"/>
          <w:sz w:val="22"/>
          <w:szCs w:val="22"/>
          <w:lang w:val="fr-CA"/>
        </w:rPr>
        <w:lastRenderedPageBreak/>
        <w:t>8.</w:t>
      </w:r>
      <w:r w:rsidRPr="00DC5EFB">
        <w:rPr>
          <w:color w:val="000000"/>
          <w:sz w:val="22"/>
          <w:szCs w:val="22"/>
          <w:lang w:val="fr-CA"/>
        </w:rPr>
        <w:t> Un</w:t>
      </w:r>
      <w:r>
        <w:rPr>
          <w:color w:val="000000"/>
          <w:sz w:val="22"/>
          <w:szCs w:val="22"/>
          <w:lang w:val="fr-CA"/>
        </w:rPr>
        <w:t xml:space="preserve"> médecin, un psychologue, un travailleur social, une infirmière ou un infirmier ou autre professionnel q</w:t>
      </w:r>
      <w:r w:rsidRPr="00DC5EFB">
        <w:rPr>
          <w:color w:val="000000"/>
          <w:sz w:val="22"/>
          <w:szCs w:val="22"/>
          <w:lang w:val="fr-CA"/>
        </w:rPr>
        <w:t>ui, dans le cadre de l'exercice de sa profession, a un motif raisonnable de croire qu'une personne a un comportement susceptible de compromettre sa sécurité ou celle d'autrui avec une arme à feu est autorisé à signaler ce comportement aux autorités policières en ne leur communiquant que les renseignements nécessaires pour faciliter leur intervention, y compris ceux protégés par le secret professionnel et malgré toute autre disposition relative à l'obligation de confidentialité à laquelle il est tenu, particulièrement en matière de santé et de services sociaux.</w:t>
      </w:r>
    </w:p>
    <w:p w:rsidR="00605B79" w:rsidRPr="00DC5EFB" w:rsidRDefault="00605B79" w:rsidP="00605B79">
      <w:pPr>
        <w:ind w:left="284" w:right="284"/>
        <w:jc w:val="both"/>
        <w:rPr>
          <w:color w:val="000000"/>
          <w:sz w:val="22"/>
          <w:szCs w:val="22"/>
          <w:lang w:val="fr-CA" w:eastAsia="en-CA"/>
        </w:rPr>
      </w:pPr>
      <w:r w:rsidRPr="00243AD4">
        <w:rPr>
          <w:rFonts w:ascii="Arial" w:hAnsi="Arial" w:cs="Arial"/>
          <w:color w:val="000000"/>
          <w:szCs w:val="24"/>
          <w:lang w:val="fr-CA" w:eastAsia="en-CA"/>
        </w:rPr>
        <w:br/>
      </w:r>
      <w:r w:rsidRPr="00DC5EFB">
        <w:rPr>
          <w:b/>
          <w:bCs/>
          <w:color w:val="000000"/>
          <w:sz w:val="22"/>
          <w:szCs w:val="22"/>
          <w:lang w:val="fr-CA" w:eastAsia="en-CA"/>
        </w:rPr>
        <w:t>9.</w:t>
      </w:r>
      <w:r w:rsidRPr="00DC5EFB">
        <w:rPr>
          <w:color w:val="000000"/>
          <w:sz w:val="22"/>
          <w:szCs w:val="22"/>
          <w:lang w:val="fr-CA" w:eastAsia="en-CA"/>
        </w:rPr>
        <w:t> Le directeur d'un centre hospitalier est tenu de signaler aux autorités policières le fait qu'une personne blessée par un projectile d'arme à feu a été accueillie dans l'établissement qu'il dirige en ne leur communiquant que l'identité de cette personne, si elle est connue, ainsi que la dénomination de l'établissement. Cette communication est faite verbalement et dans les meilleurs délais, en prenant en considération l'importance de ne pas nuire au traitement de la personne concernée et de ne pas perturber les activités normales de l'établissement.</w:t>
      </w:r>
    </w:p>
    <w:p w:rsidR="00605B79" w:rsidRPr="00DC5EFB" w:rsidRDefault="00605B79" w:rsidP="00605B79">
      <w:pPr>
        <w:ind w:left="284" w:right="284"/>
        <w:jc w:val="both"/>
        <w:rPr>
          <w:color w:val="000000"/>
          <w:sz w:val="22"/>
          <w:szCs w:val="22"/>
          <w:lang w:val="fr-CA" w:eastAsia="en-CA"/>
        </w:rPr>
      </w:pPr>
    </w:p>
    <w:p w:rsidR="00605B79" w:rsidRPr="00066EB5" w:rsidRDefault="00605B79" w:rsidP="00605B79">
      <w:pPr>
        <w:jc w:val="both"/>
        <w:rPr>
          <w:b/>
          <w:i/>
          <w:lang w:val="fr-CA"/>
        </w:rPr>
      </w:pPr>
      <w:r w:rsidRPr="00066EB5">
        <w:rPr>
          <w:b/>
          <w:i/>
          <w:lang w:val="fr-CA"/>
        </w:rPr>
        <w:t>Questions à répondre</w:t>
      </w:r>
    </w:p>
    <w:p w:rsidR="00605B79" w:rsidRDefault="00605B79" w:rsidP="00605B79">
      <w:pPr>
        <w:jc w:val="both"/>
        <w:rPr>
          <w:lang w:val="fr-CA"/>
        </w:rPr>
      </w:pPr>
    </w:p>
    <w:p w:rsidR="00605B79" w:rsidRDefault="00605B79" w:rsidP="00605B79">
      <w:pPr>
        <w:jc w:val="both"/>
        <w:rPr>
          <w:lang w:val="fr-CA"/>
        </w:rPr>
      </w:pPr>
      <w:r>
        <w:rPr>
          <w:lang w:val="fr-CA"/>
        </w:rPr>
        <w:t xml:space="preserve">Vous êtes le conseiller ou la conseillère juridique du ministère de la Sécurité publique du Québec. Compte tenu des principes d’interprétation constitutionnels et de la jurisprudence de la Cour suprême du Canada relative au fédéralisme et au partage des compétences, donnez votre avis au Ministre sur la question de la constitutionnalité de la loi provinciale, c'est-à-dire la </w:t>
      </w:r>
      <w:r w:rsidRPr="008A2CF4">
        <w:rPr>
          <w:i/>
          <w:lang w:val="fr-CA"/>
        </w:rPr>
        <w:t>Loi visant à favoriser la protection des personnes à</w:t>
      </w:r>
      <w:r>
        <w:rPr>
          <w:lang w:val="fr-CA"/>
        </w:rPr>
        <w:t xml:space="preserve"> </w:t>
      </w:r>
      <w:r w:rsidRPr="008A2CF4">
        <w:rPr>
          <w:i/>
          <w:lang w:val="fr-CA"/>
        </w:rPr>
        <w:t>l’égard d’une activité impliquant des armes à feu</w:t>
      </w:r>
      <w:r>
        <w:rPr>
          <w:lang w:val="fr-CA"/>
        </w:rPr>
        <w:t xml:space="preserve">. </w:t>
      </w:r>
    </w:p>
    <w:p w:rsidR="00605B79" w:rsidRDefault="00605B79" w:rsidP="00605B79">
      <w:pPr>
        <w:jc w:val="both"/>
        <w:rPr>
          <w:lang w:val="fr-CA"/>
        </w:rPr>
      </w:pPr>
    </w:p>
    <w:p w:rsidR="00605B79" w:rsidRDefault="00605B79" w:rsidP="00605B79">
      <w:pPr>
        <w:jc w:val="both"/>
        <w:rPr>
          <w:rFonts w:eastAsia="MS Mincho"/>
          <w:lang w:val="fr-CA"/>
        </w:rPr>
      </w:pPr>
      <w:r>
        <w:rPr>
          <w:lang w:val="fr-CA"/>
        </w:rPr>
        <w:t xml:space="preserve">Dans le cadre de votre avis sur la constitutionnalité de la loi provinciale, répondez également à ces questions précises : (1) Quels sont les principes d’interprétation liés à l’analyse du partage des compétences législatives en vertu des articles 91 à  93 de la </w:t>
      </w:r>
      <w:r w:rsidRPr="00A62775">
        <w:rPr>
          <w:i/>
          <w:lang w:val="fr-CA"/>
        </w:rPr>
        <w:t>Loi constitutionnelle de 1867</w:t>
      </w:r>
      <w:r>
        <w:rPr>
          <w:lang w:val="fr-CA"/>
        </w:rPr>
        <w:t xml:space="preserve"> que vous allez invoquer pour faire valoir votre prise de position sur la validité (ou, selon le cas, l’inconstitutionnalité) de la loi provinciale? (2) Quels sont les chefs de compétence qui pourraient soutenir ou appuyer la validité constitutionnelle de la loi</w:t>
      </w:r>
      <w:r w:rsidRPr="00E243FD">
        <w:rPr>
          <w:i/>
          <w:lang w:val="fr-CA"/>
        </w:rPr>
        <w:t xml:space="preserve"> </w:t>
      </w:r>
      <w:r>
        <w:rPr>
          <w:lang w:val="fr-CA"/>
        </w:rPr>
        <w:t xml:space="preserve">provinciale?  (3) Si les deux lois sur les armes à feu — la loi fédérale et la loi provinciale — sont valides sur le plan constitutionnel, y-a-t-il un conflit sur le plan opérationnel entre ces deux lois, ou faut-il se soumettre aux deux régimes? (4) Quels sont les doctrines constitutionnelles qui s’appliquent en l’espèce?  </w:t>
      </w:r>
      <w:r>
        <w:rPr>
          <w:rFonts w:eastAsia="MS Mincho"/>
          <w:lang w:val="fr-CA"/>
        </w:rPr>
        <w:t>Motivez votre réponse en citant les principes et les dispositions constitutionnels ainsi que les règles d’interprétation et les arrêts de jurisprudence qui sont pertinents.</w:t>
      </w:r>
    </w:p>
    <w:p w:rsidR="00605B79" w:rsidRDefault="00605B79" w:rsidP="00605B79">
      <w:pPr>
        <w:jc w:val="both"/>
        <w:rPr>
          <w:rFonts w:eastAsia="MS Mincho"/>
          <w:lang w:val="fr-CA"/>
        </w:rPr>
      </w:pPr>
    </w:p>
    <w:p w:rsidR="00605B79" w:rsidRPr="004253F6" w:rsidRDefault="00605B79" w:rsidP="00605B79">
      <w:pPr>
        <w:jc w:val="both"/>
        <w:rPr>
          <w:b/>
          <w:sz w:val="28"/>
          <w:szCs w:val="28"/>
          <w:lang w:val="fr-CA"/>
        </w:rPr>
      </w:pPr>
      <w:r w:rsidRPr="004253F6">
        <w:rPr>
          <w:b/>
          <w:sz w:val="28"/>
          <w:szCs w:val="28"/>
          <w:lang w:val="fr-CA"/>
        </w:rPr>
        <w:t>Question 1 (90 minutes; 50 points)</w:t>
      </w:r>
    </w:p>
    <w:p w:rsidR="00605B79" w:rsidRDefault="00605B79" w:rsidP="00605B79">
      <w:pPr>
        <w:jc w:val="both"/>
        <w:rPr>
          <w:lang w:val="fr-CA"/>
        </w:rPr>
      </w:pPr>
    </w:p>
    <w:p w:rsidR="00605B79" w:rsidRDefault="00605B79" w:rsidP="00605B79">
      <w:pPr>
        <w:pStyle w:val="Textebrut"/>
        <w:jc w:val="both"/>
        <w:rPr>
          <w:rFonts w:ascii="Times New Roman" w:eastAsia="MS Mincho" w:hAnsi="Times New Roman"/>
          <w:sz w:val="24"/>
          <w:lang w:val="fr-CA"/>
        </w:rPr>
      </w:pPr>
      <w:r>
        <w:rPr>
          <w:rFonts w:ascii="Times New Roman" w:eastAsia="MS Mincho" w:hAnsi="Times New Roman"/>
          <w:sz w:val="24"/>
          <w:lang w:val="fr-CA"/>
        </w:rPr>
        <w:t>Le Protocole de Kyoto sur la réduction des gaz à effet de serre est l’aboutissement d’un long processus de négociations à l’échelle internationale.  Le développement durable vise à gérer la croissance et les activités économiques de manière à ne plus dégrader l’environnement et à ne pas compromettre l’avenir de la planète et des générations à venir.  Le Protocole de Kyoto est adopté en décembre 1997.  Le protocole de Kyoto s’attaque aux émissions de six gaz à effet de serre : le dioxyde de carbone (CO</w:t>
      </w:r>
      <w:r>
        <w:rPr>
          <w:rFonts w:ascii="Times New Roman" w:eastAsia="MS Mincho" w:hAnsi="Times New Roman"/>
          <w:sz w:val="24"/>
          <w:vertAlign w:val="subscript"/>
          <w:lang w:val="fr-CA"/>
        </w:rPr>
        <w:t>2</w:t>
      </w:r>
      <w:r>
        <w:rPr>
          <w:rFonts w:ascii="Times New Roman" w:eastAsia="MS Mincho" w:hAnsi="Times New Roman"/>
          <w:sz w:val="24"/>
          <w:lang w:val="fr-CA"/>
        </w:rPr>
        <w:t>); le méthane (CH</w:t>
      </w:r>
      <w:r>
        <w:rPr>
          <w:rFonts w:ascii="Times New Roman" w:eastAsia="MS Mincho" w:hAnsi="Times New Roman"/>
          <w:sz w:val="24"/>
          <w:vertAlign w:val="subscript"/>
          <w:lang w:val="fr-CA"/>
        </w:rPr>
        <w:t>3</w:t>
      </w:r>
      <w:r>
        <w:rPr>
          <w:rFonts w:ascii="Times New Roman" w:eastAsia="MS Mincho" w:hAnsi="Times New Roman"/>
          <w:sz w:val="24"/>
          <w:lang w:val="fr-CA"/>
        </w:rPr>
        <w:t>); l’oxyde nitreux (N</w:t>
      </w:r>
      <w:r>
        <w:rPr>
          <w:rFonts w:ascii="Times New Roman" w:eastAsia="MS Mincho" w:hAnsi="Times New Roman"/>
          <w:sz w:val="24"/>
          <w:vertAlign w:val="subscript"/>
          <w:lang w:val="fr-CA"/>
        </w:rPr>
        <w:t>2</w:t>
      </w:r>
      <w:r>
        <w:rPr>
          <w:rFonts w:ascii="Times New Roman" w:eastAsia="MS Mincho" w:hAnsi="Times New Roman"/>
          <w:sz w:val="24"/>
          <w:lang w:val="fr-CA"/>
        </w:rPr>
        <w:t xml:space="preserve">); </w:t>
      </w:r>
      <w:proofErr w:type="gramStart"/>
      <w:r>
        <w:rPr>
          <w:rFonts w:ascii="Times New Roman" w:eastAsia="MS Mincho" w:hAnsi="Times New Roman"/>
          <w:sz w:val="24"/>
          <w:lang w:val="fr-CA"/>
        </w:rPr>
        <w:t>l’hydrofluorocarbures</w:t>
      </w:r>
      <w:proofErr w:type="gramEnd"/>
      <w:r>
        <w:rPr>
          <w:rFonts w:ascii="Times New Roman" w:eastAsia="MS Mincho" w:hAnsi="Times New Roman"/>
          <w:sz w:val="24"/>
          <w:lang w:val="fr-CA"/>
        </w:rPr>
        <w:t xml:space="preserve"> (HFCs); l’hydrocarbure </w:t>
      </w:r>
      <w:proofErr w:type="spellStart"/>
      <w:r>
        <w:rPr>
          <w:rFonts w:ascii="Times New Roman" w:eastAsia="MS Mincho" w:hAnsi="Times New Roman"/>
          <w:sz w:val="24"/>
          <w:lang w:val="fr-CA"/>
        </w:rPr>
        <w:t>perfluorés</w:t>
      </w:r>
      <w:proofErr w:type="spellEnd"/>
      <w:r>
        <w:rPr>
          <w:rFonts w:ascii="Times New Roman" w:eastAsia="MS Mincho" w:hAnsi="Times New Roman"/>
          <w:sz w:val="24"/>
          <w:lang w:val="fr-CA"/>
        </w:rPr>
        <w:t xml:space="preserve"> (</w:t>
      </w:r>
      <w:proofErr w:type="spellStart"/>
      <w:r>
        <w:rPr>
          <w:rFonts w:ascii="Times New Roman" w:eastAsia="MS Mincho" w:hAnsi="Times New Roman"/>
          <w:sz w:val="24"/>
          <w:lang w:val="fr-CA"/>
        </w:rPr>
        <w:t>PFCs</w:t>
      </w:r>
      <w:proofErr w:type="spellEnd"/>
      <w:r>
        <w:rPr>
          <w:rFonts w:ascii="Times New Roman" w:eastAsia="MS Mincho" w:hAnsi="Times New Roman"/>
          <w:sz w:val="24"/>
          <w:lang w:val="fr-CA"/>
        </w:rPr>
        <w:t>); l’hexafluorure de soufre (SF</w:t>
      </w:r>
      <w:r>
        <w:rPr>
          <w:rFonts w:ascii="Times New Roman" w:eastAsia="MS Mincho" w:hAnsi="Times New Roman"/>
          <w:sz w:val="24"/>
          <w:vertAlign w:val="subscript"/>
          <w:lang w:val="fr-CA"/>
        </w:rPr>
        <w:t>6</w:t>
      </w:r>
      <w:r>
        <w:rPr>
          <w:rFonts w:ascii="Times New Roman" w:eastAsia="MS Mincho" w:hAnsi="Times New Roman"/>
          <w:sz w:val="24"/>
          <w:lang w:val="fr-CA"/>
        </w:rPr>
        <w:t xml:space="preserve">). </w:t>
      </w:r>
    </w:p>
    <w:p w:rsidR="00605B79" w:rsidRDefault="00605B79" w:rsidP="00605B79">
      <w:pPr>
        <w:pStyle w:val="Textebrut"/>
        <w:jc w:val="both"/>
        <w:rPr>
          <w:rFonts w:ascii="Times New Roman" w:eastAsia="MS Mincho" w:hAnsi="Times New Roman"/>
          <w:sz w:val="24"/>
          <w:lang w:val="fr-CA"/>
        </w:rPr>
      </w:pPr>
    </w:p>
    <w:p w:rsidR="00605B79" w:rsidRDefault="00605B79" w:rsidP="00605B79">
      <w:pPr>
        <w:pStyle w:val="Textebrut"/>
        <w:jc w:val="both"/>
        <w:rPr>
          <w:rFonts w:ascii="Times New Roman" w:eastAsia="MS Mincho" w:hAnsi="Times New Roman"/>
          <w:sz w:val="24"/>
          <w:lang w:val="fr-CA"/>
        </w:rPr>
      </w:pPr>
      <w:r>
        <w:rPr>
          <w:rFonts w:ascii="Times New Roman" w:eastAsia="MS Mincho" w:hAnsi="Times New Roman"/>
          <w:sz w:val="24"/>
          <w:lang w:val="fr-CA"/>
        </w:rPr>
        <w:t xml:space="preserve">Supposons que le gouvernement du Canada est d’avis que les mesures incitatives ne sont pas suffisantes pour atteindre les objectifs fixés par le Protocole de Kyoto.  En 1997, lorsque le </w:t>
      </w:r>
      <w:r>
        <w:rPr>
          <w:rFonts w:ascii="Times New Roman" w:eastAsia="MS Mincho" w:hAnsi="Times New Roman"/>
          <w:sz w:val="24"/>
          <w:lang w:val="fr-CA"/>
        </w:rPr>
        <w:lastRenderedPageBreak/>
        <w:t>Protocole de Kyoto a été signé, les émissions au Canada avaient augmenté de 13% par rapport au niveau de 1990, et en 2002, lorsque le Protocole a été ratifié, cinq ans de croissance économique n’avait rien fait pour freiner la détérioration de la situation.  Supposons également que la collaboration de certaines provinces s’est avérée plutôt mince, voire non-existante.</w:t>
      </w:r>
    </w:p>
    <w:p w:rsidR="00605B79" w:rsidRDefault="00605B79" w:rsidP="00605B79">
      <w:pPr>
        <w:pStyle w:val="Textebrut"/>
        <w:jc w:val="both"/>
        <w:rPr>
          <w:rFonts w:ascii="Times New Roman" w:eastAsia="MS Mincho" w:hAnsi="Times New Roman"/>
          <w:sz w:val="24"/>
          <w:lang w:val="fr-CA"/>
        </w:rPr>
      </w:pPr>
    </w:p>
    <w:p w:rsidR="00605B79" w:rsidRDefault="00605B79" w:rsidP="00605B79">
      <w:pPr>
        <w:pStyle w:val="Textebrut"/>
        <w:jc w:val="both"/>
        <w:rPr>
          <w:rFonts w:ascii="Times New Roman" w:eastAsia="MS Mincho" w:hAnsi="Times New Roman"/>
          <w:i/>
          <w:iCs/>
          <w:sz w:val="24"/>
          <w:lang w:val="fr-CA"/>
        </w:rPr>
      </w:pPr>
      <w:r>
        <w:rPr>
          <w:rFonts w:ascii="Times New Roman" w:eastAsia="MS Mincho" w:hAnsi="Times New Roman"/>
          <w:sz w:val="24"/>
          <w:lang w:val="fr-CA"/>
        </w:rPr>
        <w:t xml:space="preserve">Supposons enfin que le gouvernement fédéral présente, et le Parlement du Canada adopte, un projet de loi intitulé </w:t>
      </w:r>
      <w:r>
        <w:rPr>
          <w:rFonts w:ascii="Times New Roman" w:eastAsia="MS Mincho" w:hAnsi="Times New Roman"/>
          <w:i/>
          <w:iCs/>
          <w:sz w:val="24"/>
          <w:lang w:val="fr-CA"/>
        </w:rPr>
        <w:t>Loi sur le contrôle des émissions de gaz à effet de serre</w:t>
      </w:r>
      <w:r>
        <w:rPr>
          <w:rFonts w:ascii="Times New Roman" w:eastAsia="MS Mincho" w:hAnsi="Times New Roman"/>
          <w:sz w:val="24"/>
          <w:lang w:val="fr-CA"/>
        </w:rPr>
        <w:t>.  La Loi comporte un préambule qui déclare :</w:t>
      </w:r>
    </w:p>
    <w:p w:rsidR="00605B79" w:rsidRDefault="00605B79" w:rsidP="00605B79">
      <w:pPr>
        <w:pStyle w:val="Textebrut"/>
        <w:jc w:val="both"/>
        <w:rPr>
          <w:rFonts w:ascii="Times New Roman" w:eastAsia="MS Mincho" w:hAnsi="Times New Roman"/>
          <w:sz w:val="24"/>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r w:rsidRPr="00085E49">
        <w:rPr>
          <w:rFonts w:ascii="Times New Roman" w:eastAsia="MS Mincho" w:hAnsi="Times New Roman"/>
          <w:sz w:val="22"/>
          <w:szCs w:val="22"/>
          <w:lang w:val="fr-CA"/>
        </w:rPr>
        <w:t>ATTENDU :</w:t>
      </w:r>
    </w:p>
    <w:p w:rsidR="00605B79" w:rsidRPr="00085E49" w:rsidRDefault="00605B79" w:rsidP="00605B79">
      <w:pPr>
        <w:pStyle w:val="Textebrut"/>
        <w:ind w:left="1440"/>
        <w:jc w:val="both"/>
        <w:rPr>
          <w:rFonts w:ascii="Times New Roman" w:eastAsia="MS Mincho" w:hAnsi="Times New Roman"/>
          <w:sz w:val="22"/>
          <w:szCs w:val="22"/>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proofErr w:type="gramStart"/>
      <w:r w:rsidRPr="00085E49">
        <w:rPr>
          <w:rFonts w:ascii="Times New Roman" w:eastAsia="MS Mincho" w:hAnsi="Times New Roman"/>
          <w:sz w:val="22"/>
          <w:szCs w:val="22"/>
          <w:lang w:val="fr-CA"/>
        </w:rPr>
        <w:t>que</w:t>
      </w:r>
      <w:proofErr w:type="gramEnd"/>
      <w:r w:rsidRPr="00085E49">
        <w:rPr>
          <w:rFonts w:ascii="Times New Roman" w:eastAsia="MS Mincho" w:hAnsi="Times New Roman"/>
          <w:sz w:val="22"/>
          <w:szCs w:val="22"/>
          <w:lang w:val="fr-CA"/>
        </w:rPr>
        <w:t xml:space="preserve"> la protection de la qualité de l’air et de l'environnement sont des responsabilités importantes du gouvernement du Canada et des questions d'envergure nationale;</w:t>
      </w:r>
    </w:p>
    <w:p w:rsidR="00605B79" w:rsidRPr="00085E49" w:rsidRDefault="00605B79" w:rsidP="00605B79">
      <w:pPr>
        <w:pStyle w:val="Textebrut"/>
        <w:ind w:left="1440"/>
        <w:jc w:val="both"/>
        <w:rPr>
          <w:rFonts w:ascii="Times New Roman" w:eastAsia="MS Mincho" w:hAnsi="Times New Roman"/>
          <w:sz w:val="22"/>
          <w:szCs w:val="22"/>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proofErr w:type="gramStart"/>
      <w:r w:rsidRPr="00085E49">
        <w:rPr>
          <w:rFonts w:ascii="Times New Roman" w:eastAsia="MS Mincho" w:hAnsi="Times New Roman"/>
          <w:sz w:val="22"/>
          <w:szCs w:val="22"/>
          <w:lang w:val="fr-CA"/>
        </w:rPr>
        <w:t>que</w:t>
      </w:r>
      <w:proofErr w:type="gramEnd"/>
      <w:r w:rsidRPr="00085E49">
        <w:rPr>
          <w:rFonts w:ascii="Times New Roman" w:eastAsia="MS Mincho" w:hAnsi="Times New Roman"/>
          <w:sz w:val="22"/>
          <w:szCs w:val="22"/>
          <w:lang w:val="fr-CA"/>
        </w:rPr>
        <w:t xml:space="preserve"> la détérioration de la qualité de l’air provoquée par les émissions des gaz à effet de serre met en péril la santé des Canadiens, ainsi que l'économie et l'environnement canadiens;</w:t>
      </w:r>
    </w:p>
    <w:p w:rsidR="00605B79" w:rsidRPr="00085E49" w:rsidRDefault="00605B79" w:rsidP="00605B79">
      <w:pPr>
        <w:pStyle w:val="Textebrut"/>
        <w:ind w:left="1440"/>
        <w:jc w:val="both"/>
        <w:rPr>
          <w:rFonts w:ascii="Times New Roman" w:eastAsia="MS Mincho" w:hAnsi="Times New Roman"/>
          <w:sz w:val="22"/>
          <w:szCs w:val="22"/>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proofErr w:type="gramStart"/>
      <w:r w:rsidRPr="00085E49">
        <w:rPr>
          <w:rFonts w:ascii="Times New Roman" w:eastAsia="MS Mincho" w:hAnsi="Times New Roman"/>
          <w:sz w:val="22"/>
          <w:szCs w:val="22"/>
          <w:lang w:val="fr-CA"/>
        </w:rPr>
        <w:t>que</w:t>
      </w:r>
      <w:proofErr w:type="gramEnd"/>
      <w:r w:rsidRPr="00085E49">
        <w:rPr>
          <w:rFonts w:ascii="Times New Roman" w:eastAsia="MS Mincho" w:hAnsi="Times New Roman"/>
          <w:sz w:val="22"/>
          <w:szCs w:val="22"/>
          <w:lang w:val="fr-CA"/>
        </w:rPr>
        <w:t xml:space="preserve"> le contrôle et la réduction efficaces des émissions de gaz à effet de serre sont devenus des questions urgentes à régler, eu égard à leur l’effet néfaste sur le changement climatique aux plans national et mondial;</w:t>
      </w:r>
    </w:p>
    <w:p w:rsidR="00605B79" w:rsidRPr="00085E49" w:rsidRDefault="00605B79" w:rsidP="00605B79">
      <w:pPr>
        <w:pStyle w:val="Textebrut"/>
        <w:ind w:left="1440"/>
        <w:jc w:val="both"/>
        <w:rPr>
          <w:rFonts w:ascii="Times New Roman" w:eastAsia="MS Mincho" w:hAnsi="Times New Roman"/>
          <w:sz w:val="22"/>
          <w:szCs w:val="22"/>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proofErr w:type="gramStart"/>
      <w:r w:rsidRPr="00085E49">
        <w:rPr>
          <w:rFonts w:ascii="Times New Roman" w:eastAsia="MS Mincho" w:hAnsi="Times New Roman"/>
          <w:sz w:val="22"/>
          <w:szCs w:val="22"/>
          <w:lang w:val="fr-CA"/>
        </w:rPr>
        <w:t>qu'il</w:t>
      </w:r>
      <w:proofErr w:type="gramEnd"/>
      <w:r w:rsidRPr="00085E49">
        <w:rPr>
          <w:rFonts w:ascii="Times New Roman" w:eastAsia="MS Mincho" w:hAnsi="Times New Roman"/>
          <w:sz w:val="22"/>
          <w:szCs w:val="22"/>
          <w:lang w:val="fr-CA"/>
        </w:rPr>
        <w:t xml:space="preserve"> est nécessaire d'intervenir, à l'échelle nationale, pour contrôler les émissions de gaz à effet de serre afin de protéger l'environnement et d'assurer le bien-être des Canadiens et Canadiennes et des générations futures;</w:t>
      </w:r>
    </w:p>
    <w:p w:rsidR="00605B79" w:rsidRPr="00085E49" w:rsidRDefault="00605B79" w:rsidP="00605B79">
      <w:pPr>
        <w:pStyle w:val="Textebrut"/>
        <w:ind w:left="1440"/>
        <w:jc w:val="both"/>
        <w:rPr>
          <w:rFonts w:ascii="Times New Roman" w:eastAsia="MS Mincho" w:hAnsi="Times New Roman"/>
          <w:sz w:val="22"/>
          <w:szCs w:val="22"/>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proofErr w:type="gramStart"/>
      <w:r w:rsidRPr="00085E49">
        <w:rPr>
          <w:rFonts w:ascii="Times New Roman" w:eastAsia="MS Mincho" w:hAnsi="Times New Roman"/>
          <w:sz w:val="22"/>
          <w:szCs w:val="22"/>
          <w:lang w:val="fr-CA"/>
        </w:rPr>
        <w:t>qu’il</w:t>
      </w:r>
      <w:proofErr w:type="gramEnd"/>
      <w:r w:rsidRPr="00085E49">
        <w:rPr>
          <w:rFonts w:ascii="Times New Roman" w:eastAsia="MS Mincho" w:hAnsi="Times New Roman"/>
          <w:sz w:val="22"/>
          <w:szCs w:val="22"/>
          <w:lang w:val="fr-CA"/>
        </w:rPr>
        <w:t xml:space="preserve"> incombe au gouvernement fédéral, à titre de chef de file national dans ce domaine, d’établir des objectifs, des règlements et des codes de pratique nationaux en matière de gestion des émissions de gaz à effet de serre;</w:t>
      </w:r>
    </w:p>
    <w:p w:rsidR="00605B79" w:rsidRPr="00085E49" w:rsidRDefault="00605B79" w:rsidP="00605B79">
      <w:pPr>
        <w:pStyle w:val="Textebrut"/>
        <w:ind w:left="1440"/>
        <w:jc w:val="both"/>
        <w:rPr>
          <w:rFonts w:ascii="Times New Roman" w:eastAsia="MS Mincho" w:hAnsi="Times New Roman"/>
          <w:sz w:val="22"/>
          <w:szCs w:val="22"/>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proofErr w:type="gramStart"/>
      <w:r w:rsidRPr="00085E49">
        <w:rPr>
          <w:rFonts w:ascii="Times New Roman" w:eastAsia="MS Mincho" w:hAnsi="Times New Roman"/>
          <w:sz w:val="22"/>
          <w:szCs w:val="22"/>
          <w:lang w:val="fr-CA"/>
        </w:rPr>
        <w:t>qu’il</w:t>
      </w:r>
      <w:proofErr w:type="gramEnd"/>
      <w:r w:rsidRPr="00085E49">
        <w:rPr>
          <w:rFonts w:ascii="Times New Roman" w:eastAsia="MS Mincho" w:hAnsi="Times New Roman"/>
          <w:sz w:val="22"/>
          <w:szCs w:val="22"/>
          <w:lang w:val="fr-CA"/>
        </w:rPr>
        <w:t xml:space="preserve"> incombe au Canada de veiller au respect de ses obligations internationales aux termes du Protocole de Kyoto des Nations Unies portant sur les changements climatiques.</w:t>
      </w:r>
    </w:p>
    <w:p w:rsidR="00605B79" w:rsidRDefault="00605B79" w:rsidP="00605B79">
      <w:pPr>
        <w:pStyle w:val="Textebrut"/>
        <w:ind w:left="1440"/>
        <w:jc w:val="both"/>
        <w:rPr>
          <w:rFonts w:ascii="Times New Roman" w:eastAsia="MS Mincho" w:hAnsi="Times New Roman"/>
          <w:sz w:val="24"/>
          <w:lang w:val="fr-CA"/>
        </w:rPr>
      </w:pPr>
    </w:p>
    <w:p w:rsidR="00605B79" w:rsidRDefault="00605B79" w:rsidP="00605B79">
      <w:pPr>
        <w:pStyle w:val="Textebrut"/>
        <w:jc w:val="both"/>
        <w:rPr>
          <w:rFonts w:ascii="Times New Roman" w:eastAsia="MS Mincho" w:hAnsi="Times New Roman"/>
          <w:sz w:val="24"/>
          <w:lang w:val="fr-CA"/>
        </w:rPr>
      </w:pPr>
      <w:r>
        <w:rPr>
          <w:rFonts w:ascii="Times New Roman" w:eastAsia="MS Mincho" w:hAnsi="Times New Roman"/>
          <w:sz w:val="24"/>
          <w:lang w:val="fr-CA"/>
        </w:rPr>
        <w:t xml:space="preserve">La Loi comporte, à son article 2, une clause d’objet formulée ainsi :  </w:t>
      </w:r>
    </w:p>
    <w:p w:rsidR="00605B79" w:rsidRDefault="00605B79" w:rsidP="00605B79">
      <w:pPr>
        <w:pStyle w:val="Textebrut"/>
        <w:jc w:val="both"/>
        <w:rPr>
          <w:rFonts w:ascii="Times New Roman" w:eastAsia="MS Mincho" w:hAnsi="Times New Roman"/>
          <w:sz w:val="24"/>
          <w:lang w:val="fr-CA"/>
        </w:rPr>
      </w:pPr>
    </w:p>
    <w:p w:rsidR="00605B79" w:rsidRPr="00085E49" w:rsidRDefault="00605B79" w:rsidP="00605B79">
      <w:pPr>
        <w:autoSpaceDE w:val="0"/>
        <w:autoSpaceDN w:val="0"/>
        <w:adjustRightInd w:val="0"/>
        <w:ind w:left="1440"/>
        <w:jc w:val="both"/>
        <w:rPr>
          <w:sz w:val="22"/>
          <w:szCs w:val="22"/>
          <w:lang w:val="fr-CA"/>
        </w:rPr>
      </w:pPr>
      <w:r w:rsidRPr="00085E49">
        <w:rPr>
          <w:b/>
          <w:sz w:val="22"/>
          <w:szCs w:val="22"/>
          <w:lang w:val="fr-CA"/>
        </w:rPr>
        <w:t xml:space="preserve">2. </w:t>
      </w:r>
      <w:r w:rsidRPr="00085E49">
        <w:rPr>
          <w:sz w:val="22"/>
          <w:szCs w:val="22"/>
          <w:lang w:val="fr-CA"/>
        </w:rPr>
        <w:t>La présente loi a pour objet de s’attaquer, sur le plan législatif, à un problème qui, dans les domaines de la protection de l’environnement et de la santé publique, est grave, urgent et d’envergure nationale et, plus particulièrement :</w:t>
      </w:r>
    </w:p>
    <w:p w:rsidR="00605B79" w:rsidRPr="00085E49" w:rsidRDefault="00605B79" w:rsidP="00605B79">
      <w:pPr>
        <w:autoSpaceDE w:val="0"/>
        <w:autoSpaceDN w:val="0"/>
        <w:adjustRightInd w:val="0"/>
        <w:ind w:left="2880"/>
        <w:jc w:val="both"/>
        <w:rPr>
          <w:sz w:val="22"/>
          <w:szCs w:val="22"/>
          <w:lang w:val="fr-CA"/>
        </w:rPr>
      </w:pPr>
    </w:p>
    <w:p w:rsidR="00605B79" w:rsidRPr="00085E49" w:rsidRDefault="00605B79" w:rsidP="00605B79">
      <w:pPr>
        <w:pStyle w:val="Retraitcorpsdetexte"/>
        <w:ind w:left="1440"/>
        <w:rPr>
          <w:sz w:val="22"/>
          <w:szCs w:val="22"/>
          <w:lang w:val="fr-CA"/>
        </w:rPr>
      </w:pPr>
      <w:r w:rsidRPr="00085E49">
        <w:rPr>
          <w:sz w:val="22"/>
          <w:szCs w:val="22"/>
          <w:lang w:val="fr-CA"/>
        </w:rPr>
        <w:t>a) de protéger l’environnement, la qualité de l’air au Canada et la santé des Canadiennes et les Canadiens en établissant un régime efficace de contrôle et de réglementation des gaz à effet de serre qui sont nuisibles pour l’environnement et nocifs pour la santé publique;</w:t>
      </w:r>
    </w:p>
    <w:p w:rsidR="00605B79" w:rsidRPr="00085E49" w:rsidRDefault="00605B79" w:rsidP="00605B79">
      <w:pPr>
        <w:autoSpaceDE w:val="0"/>
        <w:autoSpaceDN w:val="0"/>
        <w:adjustRightInd w:val="0"/>
        <w:ind w:left="1440"/>
        <w:jc w:val="both"/>
        <w:rPr>
          <w:sz w:val="22"/>
          <w:szCs w:val="22"/>
          <w:lang w:val="fr-CA"/>
        </w:rPr>
      </w:pPr>
    </w:p>
    <w:p w:rsidR="00605B79" w:rsidRPr="00085E49" w:rsidRDefault="00605B79" w:rsidP="00605B79">
      <w:pPr>
        <w:autoSpaceDE w:val="0"/>
        <w:autoSpaceDN w:val="0"/>
        <w:adjustRightInd w:val="0"/>
        <w:ind w:left="1440"/>
        <w:jc w:val="both"/>
        <w:rPr>
          <w:sz w:val="22"/>
          <w:szCs w:val="22"/>
          <w:lang w:val="fr-CA"/>
        </w:rPr>
      </w:pPr>
      <w:r w:rsidRPr="00085E49">
        <w:rPr>
          <w:sz w:val="22"/>
          <w:szCs w:val="22"/>
          <w:lang w:val="fr-CA"/>
        </w:rPr>
        <w:t>b) d’aider le Canada à faire respecter ses obligations internationales en matière de contrôle des gaz à effet de serre qui pourraient provoquer le changement climatique.</w:t>
      </w:r>
    </w:p>
    <w:p w:rsidR="00605B79" w:rsidRDefault="00605B79" w:rsidP="00605B79">
      <w:pPr>
        <w:pStyle w:val="Textebrut"/>
        <w:jc w:val="both"/>
        <w:rPr>
          <w:rFonts w:ascii="Times New Roman" w:eastAsia="MS Mincho" w:hAnsi="Times New Roman"/>
          <w:sz w:val="24"/>
          <w:lang w:val="fr-CA"/>
        </w:rPr>
      </w:pPr>
    </w:p>
    <w:p w:rsidR="00605B79" w:rsidRDefault="00605B79" w:rsidP="00605B79">
      <w:pPr>
        <w:pStyle w:val="Textebrut"/>
        <w:jc w:val="both"/>
        <w:rPr>
          <w:rFonts w:ascii="Times New Roman" w:eastAsia="MS Mincho" w:hAnsi="Times New Roman"/>
          <w:sz w:val="24"/>
          <w:lang w:val="fr-CA"/>
        </w:rPr>
      </w:pPr>
      <w:r>
        <w:rPr>
          <w:rFonts w:ascii="Times New Roman" w:eastAsia="MS Mincho" w:hAnsi="Times New Roman"/>
          <w:sz w:val="24"/>
          <w:lang w:val="fr-CA"/>
        </w:rPr>
        <w:t>L’article 3 de la loi définit les « gaz à effet de serre » comme suit : (1) le dioxyde de carbone; (2) le méthane; (3) l’oxyde nitreux; (4) l’</w:t>
      </w:r>
      <w:proofErr w:type="spellStart"/>
      <w:r>
        <w:rPr>
          <w:rFonts w:ascii="Times New Roman" w:eastAsia="MS Mincho" w:hAnsi="Times New Roman"/>
          <w:sz w:val="24"/>
          <w:lang w:val="fr-CA"/>
        </w:rPr>
        <w:t>hydrofluorocarbones</w:t>
      </w:r>
      <w:proofErr w:type="spellEnd"/>
      <w:r>
        <w:rPr>
          <w:rFonts w:ascii="Times New Roman" w:eastAsia="MS Mincho" w:hAnsi="Times New Roman"/>
          <w:sz w:val="24"/>
          <w:lang w:val="fr-CA"/>
        </w:rPr>
        <w:t xml:space="preserve">; (5) l’hydrocarbure </w:t>
      </w:r>
      <w:proofErr w:type="spellStart"/>
      <w:r>
        <w:rPr>
          <w:rFonts w:ascii="Times New Roman" w:eastAsia="MS Mincho" w:hAnsi="Times New Roman"/>
          <w:sz w:val="24"/>
          <w:lang w:val="fr-CA"/>
        </w:rPr>
        <w:t>perfluorés</w:t>
      </w:r>
      <w:proofErr w:type="spellEnd"/>
      <w:r>
        <w:rPr>
          <w:rFonts w:ascii="Times New Roman" w:eastAsia="MS Mincho" w:hAnsi="Times New Roman"/>
          <w:sz w:val="24"/>
          <w:lang w:val="fr-CA"/>
        </w:rPr>
        <w:t xml:space="preserve">; (6) l’hexafluorure de soufre.  On prévoit à l’article 4 que les ministres de la Santé et de </w:t>
      </w:r>
      <w:r>
        <w:rPr>
          <w:rFonts w:ascii="Times New Roman" w:eastAsia="MS Mincho" w:hAnsi="Times New Roman"/>
          <w:sz w:val="24"/>
          <w:lang w:val="fr-CA"/>
        </w:rPr>
        <w:lastRenderedPageBreak/>
        <w:t>l’Environnement sont habilités à mener des enquêtes sur les méthodes permettant de limiter la présence de ces gaz dans l’environnement et d’en réduire la quantité émise ou rejetée dans l’environnement.  En vertu de l’article 5 le gouverneur en conseil peut prendre des règlements concernant la quantité ou la concentration des émissions de gaz et les modalités et conditions de l’émission de transformation ou d’utilisation des gaz, y compris une interdiction totale, partielle ou conditionnelle de l’émission de certains gaz dans les lieux ou zones fixés par règlement.  Le gouverneur en conseil peut également, par règlement, exempter certains personnes, véhicules, immeubles ou usines de l’application de certaines dispositions de la loi lorsque ces personnes ou choses font l’objet d’un permis spécial octroyé par le ministre de l’Environnement et le ministre est satisfait que l’octroi du permis ne nuira pas à la mise en œuvre des objectifs de la Loi.</w:t>
      </w:r>
    </w:p>
    <w:p w:rsidR="00605B79" w:rsidRDefault="00605B79" w:rsidP="00605B79">
      <w:pPr>
        <w:pStyle w:val="Textebrut"/>
        <w:jc w:val="both"/>
        <w:rPr>
          <w:rFonts w:ascii="Times New Roman" w:eastAsia="MS Mincho" w:hAnsi="Times New Roman"/>
          <w:sz w:val="24"/>
          <w:lang w:val="fr-CA"/>
        </w:rPr>
      </w:pPr>
    </w:p>
    <w:p w:rsidR="00605B79" w:rsidRDefault="00605B79" w:rsidP="00605B79">
      <w:pPr>
        <w:pStyle w:val="Textebrut"/>
        <w:jc w:val="both"/>
        <w:rPr>
          <w:rFonts w:ascii="Times New Roman" w:eastAsia="MS Mincho" w:hAnsi="Times New Roman"/>
          <w:sz w:val="24"/>
          <w:lang w:val="fr-CA"/>
        </w:rPr>
      </w:pPr>
      <w:r>
        <w:rPr>
          <w:rFonts w:ascii="Times New Roman" w:eastAsia="MS Mincho" w:hAnsi="Times New Roman"/>
          <w:sz w:val="24"/>
          <w:lang w:val="fr-CA"/>
        </w:rPr>
        <w:t xml:space="preserve">En sus de ces dispositions liminaires, le projet de loi vise à contrôler les émissions de gaz à effet de serre par tout véhicule, édifice et usine de manufacture.  Beaucoup d’immeubles d’appartements et de logis auront besoin de nouvelles fournaises et de meilleurs matériaux d’isolement, pour rencontrer les nouvelles normes établies par la Loi.  Beaucoup d’immeubles commerciaux et plusieurs usines de fabrication auront besoin de nouveaux systèmes de climatisation, de chauffage et de matériaux d’isolement pour respecter les nouvelles normes fédérales. Il y aura également de nouvelles taxes imposées sur la vente de charbon, de </w:t>
      </w:r>
      <w:proofErr w:type="spellStart"/>
      <w:r>
        <w:rPr>
          <w:rFonts w:ascii="Times New Roman" w:eastAsia="MS Mincho" w:hAnsi="Times New Roman"/>
          <w:sz w:val="24"/>
          <w:lang w:val="fr-CA"/>
        </w:rPr>
        <w:t>mazoute</w:t>
      </w:r>
      <w:proofErr w:type="spellEnd"/>
      <w:r>
        <w:rPr>
          <w:rFonts w:ascii="Times New Roman" w:eastAsia="MS Mincho" w:hAnsi="Times New Roman"/>
          <w:sz w:val="24"/>
          <w:lang w:val="fr-CA"/>
        </w:rPr>
        <w:t xml:space="preserve"> et d’essence.  </w:t>
      </w:r>
    </w:p>
    <w:p w:rsidR="00605B79" w:rsidRDefault="00605B79" w:rsidP="00605B79">
      <w:pPr>
        <w:pStyle w:val="Textebrut"/>
        <w:jc w:val="both"/>
        <w:rPr>
          <w:rFonts w:ascii="Times New Roman" w:eastAsia="MS Mincho" w:hAnsi="Times New Roman"/>
          <w:sz w:val="24"/>
          <w:lang w:val="fr-CA"/>
        </w:rPr>
      </w:pPr>
    </w:p>
    <w:p w:rsidR="00605B79" w:rsidRDefault="00605B79" w:rsidP="00605B79">
      <w:pPr>
        <w:pStyle w:val="Textebrut"/>
        <w:jc w:val="both"/>
        <w:rPr>
          <w:rFonts w:ascii="Times New Roman" w:eastAsia="MS Mincho" w:hAnsi="Times New Roman"/>
          <w:sz w:val="24"/>
          <w:lang w:val="fr-CA"/>
        </w:rPr>
      </w:pPr>
      <w:r>
        <w:rPr>
          <w:rFonts w:ascii="Times New Roman" w:eastAsia="MS Mincho" w:hAnsi="Times New Roman"/>
          <w:sz w:val="24"/>
          <w:lang w:val="fr-CA"/>
        </w:rPr>
        <w:t>L’article 11 prévoit que la mise en œuvre de la Loi sera examinée après cinq ans par un comité parlementaire pour vérifier s’il l’état d’urgence qui a donné lieu à l’adoption de la Loi existe toujours ou s’il y a lieu de recommander l’abrogation ou la modification de la Loi.</w:t>
      </w:r>
    </w:p>
    <w:p w:rsidR="00605B79" w:rsidRDefault="00605B79" w:rsidP="00605B79">
      <w:pPr>
        <w:pStyle w:val="Textebrut"/>
        <w:jc w:val="both"/>
        <w:rPr>
          <w:rFonts w:ascii="Times New Roman" w:eastAsia="MS Mincho" w:hAnsi="Times New Roman"/>
          <w:sz w:val="24"/>
          <w:lang w:val="fr-CA"/>
        </w:rPr>
      </w:pPr>
    </w:p>
    <w:p w:rsidR="00605B79" w:rsidRDefault="00605B79" w:rsidP="00605B79">
      <w:pPr>
        <w:pStyle w:val="Textebrut"/>
        <w:jc w:val="both"/>
        <w:rPr>
          <w:rFonts w:ascii="Times New Roman" w:eastAsia="MS Mincho" w:hAnsi="Times New Roman"/>
          <w:sz w:val="24"/>
          <w:lang w:val="fr-CA"/>
        </w:rPr>
      </w:pPr>
      <w:r>
        <w:rPr>
          <w:rFonts w:ascii="Times New Roman" w:eastAsia="MS Mincho" w:hAnsi="Times New Roman"/>
          <w:sz w:val="24"/>
          <w:lang w:val="fr-CA"/>
        </w:rPr>
        <w:t xml:space="preserve">Enfin, l’article 12 de la </w:t>
      </w:r>
      <w:r>
        <w:rPr>
          <w:rFonts w:ascii="Times New Roman" w:eastAsia="MS Mincho" w:hAnsi="Times New Roman"/>
          <w:i/>
          <w:iCs/>
          <w:sz w:val="24"/>
          <w:lang w:val="fr-CA"/>
        </w:rPr>
        <w:t xml:space="preserve">Loi sur le contrôle des émissions de gaz à effet de serre </w:t>
      </w:r>
      <w:r>
        <w:rPr>
          <w:rFonts w:ascii="Times New Roman" w:eastAsia="MS Mincho" w:hAnsi="Times New Roman"/>
          <w:sz w:val="24"/>
          <w:lang w:val="fr-CA"/>
        </w:rPr>
        <w:t>prévoit de lourdes peines (amendes ou emprisonnement) pour toute personne qui contrevient aux dispositions de la Loi ou des règlements.</w:t>
      </w:r>
    </w:p>
    <w:p w:rsidR="00605B79" w:rsidRDefault="00605B79" w:rsidP="00605B79">
      <w:pPr>
        <w:pStyle w:val="Textebrut"/>
        <w:jc w:val="both"/>
        <w:rPr>
          <w:rFonts w:ascii="Times New Roman" w:eastAsia="MS Mincho" w:hAnsi="Times New Roman"/>
          <w:sz w:val="24"/>
          <w:lang w:val="fr-CA"/>
        </w:rPr>
      </w:pPr>
    </w:p>
    <w:p w:rsidR="00605B79" w:rsidRDefault="00605B79" w:rsidP="00605B79">
      <w:pPr>
        <w:pStyle w:val="Textebrut"/>
        <w:jc w:val="both"/>
        <w:rPr>
          <w:rFonts w:ascii="Times New Roman" w:eastAsia="MS Mincho" w:hAnsi="Times New Roman"/>
          <w:sz w:val="24"/>
          <w:lang w:val="fr-CA"/>
        </w:rPr>
      </w:pPr>
      <w:r>
        <w:rPr>
          <w:rFonts w:ascii="Times New Roman" w:eastAsia="MS Mincho" w:hAnsi="Times New Roman"/>
          <w:sz w:val="24"/>
          <w:lang w:val="fr-CA"/>
        </w:rPr>
        <w:t xml:space="preserve">Dans son discours lors du débat parlementaire sur l’adoption du projet de loi, le ministre de l’Environnement fait état de tous les efforts que le gouvernement du Canada a entrepris au fil des ans pour mettre l’accent sur la collaboration avec les partenaires provinciaux, territoriaux et du secteur privé afin de mettre en œuvre les obligations contractées par le Canada. Cette collaboration n’a produit que des résultats mitigés.  « La preuve scientifique démontre clairement », selon lui, « que la situation par rapport à l’émission des gaz à effet de serre a maintenant atteint les proportions d’une crise nationale et internationale ».  Seule une loi contraignante du Parlement fédéral canadien pourrait parer à cette crise, disait-il.  « En tant que ministre de l’Environnement il est de mon devoir, agissant de concert avec ma collègue la ministre de la Santé canadienne, de veiller à la protection de l’environnement et de la santé de nos concitoyens. »  </w:t>
      </w:r>
    </w:p>
    <w:p w:rsidR="00605B79" w:rsidRDefault="00605B79" w:rsidP="00605B79">
      <w:pPr>
        <w:pStyle w:val="Textebrut"/>
        <w:jc w:val="both"/>
        <w:rPr>
          <w:rFonts w:ascii="Times New Roman" w:eastAsia="MS Mincho" w:hAnsi="Times New Roman"/>
          <w:sz w:val="24"/>
          <w:lang w:val="fr-CA"/>
        </w:rPr>
      </w:pPr>
    </w:p>
    <w:p w:rsidR="00605B79" w:rsidRDefault="00605B79" w:rsidP="00605B79">
      <w:pPr>
        <w:pStyle w:val="Textebrut"/>
        <w:jc w:val="both"/>
        <w:rPr>
          <w:rFonts w:ascii="Times New Roman" w:eastAsia="MS Mincho" w:hAnsi="Times New Roman"/>
          <w:sz w:val="24"/>
          <w:lang w:val="fr-CA"/>
        </w:rPr>
      </w:pPr>
      <w:r>
        <w:rPr>
          <w:rFonts w:ascii="Times New Roman" w:eastAsia="MS Mincho" w:hAnsi="Times New Roman"/>
          <w:sz w:val="24"/>
          <w:lang w:val="fr-CA"/>
        </w:rPr>
        <w:t>Supposons enfin que le gouvernement de l’Alberta présente et la législature provinciale adopte un projet de loi qui s’intitule  </w:t>
      </w:r>
      <w:r>
        <w:rPr>
          <w:rFonts w:ascii="Times New Roman" w:eastAsia="MS Mincho" w:hAnsi="Times New Roman"/>
          <w:i/>
          <w:iCs/>
          <w:sz w:val="24"/>
          <w:lang w:val="fr-CA"/>
        </w:rPr>
        <w:t>Loi sur le changement</w:t>
      </w:r>
      <w:r>
        <w:rPr>
          <w:rFonts w:ascii="Times New Roman" w:eastAsia="MS Mincho" w:hAnsi="Times New Roman"/>
          <w:sz w:val="24"/>
          <w:lang w:val="fr-CA"/>
        </w:rPr>
        <w:t xml:space="preserve"> </w:t>
      </w:r>
      <w:r>
        <w:rPr>
          <w:rFonts w:ascii="Times New Roman" w:eastAsia="MS Mincho" w:hAnsi="Times New Roman"/>
          <w:i/>
          <w:iCs/>
          <w:sz w:val="24"/>
          <w:lang w:val="fr-CA"/>
        </w:rPr>
        <w:t>climatique et la gestion des émissions.</w:t>
      </w:r>
      <w:r>
        <w:rPr>
          <w:rFonts w:ascii="Times New Roman" w:eastAsia="MS Mincho" w:hAnsi="Times New Roman"/>
          <w:sz w:val="24"/>
          <w:lang w:val="fr-CA"/>
        </w:rPr>
        <w:t xml:space="preserve">  Le projet de loi renferme un préambule, dont les principaux « attendus » pertinents sont les suivants :</w:t>
      </w:r>
    </w:p>
    <w:p w:rsidR="00605B79" w:rsidRDefault="00605B79" w:rsidP="00605B79">
      <w:pPr>
        <w:pStyle w:val="Textebrut"/>
        <w:jc w:val="both"/>
        <w:rPr>
          <w:rFonts w:ascii="Times New Roman" w:eastAsia="MS Mincho" w:hAnsi="Times New Roman"/>
          <w:sz w:val="24"/>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r w:rsidRPr="00085E49">
        <w:rPr>
          <w:rFonts w:ascii="Times New Roman" w:eastAsia="MS Mincho" w:hAnsi="Times New Roman"/>
          <w:sz w:val="22"/>
          <w:szCs w:val="22"/>
          <w:lang w:val="fr-CA"/>
        </w:rPr>
        <w:t>ATTENDU QUE le gouvernement de l’Alberta s’engage à élaborer des solutions réalistes et faisables à la question du changement climatique qui réduisent les émissions de dioxyde de carbone et d’autres gaz visées sans entraver la croissance économique;</w:t>
      </w:r>
    </w:p>
    <w:p w:rsidR="00605B79" w:rsidRPr="00085E49" w:rsidRDefault="00605B79" w:rsidP="00605B79">
      <w:pPr>
        <w:pStyle w:val="Textebrut"/>
        <w:ind w:left="1440"/>
        <w:jc w:val="both"/>
        <w:rPr>
          <w:rFonts w:ascii="Times New Roman" w:eastAsia="MS Mincho" w:hAnsi="Times New Roman"/>
          <w:sz w:val="22"/>
          <w:szCs w:val="22"/>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r w:rsidRPr="00085E49">
        <w:rPr>
          <w:rFonts w:ascii="Times New Roman" w:eastAsia="MS Mincho" w:hAnsi="Times New Roman"/>
          <w:sz w:val="22"/>
          <w:szCs w:val="22"/>
          <w:lang w:val="fr-CA"/>
        </w:rPr>
        <w:lastRenderedPageBreak/>
        <w:t>ATTENDU QUE les projets visant la réduction des émissions de dioxyde de carbone et d’autres gaz doivent tenir compte des circonstances particulières et de la diversité des provinces, territoires et régions du Canada ainsi que des secteurs de l’économie et doivent maintenir et renforcer la concurrence sans imposer un fardeau excessif sur ces provinces, territoires ou secteurs; </w:t>
      </w:r>
    </w:p>
    <w:p w:rsidR="00605B79" w:rsidRPr="00085E49" w:rsidRDefault="00605B79" w:rsidP="00605B79">
      <w:pPr>
        <w:pStyle w:val="Textebrut"/>
        <w:ind w:left="1440"/>
        <w:jc w:val="both"/>
        <w:rPr>
          <w:rFonts w:ascii="Times New Roman" w:eastAsia="MS Mincho" w:hAnsi="Times New Roman"/>
          <w:sz w:val="22"/>
          <w:szCs w:val="22"/>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r w:rsidRPr="00085E49">
        <w:rPr>
          <w:rFonts w:ascii="Times New Roman" w:eastAsia="MS Mincho" w:hAnsi="Times New Roman"/>
          <w:sz w:val="22"/>
          <w:szCs w:val="22"/>
          <w:lang w:val="fr-CA"/>
        </w:rPr>
        <w:t xml:space="preserve">ATTENDU QUE le gouvernement de l’Alberta s’engage </w:t>
      </w:r>
      <w:proofErr w:type="spellStart"/>
      <w:r w:rsidRPr="00085E49">
        <w:rPr>
          <w:rFonts w:ascii="Times New Roman" w:eastAsia="MS Mincho" w:hAnsi="Times New Roman"/>
          <w:sz w:val="22"/>
          <w:szCs w:val="22"/>
          <w:lang w:val="fr-CA"/>
        </w:rPr>
        <w:t>a</w:t>
      </w:r>
      <w:proofErr w:type="spellEnd"/>
      <w:r w:rsidRPr="00085E49">
        <w:rPr>
          <w:rFonts w:ascii="Times New Roman" w:eastAsia="MS Mincho" w:hAnsi="Times New Roman"/>
          <w:sz w:val="22"/>
          <w:szCs w:val="22"/>
          <w:lang w:val="fr-CA"/>
        </w:rPr>
        <w:t xml:space="preserve"> établir de la certitude par rapport à tous les secteurs de l’économie albertaine en poursuivant des objectifs de développement durable par l’établissement de cibles claires pour la réduction des émissions de dioxyde de carbone et d’autres gaz visées ainsi que les cadres de travail, plans d’action et mesures qui s’y rapportent; </w:t>
      </w:r>
    </w:p>
    <w:p w:rsidR="00605B79" w:rsidRDefault="00605B79" w:rsidP="00605B79">
      <w:pPr>
        <w:pStyle w:val="Textebrut"/>
        <w:ind w:left="1440"/>
        <w:jc w:val="both"/>
        <w:rPr>
          <w:rFonts w:ascii="Times New Roman" w:eastAsia="MS Mincho" w:hAnsi="Times New Roman"/>
          <w:sz w:val="24"/>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r w:rsidRPr="00085E49">
        <w:rPr>
          <w:rFonts w:ascii="Times New Roman" w:eastAsia="MS Mincho" w:hAnsi="Times New Roman"/>
          <w:sz w:val="22"/>
          <w:szCs w:val="22"/>
          <w:lang w:val="fr-CA"/>
        </w:rPr>
        <w:t>ATTENDU QUE le dioxyde de carbone et le méthane sont des ressources naturelles, ne sont pas toxiques dans des conditions atmosphériques et sont liés inextricablement à la gestion de d’autres ressources renouvelables et non renouvelables; </w:t>
      </w:r>
    </w:p>
    <w:p w:rsidR="00605B79" w:rsidRDefault="00605B79" w:rsidP="00605B79">
      <w:pPr>
        <w:pStyle w:val="Textebrut"/>
        <w:ind w:left="1440"/>
        <w:jc w:val="both"/>
        <w:rPr>
          <w:rFonts w:ascii="Times New Roman" w:eastAsia="MS Mincho" w:hAnsi="Times New Roman"/>
          <w:sz w:val="24"/>
          <w:lang w:val="fr-CA"/>
        </w:rPr>
      </w:pPr>
    </w:p>
    <w:p w:rsidR="00605B79" w:rsidRDefault="00605B79" w:rsidP="00605B79">
      <w:pPr>
        <w:pStyle w:val="Textebrut"/>
        <w:jc w:val="both"/>
        <w:rPr>
          <w:rFonts w:ascii="Times New Roman" w:eastAsia="MS Mincho" w:hAnsi="Times New Roman"/>
          <w:sz w:val="24"/>
          <w:lang w:val="fr-CA"/>
        </w:rPr>
      </w:pPr>
      <w:r>
        <w:rPr>
          <w:rFonts w:ascii="Times New Roman" w:eastAsia="MS Mincho" w:hAnsi="Times New Roman"/>
          <w:sz w:val="24"/>
          <w:lang w:val="fr-CA"/>
        </w:rPr>
        <w:t>Le projet de loi</w:t>
      </w:r>
      <w:r w:rsidRPr="00E21F50">
        <w:rPr>
          <w:rFonts w:ascii="Times New Roman" w:eastAsia="MS Mincho" w:hAnsi="Times New Roman"/>
          <w:sz w:val="24"/>
          <w:lang w:val="fr-CA"/>
        </w:rPr>
        <w:t xml:space="preserve"> </w:t>
      </w:r>
      <w:r>
        <w:rPr>
          <w:rFonts w:ascii="Times New Roman" w:eastAsia="MS Mincho" w:hAnsi="Times New Roman"/>
          <w:sz w:val="24"/>
          <w:lang w:val="fr-CA"/>
        </w:rPr>
        <w:t>comporte diverses dispositions, dont les paragraphes les plus pertinents sont rédigés comme suit :</w:t>
      </w:r>
    </w:p>
    <w:p w:rsidR="00605B79" w:rsidRDefault="00605B79" w:rsidP="00605B79">
      <w:pPr>
        <w:pStyle w:val="Textebrut"/>
        <w:jc w:val="both"/>
        <w:rPr>
          <w:rFonts w:ascii="Times New Roman" w:eastAsia="MS Mincho" w:hAnsi="Times New Roman"/>
          <w:sz w:val="24"/>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r w:rsidRPr="00085E49">
        <w:rPr>
          <w:rFonts w:ascii="Times New Roman" w:eastAsia="MS Mincho" w:hAnsi="Times New Roman"/>
          <w:sz w:val="22"/>
          <w:szCs w:val="22"/>
          <w:lang w:val="fr-CA"/>
        </w:rPr>
        <w:t xml:space="preserve">3 (1) La cible de réduction des émissions de gaz visées pour l’Alberta est la réduction, par rapport au produit intérieur brut de l’Alberta, des émissions de gaz à un montant égal à 50% ou moins des niveaux de 1990, d’ici le 31 décembre 2020.  </w:t>
      </w:r>
    </w:p>
    <w:p w:rsidR="00605B79" w:rsidRPr="00085E49" w:rsidRDefault="00605B79" w:rsidP="00605B79">
      <w:pPr>
        <w:pStyle w:val="Textebrut"/>
        <w:ind w:left="1440"/>
        <w:rPr>
          <w:rFonts w:ascii="Times New Roman" w:eastAsia="MS Mincho" w:hAnsi="Times New Roman"/>
          <w:sz w:val="22"/>
          <w:szCs w:val="22"/>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r w:rsidRPr="00085E49">
        <w:rPr>
          <w:rFonts w:ascii="Times New Roman" w:eastAsia="MS Mincho" w:hAnsi="Times New Roman"/>
          <w:sz w:val="22"/>
          <w:szCs w:val="22"/>
          <w:lang w:val="fr-CA"/>
        </w:rPr>
        <w:t>3 (2)</w:t>
      </w:r>
      <w:r w:rsidRPr="00085E49">
        <w:rPr>
          <w:rFonts w:ascii="Times New Roman" w:eastAsia="MS Mincho" w:hAnsi="Times New Roman"/>
          <w:i/>
          <w:iCs/>
          <w:sz w:val="22"/>
          <w:szCs w:val="22"/>
          <w:lang w:val="fr-CA"/>
        </w:rPr>
        <w:t xml:space="preserve"> </w:t>
      </w:r>
      <w:r w:rsidRPr="00085E49">
        <w:rPr>
          <w:rFonts w:ascii="Times New Roman" w:eastAsia="MS Mincho" w:hAnsi="Times New Roman"/>
          <w:sz w:val="22"/>
          <w:szCs w:val="22"/>
          <w:lang w:val="fr-CA"/>
        </w:rPr>
        <w:t xml:space="preserve">Le </w:t>
      </w:r>
      <w:proofErr w:type="spellStart"/>
      <w:r w:rsidRPr="00085E49">
        <w:rPr>
          <w:rFonts w:ascii="Times New Roman" w:eastAsia="MS Mincho" w:hAnsi="Times New Roman"/>
          <w:sz w:val="22"/>
          <w:szCs w:val="22"/>
          <w:lang w:val="fr-CA"/>
        </w:rPr>
        <w:t>lieutenant gouverneur</w:t>
      </w:r>
      <w:proofErr w:type="spellEnd"/>
      <w:r w:rsidRPr="00085E49">
        <w:rPr>
          <w:rFonts w:ascii="Times New Roman" w:eastAsia="MS Mincho" w:hAnsi="Times New Roman"/>
          <w:sz w:val="22"/>
          <w:szCs w:val="22"/>
          <w:lang w:val="fr-CA"/>
        </w:rPr>
        <w:t xml:space="preserve"> en conseil peut faire des règlements (a) établissant des cibles intérimaires de réduction des émissions de gaz pour l’Alberta […]  afin d’atteindre l’objectif fixé par le premier paragraphe. </w:t>
      </w:r>
    </w:p>
    <w:p w:rsidR="00605B79" w:rsidRPr="00085E49" w:rsidRDefault="00605B79" w:rsidP="00605B79">
      <w:pPr>
        <w:pStyle w:val="Textebrut"/>
        <w:ind w:left="1440"/>
        <w:rPr>
          <w:rFonts w:ascii="Times New Roman" w:eastAsia="MS Mincho" w:hAnsi="Times New Roman"/>
          <w:sz w:val="22"/>
          <w:szCs w:val="22"/>
          <w:lang w:val="fr-CA"/>
        </w:rPr>
      </w:pPr>
    </w:p>
    <w:p w:rsidR="00605B79" w:rsidRPr="00085E49" w:rsidRDefault="00605B79" w:rsidP="00605B79">
      <w:pPr>
        <w:pStyle w:val="Textebrut"/>
        <w:ind w:left="1440"/>
        <w:jc w:val="both"/>
        <w:rPr>
          <w:rFonts w:ascii="Times New Roman" w:eastAsia="MS Mincho" w:hAnsi="Times New Roman"/>
          <w:sz w:val="22"/>
          <w:szCs w:val="22"/>
          <w:lang w:val="fr-CA"/>
        </w:rPr>
      </w:pPr>
      <w:r w:rsidRPr="00085E49">
        <w:rPr>
          <w:rFonts w:ascii="Times New Roman" w:eastAsia="MS Mincho" w:hAnsi="Times New Roman"/>
          <w:sz w:val="22"/>
          <w:szCs w:val="22"/>
          <w:lang w:val="fr-CA"/>
        </w:rPr>
        <w:t>3 (3) Les cibles de réduction de gaz visées qui sont établies en vertu de cette loi sont les seules cibles de réduction des émissions de gaz visées qui sont en vigueur en Alberta.</w:t>
      </w:r>
    </w:p>
    <w:p w:rsidR="00605B79" w:rsidRDefault="00605B79" w:rsidP="00605B79">
      <w:pPr>
        <w:jc w:val="both"/>
        <w:rPr>
          <w:lang w:val="fr-CA"/>
        </w:rPr>
      </w:pPr>
    </w:p>
    <w:p w:rsidR="00605B79" w:rsidRDefault="00605B79" w:rsidP="00605B79">
      <w:pPr>
        <w:pStyle w:val="Textebrut"/>
        <w:jc w:val="both"/>
        <w:rPr>
          <w:rFonts w:ascii="Times New Roman" w:eastAsia="MS Mincho" w:hAnsi="Times New Roman"/>
          <w:sz w:val="24"/>
          <w:lang w:val="fr-CA"/>
        </w:rPr>
      </w:pPr>
      <w:r>
        <w:rPr>
          <w:rFonts w:ascii="Times New Roman" w:eastAsia="MS Mincho" w:hAnsi="Times New Roman"/>
          <w:b/>
          <w:bCs/>
          <w:i/>
          <w:iCs/>
          <w:sz w:val="24"/>
          <w:lang w:val="fr-CA"/>
        </w:rPr>
        <w:t xml:space="preserve">Questions </w:t>
      </w:r>
    </w:p>
    <w:p w:rsidR="00605B79" w:rsidRDefault="00605B79" w:rsidP="00605B79">
      <w:pPr>
        <w:pStyle w:val="Textebrut"/>
        <w:jc w:val="both"/>
        <w:rPr>
          <w:rFonts w:ascii="Times New Roman" w:eastAsia="MS Mincho" w:hAnsi="Times New Roman"/>
          <w:sz w:val="24"/>
          <w:lang w:val="fr-CA"/>
        </w:rPr>
      </w:pPr>
    </w:p>
    <w:p w:rsidR="00605B79" w:rsidRDefault="00605B79" w:rsidP="00605B79">
      <w:pPr>
        <w:jc w:val="both"/>
        <w:rPr>
          <w:rFonts w:eastAsia="MS Mincho"/>
          <w:lang w:val="fr-CA"/>
        </w:rPr>
      </w:pPr>
      <w:r>
        <w:rPr>
          <w:rFonts w:eastAsia="MS Mincho"/>
          <w:lang w:val="fr-CA"/>
        </w:rPr>
        <w:t xml:space="preserve">(1) Compte tenu notamment des principes constitutionnels et des règles d’interprétation applicables au partage des compétences législatives en vertu de la </w:t>
      </w:r>
      <w:r>
        <w:rPr>
          <w:rFonts w:eastAsia="MS Mincho"/>
          <w:i/>
          <w:iCs/>
          <w:lang w:val="fr-CA"/>
        </w:rPr>
        <w:t>Loi constitutionnelle de 1867</w:t>
      </w:r>
      <w:r>
        <w:rPr>
          <w:rFonts w:eastAsia="MS Mincho"/>
          <w:lang w:val="fr-CA"/>
        </w:rPr>
        <w:t xml:space="preserve">, quels sont les arguments que l’on pourrait faire valoir pour contester la validité, en tout ou en partie, de la </w:t>
      </w:r>
      <w:r>
        <w:rPr>
          <w:rFonts w:eastAsia="MS Mincho"/>
          <w:i/>
          <w:lang w:val="fr-CA"/>
        </w:rPr>
        <w:t xml:space="preserve">Loi sur le contrôle des émissions de gaz à effet de serre </w:t>
      </w:r>
      <w:r>
        <w:rPr>
          <w:rFonts w:eastAsia="MS Mincho"/>
          <w:lang w:val="fr-CA"/>
        </w:rPr>
        <w:t>?  (2) Quels sont les moyens que pourrait faire valoir le procureur général du Canada pour soutenir la validité de cette loi fédérale?</w:t>
      </w:r>
    </w:p>
    <w:p w:rsidR="00605B79" w:rsidRDefault="00605B79" w:rsidP="00605B79">
      <w:pPr>
        <w:jc w:val="both"/>
        <w:rPr>
          <w:rFonts w:eastAsia="MS Mincho"/>
          <w:lang w:val="fr-CA"/>
        </w:rPr>
      </w:pPr>
    </w:p>
    <w:p w:rsidR="00605B79" w:rsidRDefault="00605B79" w:rsidP="00605B79">
      <w:pPr>
        <w:jc w:val="both"/>
        <w:rPr>
          <w:rFonts w:eastAsia="MS Mincho"/>
          <w:lang w:val="fr-CA"/>
        </w:rPr>
      </w:pPr>
      <w:r w:rsidRPr="000A642F">
        <w:rPr>
          <w:rFonts w:eastAsia="MS Mincho"/>
          <w:b/>
          <w:i/>
          <w:lang w:val="fr-CA"/>
        </w:rPr>
        <w:t>Notez bien</w:t>
      </w:r>
      <w:r>
        <w:rPr>
          <w:rFonts w:eastAsia="MS Mincho"/>
          <w:lang w:val="fr-CA"/>
        </w:rPr>
        <w:t> </w:t>
      </w:r>
      <w:r w:rsidRPr="000A642F">
        <w:rPr>
          <w:rFonts w:eastAsia="MS Mincho"/>
          <w:u w:val="single"/>
          <w:lang w:val="fr-CA"/>
        </w:rPr>
        <w:t>: la validité de la loi albertaine n’est pas contestée</w:t>
      </w:r>
      <w:r>
        <w:rPr>
          <w:rFonts w:eastAsia="MS Mincho"/>
          <w:u w:val="single"/>
          <w:lang w:val="fr-CA"/>
        </w:rPr>
        <w:t>; vous pouvez présumer, aux fins de votre réponse à la prochaine question, qu’elle est valide</w:t>
      </w:r>
      <w:r>
        <w:rPr>
          <w:rFonts w:eastAsia="MS Mincho"/>
          <w:lang w:val="fr-CA"/>
        </w:rPr>
        <w:t>.  (3) Si la loi fédérale est valide et la loi albertaine également, faut-il se soumettre aux deux régimes?</w:t>
      </w:r>
    </w:p>
    <w:p w:rsidR="00605B79" w:rsidRDefault="00605B79" w:rsidP="00605B79">
      <w:pPr>
        <w:jc w:val="both"/>
        <w:rPr>
          <w:rFonts w:eastAsia="MS Mincho"/>
          <w:lang w:val="fr-CA"/>
        </w:rPr>
      </w:pPr>
    </w:p>
    <w:p w:rsidR="00605B79" w:rsidRDefault="00605B79" w:rsidP="00605B79">
      <w:pPr>
        <w:jc w:val="both"/>
        <w:rPr>
          <w:rFonts w:eastAsia="MS Mincho"/>
          <w:lang w:val="fr-CA"/>
        </w:rPr>
      </w:pPr>
      <w:r>
        <w:rPr>
          <w:rFonts w:eastAsia="MS Mincho"/>
          <w:lang w:val="fr-CA"/>
        </w:rPr>
        <w:t>Motivez votre réponse en citant les principes et les dispositions constitutionnels ainsi que les règles d’interprétation et les arrêts de jurisprudence qui sont pertinents.</w:t>
      </w:r>
    </w:p>
    <w:p w:rsidR="00605B79" w:rsidRDefault="00605B79" w:rsidP="00605B79">
      <w:pPr>
        <w:jc w:val="both"/>
        <w:rPr>
          <w:lang w:val="fr-CA"/>
        </w:rPr>
      </w:pPr>
    </w:p>
    <w:p w:rsidR="00605B79" w:rsidRDefault="00605B79" w:rsidP="00605B79">
      <w:pPr>
        <w:jc w:val="both"/>
        <w:rPr>
          <w:rFonts w:eastAsia="MS Mincho"/>
          <w:lang w:val="fr-CA"/>
        </w:rPr>
      </w:pPr>
    </w:p>
    <w:p w:rsidR="001D1BB5" w:rsidRPr="00605B79" w:rsidRDefault="00D01B44">
      <w:pPr>
        <w:rPr>
          <w:lang w:val="fr-CA"/>
        </w:rPr>
      </w:pPr>
    </w:p>
    <w:sectPr w:rsidR="001D1BB5" w:rsidRPr="00605B79">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1B44" w:rsidRDefault="00D01B44" w:rsidP="00090256">
      <w:r>
        <w:separator/>
      </w:r>
    </w:p>
  </w:endnote>
  <w:endnote w:type="continuationSeparator" w:id="0">
    <w:p w:rsidR="00D01B44" w:rsidRDefault="00D01B44" w:rsidP="00090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4431216"/>
      <w:docPartObj>
        <w:docPartGallery w:val="Page Numbers (Bottom of Page)"/>
        <w:docPartUnique/>
      </w:docPartObj>
    </w:sdtPr>
    <w:sdtEndPr>
      <w:rPr>
        <w:noProof/>
      </w:rPr>
    </w:sdtEndPr>
    <w:sdtContent>
      <w:p w:rsidR="00090256" w:rsidRDefault="00090256">
        <w:pPr>
          <w:pStyle w:val="Pieddepage"/>
          <w:jc w:val="center"/>
        </w:pPr>
        <w:r>
          <w:fldChar w:fldCharType="begin"/>
        </w:r>
        <w:r>
          <w:instrText xml:space="preserve"> PAGE   \* MERGEFORMAT </w:instrText>
        </w:r>
        <w:r>
          <w:fldChar w:fldCharType="separate"/>
        </w:r>
        <w:r w:rsidR="00DB74ED">
          <w:rPr>
            <w:noProof/>
          </w:rPr>
          <w:t>10</w:t>
        </w:r>
        <w:r>
          <w:rPr>
            <w:noProof/>
          </w:rPr>
          <w:fldChar w:fldCharType="end"/>
        </w:r>
      </w:p>
    </w:sdtContent>
  </w:sdt>
  <w:p w:rsidR="00090256" w:rsidRDefault="0009025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1B44" w:rsidRDefault="00D01B44" w:rsidP="00090256">
      <w:r>
        <w:separator/>
      </w:r>
    </w:p>
  </w:footnote>
  <w:footnote w:type="continuationSeparator" w:id="0">
    <w:p w:rsidR="00D01B44" w:rsidRDefault="00D01B44" w:rsidP="000902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452770"/>
    <w:multiLevelType w:val="multilevel"/>
    <w:tmpl w:val="449EE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4AD21E0E"/>
    <w:multiLevelType w:val="multilevel"/>
    <w:tmpl w:val="5B1A5F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694551E0"/>
    <w:multiLevelType w:val="multilevel"/>
    <w:tmpl w:val="8070D0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6E0A56B7"/>
    <w:multiLevelType w:val="multilevel"/>
    <w:tmpl w:val="BF3CF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 w:numId="5">
    <w:abstractNumId w:val="2"/>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B79"/>
    <w:rsid w:val="00090256"/>
    <w:rsid w:val="00213EF6"/>
    <w:rsid w:val="004F527F"/>
    <w:rsid w:val="00605B79"/>
    <w:rsid w:val="00AC3FCD"/>
    <w:rsid w:val="00B97E43"/>
    <w:rsid w:val="00D01B44"/>
    <w:rsid w:val="00DB74ED"/>
    <w:rsid w:val="00DD6562"/>
    <w:rsid w:val="00EC07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45422F-14F5-4020-8BCA-3A24EAEE9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B79"/>
    <w:pPr>
      <w:spacing w:after="0" w:line="240" w:lineRule="auto"/>
    </w:pPr>
    <w:rPr>
      <w:rFonts w:ascii="Times New Roman" w:eastAsia="Times New Roman" w:hAnsi="Times New Roman" w:cs="Times New Roman"/>
      <w:sz w:val="24"/>
      <w:szCs w:val="20"/>
    </w:rPr>
  </w:style>
  <w:style w:type="paragraph" w:styleId="Titre1">
    <w:name w:val="heading 1"/>
    <w:basedOn w:val="Normal"/>
    <w:link w:val="Titre1Car"/>
    <w:qFormat/>
    <w:rsid w:val="00DD6562"/>
    <w:pPr>
      <w:outlineLvl w:val="0"/>
    </w:pPr>
    <w:rPr>
      <w:kern w:val="36"/>
      <w:sz w:val="35"/>
      <w:szCs w:val="35"/>
      <w:lang w:eastAsia="en-CA"/>
    </w:rPr>
  </w:style>
  <w:style w:type="paragraph" w:styleId="Titre2">
    <w:name w:val="heading 2"/>
    <w:basedOn w:val="Normal"/>
    <w:next w:val="Normal"/>
    <w:link w:val="Titre2Car"/>
    <w:qFormat/>
    <w:rsid w:val="00DD6562"/>
    <w:pPr>
      <w:keepNext/>
      <w:spacing w:before="240"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nhideWhenUsed/>
    <w:rsid w:val="00605B79"/>
    <w:pPr>
      <w:spacing w:before="100" w:beforeAutospacing="1" w:after="100" w:afterAutospacing="1"/>
    </w:pPr>
    <w:rPr>
      <w:szCs w:val="24"/>
      <w:lang w:eastAsia="en-CA"/>
    </w:rPr>
  </w:style>
  <w:style w:type="character" w:customStyle="1" w:styleId="nobold">
    <w:name w:val="nobold"/>
    <w:basedOn w:val="Policepardfaut"/>
    <w:rsid w:val="00605B79"/>
    <w:rPr>
      <w:b/>
      <w:bCs/>
      <w:sz w:val="36"/>
      <w:szCs w:val="36"/>
    </w:rPr>
  </w:style>
  <w:style w:type="paragraph" w:styleId="Textebrut">
    <w:name w:val="Plain Text"/>
    <w:basedOn w:val="Normal"/>
    <w:link w:val="TextebrutCar"/>
    <w:rsid w:val="00605B79"/>
    <w:rPr>
      <w:rFonts w:ascii="Courier New" w:hAnsi="Courier New" w:cs="Courier New"/>
      <w:sz w:val="20"/>
      <w:lang w:val="en-IE"/>
    </w:rPr>
  </w:style>
  <w:style w:type="character" w:customStyle="1" w:styleId="TextebrutCar">
    <w:name w:val="Texte brut Car"/>
    <w:basedOn w:val="Policepardfaut"/>
    <w:link w:val="Textebrut"/>
    <w:rsid w:val="00605B79"/>
    <w:rPr>
      <w:rFonts w:ascii="Courier New" w:eastAsia="Times New Roman" w:hAnsi="Courier New" w:cs="Courier New"/>
      <w:sz w:val="20"/>
      <w:szCs w:val="20"/>
      <w:lang w:val="en-IE"/>
    </w:rPr>
  </w:style>
  <w:style w:type="paragraph" w:styleId="Retraitcorpsdetexte">
    <w:name w:val="Body Text Indent"/>
    <w:basedOn w:val="Normal"/>
    <w:link w:val="RetraitcorpsdetexteCar"/>
    <w:rsid w:val="00605B79"/>
    <w:pPr>
      <w:autoSpaceDE w:val="0"/>
      <w:autoSpaceDN w:val="0"/>
      <w:adjustRightInd w:val="0"/>
      <w:ind w:left="720"/>
      <w:jc w:val="both"/>
    </w:pPr>
    <w:rPr>
      <w:sz w:val="20"/>
      <w:szCs w:val="21"/>
      <w:lang w:val="en-US"/>
    </w:rPr>
  </w:style>
  <w:style w:type="character" w:customStyle="1" w:styleId="RetraitcorpsdetexteCar">
    <w:name w:val="Retrait corps de texte Car"/>
    <w:basedOn w:val="Policepardfaut"/>
    <w:link w:val="Retraitcorpsdetexte"/>
    <w:rsid w:val="00605B79"/>
    <w:rPr>
      <w:rFonts w:ascii="Times New Roman" w:eastAsia="Times New Roman" w:hAnsi="Times New Roman" w:cs="Times New Roman"/>
      <w:sz w:val="20"/>
      <w:szCs w:val="21"/>
      <w:lang w:val="en-US"/>
    </w:rPr>
  </w:style>
  <w:style w:type="character" w:customStyle="1" w:styleId="Titre1Car">
    <w:name w:val="Titre 1 Car"/>
    <w:basedOn w:val="Policepardfaut"/>
    <w:link w:val="Titre1"/>
    <w:rsid w:val="00DD6562"/>
    <w:rPr>
      <w:rFonts w:ascii="Times New Roman" w:eastAsia="Times New Roman" w:hAnsi="Times New Roman" w:cs="Times New Roman"/>
      <w:kern w:val="36"/>
      <w:sz w:val="35"/>
      <w:szCs w:val="35"/>
      <w:lang w:eastAsia="en-CA"/>
    </w:rPr>
  </w:style>
  <w:style w:type="character" w:customStyle="1" w:styleId="Titre2Car">
    <w:name w:val="Titre 2 Car"/>
    <w:basedOn w:val="Policepardfaut"/>
    <w:link w:val="Titre2"/>
    <w:rsid w:val="00DD6562"/>
    <w:rPr>
      <w:rFonts w:ascii="Arial" w:eastAsia="Times New Roman" w:hAnsi="Arial" w:cs="Arial"/>
      <w:b/>
      <w:bCs/>
      <w:i/>
      <w:iCs/>
      <w:sz w:val="28"/>
      <w:szCs w:val="28"/>
    </w:rPr>
  </w:style>
  <w:style w:type="paragraph" w:customStyle="1" w:styleId="marginalnote">
    <w:name w:val="marginalnote"/>
    <w:basedOn w:val="Normal"/>
    <w:rsid w:val="00DD6562"/>
    <w:pPr>
      <w:spacing w:before="168" w:after="100" w:afterAutospacing="1"/>
    </w:pPr>
    <w:rPr>
      <w:color w:val="008000"/>
      <w:szCs w:val="24"/>
      <w:lang w:eastAsia="en-CA"/>
    </w:rPr>
  </w:style>
  <w:style w:type="paragraph" w:customStyle="1" w:styleId="secsubsec">
    <w:name w:val="secsubsec"/>
    <w:basedOn w:val="Normal"/>
    <w:rsid w:val="00DD6562"/>
    <w:pPr>
      <w:spacing w:before="168" w:after="100" w:afterAutospacing="1"/>
      <w:ind w:firstLine="336"/>
    </w:pPr>
    <w:rPr>
      <w:szCs w:val="24"/>
      <w:lang w:eastAsia="en-CA"/>
    </w:rPr>
  </w:style>
  <w:style w:type="paragraph" w:customStyle="1" w:styleId="paragraph">
    <w:name w:val="paragraph"/>
    <w:basedOn w:val="Normal"/>
    <w:rsid w:val="00DD6562"/>
    <w:pPr>
      <w:spacing w:before="168" w:after="100" w:afterAutospacing="1"/>
      <w:ind w:left="336"/>
    </w:pPr>
    <w:rPr>
      <w:szCs w:val="24"/>
      <w:lang w:eastAsia="en-CA"/>
    </w:rPr>
  </w:style>
  <w:style w:type="character" w:customStyle="1" w:styleId="italic1">
    <w:name w:val="italic1"/>
    <w:basedOn w:val="Policepardfaut"/>
    <w:rsid w:val="00DD6562"/>
    <w:rPr>
      <w:i/>
      <w:iCs/>
    </w:rPr>
  </w:style>
  <w:style w:type="character" w:customStyle="1" w:styleId="indentlabel1">
    <w:name w:val="indentlabel1"/>
    <w:basedOn w:val="Policepardfaut"/>
    <w:rsid w:val="00DD6562"/>
  </w:style>
  <w:style w:type="paragraph" w:styleId="En-tte">
    <w:name w:val="header"/>
    <w:basedOn w:val="Normal"/>
    <w:link w:val="En-tteCar"/>
    <w:uiPriority w:val="99"/>
    <w:unhideWhenUsed/>
    <w:rsid w:val="00090256"/>
    <w:pPr>
      <w:tabs>
        <w:tab w:val="center" w:pos="4680"/>
        <w:tab w:val="right" w:pos="9360"/>
      </w:tabs>
    </w:pPr>
  </w:style>
  <w:style w:type="character" w:customStyle="1" w:styleId="En-tteCar">
    <w:name w:val="En-tête Car"/>
    <w:basedOn w:val="Policepardfaut"/>
    <w:link w:val="En-tte"/>
    <w:uiPriority w:val="99"/>
    <w:rsid w:val="00090256"/>
    <w:rPr>
      <w:rFonts w:ascii="Times New Roman" w:eastAsia="Times New Roman" w:hAnsi="Times New Roman" w:cs="Times New Roman"/>
      <w:sz w:val="24"/>
      <w:szCs w:val="20"/>
    </w:rPr>
  </w:style>
  <w:style w:type="paragraph" w:styleId="Pieddepage">
    <w:name w:val="footer"/>
    <w:basedOn w:val="Normal"/>
    <w:link w:val="PieddepageCar"/>
    <w:uiPriority w:val="99"/>
    <w:unhideWhenUsed/>
    <w:rsid w:val="00090256"/>
    <w:pPr>
      <w:tabs>
        <w:tab w:val="center" w:pos="4680"/>
        <w:tab w:val="right" w:pos="9360"/>
      </w:tabs>
    </w:pPr>
  </w:style>
  <w:style w:type="character" w:customStyle="1" w:styleId="PieddepageCar">
    <w:name w:val="Pied de page Car"/>
    <w:basedOn w:val="Policepardfaut"/>
    <w:link w:val="Pieddepage"/>
    <w:uiPriority w:val="99"/>
    <w:rsid w:val="00090256"/>
    <w:rPr>
      <w:rFonts w:ascii="Times New Roman" w:eastAsia="Times New Roman" w:hAnsi="Times New Roman" w:cs="Times New Roman"/>
      <w:sz w:val="24"/>
      <w:szCs w:val="20"/>
    </w:rPr>
  </w:style>
  <w:style w:type="paragraph" w:styleId="Textedebulles">
    <w:name w:val="Balloon Text"/>
    <w:basedOn w:val="Normal"/>
    <w:link w:val="TextedebullesCar"/>
    <w:uiPriority w:val="99"/>
    <w:semiHidden/>
    <w:unhideWhenUsed/>
    <w:rsid w:val="00AC3FCD"/>
    <w:rPr>
      <w:rFonts w:ascii="Segoe UI" w:hAnsi="Segoe UI" w:cs="Segoe UI"/>
      <w:sz w:val="18"/>
      <w:szCs w:val="18"/>
    </w:rPr>
  </w:style>
  <w:style w:type="character" w:customStyle="1" w:styleId="TextedebullesCar">
    <w:name w:val="Texte de bulles Car"/>
    <w:basedOn w:val="Policepardfaut"/>
    <w:link w:val="Textedebulles"/>
    <w:uiPriority w:val="99"/>
    <w:semiHidden/>
    <w:rsid w:val="00AC3FC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181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1</Pages>
  <Words>4438</Words>
  <Characters>24414</Characters>
  <Application>Microsoft Office Word</Application>
  <DocSecurity>0</DocSecurity>
  <Lines>203</Lines>
  <Paragraphs>57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Department of Justice / Ministère de la Justice</Company>
  <LinksUpToDate>false</LinksUpToDate>
  <CharactersWithSpaces>28795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Newman, Warren</dc:creator>
  <cp:keywords/>
  <dc:description/>
  <cp:lastModifiedBy>Stefan Leblanc</cp:lastModifiedBy>
  <cp:revision>4</cp:revision>
  <cp:lastPrinted>2015-04-06T20:16:00Z</cp:lastPrinted>
  <dcterms:created xsi:type="dcterms:W3CDTF">2015-03-20T22:34:00Z</dcterms:created>
  <dcterms:modified xsi:type="dcterms:W3CDTF">2015-04-07T02:13:00Z</dcterms:modified>
</cp:coreProperties>
</file>