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510" w:rsidRDefault="00C11E43" w:rsidP="00C11E43">
      <w:pPr>
        <w:jc w:val="both"/>
      </w:pPr>
      <w:r>
        <w:t>K</w:t>
      </w:r>
      <w:r w:rsidR="001A753E">
        <w:t>ITKALA</w:t>
      </w:r>
      <w:r>
        <w:tab/>
      </w:r>
      <w:r w:rsidR="00F06510">
        <w:tab/>
      </w:r>
      <w:r w:rsidR="00232ED7" w:rsidRPr="00D26423">
        <w:rPr>
          <w:i/>
        </w:rPr>
        <w:t>C</w:t>
      </w:r>
      <w:r w:rsidR="00F06510" w:rsidRPr="00D26423">
        <w:rPr>
          <w:i/>
        </w:rPr>
        <w:t xml:space="preserve">ontestation </w:t>
      </w:r>
      <w:r w:rsidR="0070640A">
        <w:rPr>
          <w:i/>
        </w:rPr>
        <w:t xml:space="preserve">de la validité </w:t>
      </w:r>
      <w:r w:rsidR="00F06510" w:rsidRPr="00D26423">
        <w:rPr>
          <w:i/>
        </w:rPr>
        <w:t>d’une loi provinciale</w:t>
      </w:r>
      <w:r w:rsidR="001A753E">
        <w:tab/>
      </w:r>
    </w:p>
    <w:p w:rsidR="00F31755" w:rsidRDefault="00C11E43" w:rsidP="007B1BFF">
      <w:pPr>
        <w:ind w:left="2124"/>
        <w:jc w:val="both"/>
      </w:pPr>
      <w:r w:rsidRPr="00C11E43">
        <w:t xml:space="preserve">Une loi provinciale qui a pour effet d'accroître la protection du patrimoine culturel autochtone </w:t>
      </w:r>
      <w:r w:rsidR="00DA0686" w:rsidRPr="00DA0686">
        <w:t>se trouvant sur des terres de la couronne e</w:t>
      </w:r>
      <w:r w:rsidR="001A753E">
        <w:t>t non pas</w:t>
      </w:r>
      <w:r w:rsidR="00DA0686" w:rsidRPr="00DA0686">
        <w:t xml:space="preserve"> sur une réserve indienne </w:t>
      </w:r>
      <w:r w:rsidR="001A753E">
        <w:t xml:space="preserve">est valide </w:t>
      </w:r>
      <w:r w:rsidRPr="00C11E43">
        <w:t>et n'empiète pas sur la compétence fédérale en matière autochtone</w:t>
      </w:r>
      <w:r w:rsidR="00DA0686">
        <w:t xml:space="preserve"> prévue à l’art 91 (24) de la LC 1867</w:t>
      </w:r>
    </w:p>
    <w:p w:rsidR="001A753E" w:rsidRDefault="001A753E" w:rsidP="00C11E43">
      <w:pPr>
        <w:jc w:val="both"/>
      </w:pPr>
    </w:p>
    <w:p w:rsidR="00F06510" w:rsidRDefault="001A753E" w:rsidP="00C11E43">
      <w:pPr>
        <w:jc w:val="both"/>
      </w:pPr>
      <w:r>
        <w:t>GMC</w:t>
      </w:r>
      <w:r>
        <w:tab/>
      </w:r>
      <w:r>
        <w:tab/>
      </w:r>
      <w:r>
        <w:tab/>
      </w:r>
      <w:r w:rsidR="00232ED7" w:rsidRPr="00D26423">
        <w:rPr>
          <w:i/>
        </w:rPr>
        <w:t>C</w:t>
      </w:r>
      <w:r w:rsidR="00F06510" w:rsidRPr="00D26423">
        <w:rPr>
          <w:i/>
        </w:rPr>
        <w:t xml:space="preserve">ontestation </w:t>
      </w:r>
      <w:r w:rsidR="0070640A">
        <w:rPr>
          <w:i/>
        </w:rPr>
        <w:t xml:space="preserve">de la validité </w:t>
      </w:r>
      <w:r w:rsidR="00F06510" w:rsidRPr="00D26423">
        <w:rPr>
          <w:i/>
        </w:rPr>
        <w:t>d’une loi fédérale</w:t>
      </w:r>
    </w:p>
    <w:p w:rsidR="00F06510" w:rsidRDefault="00480319" w:rsidP="007B1BFF">
      <w:pPr>
        <w:ind w:left="2124"/>
        <w:jc w:val="both"/>
      </w:pPr>
      <w:r>
        <w:t>Les dispositions d’une loi fédérale</w:t>
      </w:r>
      <w:r w:rsidR="001729F0">
        <w:t xml:space="preserve"> créant</w:t>
      </w:r>
      <w:r w:rsidRPr="00480319">
        <w:t xml:space="preserve"> un droit d'action de nature civile </w:t>
      </w:r>
      <w:r w:rsidR="00F06510">
        <w:t xml:space="preserve">relevant par le fait même </w:t>
      </w:r>
      <w:r w:rsidR="00F06510" w:rsidRPr="00F06510">
        <w:t>de la compétence des provinces</w:t>
      </w:r>
      <w:r w:rsidR="007B1BFF">
        <w:t xml:space="preserve"> ne sont pas </w:t>
      </w:r>
      <w:r w:rsidR="001729F0">
        <w:t>invalides suivant la théorie selon laquelle une l</w:t>
      </w:r>
      <w:r w:rsidR="007B1BFF">
        <w:t xml:space="preserve">oi qui, de par son caractère </w:t>
      </w:r>
      <w:r w:rsidR="001729F0">
        <w:t>véritable, est fédérale sera maintenue même s</w:t>
      </w:r>
      <w:r w:rsidR="007B1BFF">
        <w:t xml:space="preserve">i elle touche à des matières </w:t>
      </w:r>
      <w:r w:rsidR="001729F0">
        <w:t>qui paraissent constituer des sujets légitimes d</w:t>
      </w:r>
      <w:r w:rsidR="007B1BFF">
        <w:t xml:space="preserve">e législation provinciale et </w:t>
      </w:r>
      <w:r w:rsidR="001729F0">
        <w:t>vice versa</w:t>
      </w:r>
      <w:r w:rsidR="00F06510">
        <w:t>.</w:t>
      </w:r>
      <w:r>
        <w:tab/>
      </w:r>
    </w:p>
    <w:p w:rsidR="00AD7DBB" w:rsidRDefault="00F06510" w:rsidP="00600207">
      <w:pPr>
        <w:jc w:val="both"/>
      </w:pPr>
      <w:r>
        <w:tab/>
      </w:r>
      <w:r>
        <w:tab/>
      </w:r>
      <w:r>
        <w:tab/>
      </w:r>
    </w:p>
    <w:p w:rsidR="00232ED7" w:rsidRPr="003345CE" w:rsidRDefault="00AD7DBB" w:rsidP="00232ED7">
      <w:pPr>
        <w:jc w:val="both"/>
        <w:rPr>
          <w:sz w:val="16"/>
          <w:szCs w:val="16"/>
        </w:rPr>
      </w:pPr>
      <w:r>
        <w:t>LACOMBE</w:t>
      </w:r>
      <w:r>
        <w:tab/>
      </w:r>
      <w:r>
        <w:tab/>
      </w:r>
      <w:r w:rsidR="00BD7B9C">
        <w:rPr>
          <w:i/>
        </w:rPr>
        <w:t>l’exclusivité des compétences</w:t>
      </w:r>
      <w:r w:rsidR="003345CE" w:rsidRPr="00D26423">
        <w:rPr>
          <w:i/>
        </w:rPr>
        <w:t xml:space="preserve"> s’applique</w:t>
      </w:r>
      <w:r w:rsidR="003345CE">
        <w:t xml:space="preserve"> </w:t>
      </w:r>
      <w:r w:rsidR="00D26423">
        <w:t xml:space="preserve">            </w:t>
      </w:r>
      <w:r w:rsidR="003345CE" w:rsidRPr="00D26423">
        <w:rPr>
          <w:sz w:val="16"/>
          <w:szCs w:val="16"/>
        </w:rPr>
        <w:t>lois conflictuelles</w:t>
      </w:r>
    </w:p>
    <w:p w:rsidR="00232ED7" w:rsidRDefault="00232ED7" w:rsidP="00D0109C">
      <w:pPr>
        <w:ind w:left="2124"/>
        <w:jc w:val="both"/>
      </w:pPr>
      <w:r>
        <w:t>Un règlement de zonage interdisant l'expl</w:t>
      </w:r>
      <w:r w:rsidR="00D0109C">
        <w:t xml:space="preserve">oitation d'un aérodrome sur </w:t>
      </w:r>
      <w:r>
        <w:t>une partie du territoire d'une municipalité, bie</w:t>
      </w:r>
      <w:r w:rsidR="00D0109C">
        <w:t xml:space="preserve">n qu'il soit valide, ne peut </w:t>
      </w:r>
      <w:r>
        <w:t>s'appliqu</w:t>
      </w:r>
      <w:r w:rsidR="00D0109C">
        <w:t>er en raison de l’exclusivité</w:t>
      </w:r>
      <w:r>
        <w:t xml:space="preserve"> </w:t>
      </w:r>
      <w:r w:rsidR="00D0109C">
        <w:t xml:space="preserve">de la compétence fédérale en </w:t>
      </w:r>
      <w:r>
        <w:t>aéronautique.</w:t>
      </w:r>
    </w:p>
    <w:p w:rsidR="00232ED7" w:rsidRDefault="00232ED7" w:rsidP="00D0109C">
      <w:pPr>
        <w:ind w:left="2124"/>
        <w:jc w:val="both"/>
      </w:pPr>
      <w:r>
        <w:t>Il ressort de la preuve que le véritable objet</w:t>
      </w:r>
      <w:r w:rsidR="00D0109C">
        <w:t xml:space="preserve"> du règlement n'a aucun lien </w:t>
      </w:r>
      <w:r>
        <w:t xml:space="preserve">avec le zonage et ne se rattache </w:t>
      </w:r>
      <w:r w:rsidR="00D0109C">
        <w:t xml:space="preserve">à aucun chef de compétence </w:t>
      </w:r>
      <w:r>
        <w:t xml:space="preserve">provinciale; ce règlement est inapplicable à </w:t>
      </w:r>
      <w:r w:rsidR="00D0109C">
        <w:t xml:space="preserve">l'aérodrome exploité par les </w:t>
      </w:r>
      <w:r>
        <w:t>intimés, vu la compétence exclusive</w:t>
      </w:r>
      <w:r w:rsidR="00D0109C">
        <w:t xml:space="preserve"> du</w:t>
      </w:r>
      <w:r>
        <w:t xml:space="preserve"> fédérale en aéronautique.</w:t>
      </w:r>
    </w:p>
    <w:p w:rsidR="00D0109C" w:rsidRDefault="00D0109C" w:rsidP="00D0109C">
      <w:pPr>
        <w:ind w:left="2124"/>
        <w:jc w:val="both"/>
      </w:pPr>
      <w:r>
        <w:t xml:space="preserve">Ainsi, en vertu de la doctrine des pouvoirs accessoires, la disposition interdisant d’opérer un aérodrome adopté par la municipalité dans le cadre de son règlement de zonage est invalide car elle excède ses pouvoirs. </w:t>
      </w:r>
    </w:p>
    <w:p w:rsidR="007B1BFF" w:rsidRDefault="007B1BFF" w:rsidP="00232ED7"/>
    <w:p w:rsidR="003345CE" w:rsidRPr="003345CE" w:rsidRDefault="00232ED7" w:rsidP="00232ED7">
      <w:pPr>
        <w:rPr>
          <w:sz w:val="16"/>
          <w:szCs w:val="16"/>
        </w:rPr>
      </w:pPr>
      <w:r>
        <w:t>CHATTERJEE</w:t>
      </w:r>
      <w:r>
        <w:tab/>
      </w:r>
      <w:r>
        <w:tab/>
      </w:r>
      <w:r w:rsidR="003345CE" w:rsidRPr="00D26423">
        <w:rPr>
          <w:i/>
        </w:rPr>
        <w:t>La prépondérance fédérale ne s’applique pas</w:t>
      </w:r>
      <w:r w:rsidR="003345CE">
        <w:t xml:space="preserve"> </w:t>
      </w:r>
      <w:r w:rsidR="00D26423">
        <w:t xml:space="preserve">       </w:t>
      </w:r>
      <w:r w:rsidR="003345CE" w:rsidRPr="00D26423">
        <w:rPr>
          <w:sz w:val="16"/>
          <w:szCs w:val="16"/>
        </w:rPr>
        <w:t>les lois ne sont pas conflictuelles</w:t>
      </w:r>
    </w:p>
    <w:p w:rsidR="00C11E43" w:rsidRDefault="008E0C46" w:rsidP="005E31EC">
      <w:pPr>
        <w:ind w:left="2124"/>
        <w:jc w:val="both"/>
      </w:pPr>
      <w:r w:rsidRPr="008E0C46">
        <w:t>Il n'y a pas de conflit d'applicat</w:t>
      </w:r>
      <w:r>
        <w:t>ion entre</w:t>
      </w:r>
      <w:r w:rsidR="005E31EC">
        <w:t xml:space="preserve"> les dispositions d’une Loi </w:t>
      </w:r>
      <w:r>
        <w:t>provinciale</w:t>
      </w:r>
      <w:r w:rsidRPr="008E0C46">
        <w:t xml:space="preserve"> relatives aux produits d'activités illégales et les dispositions du Code criminel</w:t>
      </w:r>
    </w:p>
    <w:p w:rsidR="008E0C46" w:rsidRDefault="008E0C46" w:rsidP="005E31EC">
      <w:pPr>
        <w:ind w:left="2124"/>
        <w:jc w:val="both"/>
      </w:pPr>
      <w:r w:rsidRPr="008E0C46">
        <w:t xml:space="preserve">La loi a été adoptée en vertu </w:t>
      </w:r>
      <w:r w:rsidR="005E31EC">
        <w:t xml:space="preserve">de l’art 92 (13) de la LC 1867, </w:t>
      </w:r>
      <w:r w:rsidRPr="008E0C46">
        <w:t xml:space="preserve">un chef de compétence provincial </w:t>
      </w:r>
      <w:r w:rsidR="005E31EC">
        <w:t xml:space="preserve">portant sur la propriété et les droits civils, </w:t>
      </w:r>
      <w:r w:rsidRPr="008E0C46">
        <w:t>et ses dispositions peuvent accessoirement touchées la loi fédérale sans pour</w:t>
      </w:r>
      <w:r w:rsidR="005E31EC">
        <w:t xml:space="preserve"> </w:t>
      </w:r>
      <w:r w:rsidRPr="008E0C46">
        <w:t>autant porter atteinte au partage des pouvoirs. La loi ne cherche pas à compléter le droit criminel fédéral.</w:t>
      </w:r>
    </w:p>
    <w:p w:rsidR="003F6871" w:rsidRDefault="005E31EC" w:rsidP="00232ED7">
      <w:r>
        <w:tab/>
      </w:r>
      <w:r>
        <w:tab/>
      </w:r>
      <w:r>
        <w:tab/>
      </w:r>
    </w:p>
    <w:p w:rsidR="003F6871" w:rsidRDefault="003F6871" w:rsidP="00232ED7">
      <w:r>
        <w:t>RIO HOTEL</w:t>
      </w:r>
      <w:r>
        <w:tab/>
      </w:r>
      <w:r>
        <w:tab/>
      </w:r>
      <w:r w:rsidRPr="00D26423">
        <w:rPr>
          <w:i/>
        </w:rPr>
        <w:t>Principe du double aspect</w:t>
      </w:r>
    </w:p>
    <w:p w:rsidR="003F6871" w:rsidRDefault="003F6871" w:rsidP="00600207">
      <w:pPr>
        <w:ind w:left="2124"/>
        <w:jc w:val="both"/>
      </w:pPr>
      <w:r w:rsidRPr="003F6871">
        <w:t xml:space="preserve">La cour peut validement règlementer l’activité de la danse nue dans les établissements de boisson car, malgré qu’il y ait un certain chevauchement de la condition de licence interdisant les spectacles de nudités et de différentes dispositions du code criminel, il n’y a pas de conflit direct. </w:t>
      </w:r>
    </w:p>
    <w:p w:rsidR="00441F2D" w:rsidRDefault="003F6871" w:rsidP="00600207">
      <w:pPr>
        <w:ind w:left="2124"/>
        <w:jc w:val="both"/>
      </w:pPr>
      <w:r w:rsidRPr="003F6871">
        <w:t>En effet, il est tout à fait poss</w:t>
      </w:r>
      <w:r w:rsidR="003345CE">
        <w:t>ible de se conformer aux 2 lois car l</w:t>
      </w:r>
      <w:r w:rsidR="003345CE" w:rsidRPr="003345CE">
        <w:t xml:space="preserve">es sujets qui, sous un certain aspect et pour une certaine fin, relèvent de l’article 92, peuvent, sous un autre aspect et pour une autre fin, relever </w:t>
      </w:r>
      <w:r w:rsidR="003345CE">
        <w:t>de l’article 91; et vice versa.</w:t>
      </w:r>
    </w:p>
    <w:p w:rsidR="003F6871" w:rsidRDefault="003F6871" w:rsidP="00441F2D"/>
    <w:p w:rsidR="00600207" w:rsidRDefault="00600207" w:rsidP="00441F2D"/>
    <w:p w:rsidR="00441F2D" w:rsidRDefault="002C4D46" w:rsidP="00441F2D">
      <w:r w:rsidRPr="002C4D46">
        <w:rPr>
          <w:b/>
        </w:rPr>
        <w:lastRenderedPageBreak/>
        <w:t>*</w:t>
      </w:r>
      <w:r w:rsidR="00441F2D">
        <w:t>BANQUE DE L’OUEST</w:t>
      </w:r>
      <w:r w:rsidR="00441F2D">
        <w:tab/>
      </w:r>
      <w:r w:rsidR="000378E6" w:rsidRPr="00D26423">
        <w:rPr>
          <w:i/>
        </w:rPr>
        <w:t>Exclusivité des compétences</w:t>
      </w:r>
      <w:r w:rsidR="0069408A" w:rsidRPr="00D26423">
        <w:rPr>
          <w:i/>
        </w:rPr>
        <w:t xml:space="preserve"> inapplicable</w:t>
      </w:r>
      <w:r>
        <w:rPr>
          <w:i/>
        </w:rPr>
        <w:t>s</w:t>
      </w:r>
    </w:p>
    <w:p w:rsidR="0069408A" w:rsidRDefault="0069408A" w:rsidP="00600207">
      <w:pPr>
        <w:ind w:left="2124"/>
        <w:jc w:val="both"/>
      </w:pPr>
      <w:r>
        <w:t>L</w:t>
      </w:r>
      <w:r w:rsidRPr="0069408A">
        <w:t xml:space="preserve">a doctrine de l'exclusivité des compétences était inapplicable puisque la promotion </w:t>
      </w:r>
      <w:r w:rsidR="00163B3B">
        <w:t xml:space="preserve">de produits </w:t>
      </w:r>
      <w:r w:rsidRPr="0069408A">
        <w:t>d'assurance autorisée ne faisait pas partie du contenu essentiel des opérations des banques, et que la doctrine de la prépondérance fédérale était inapplicable en raison de l'absence de conflit d'application entre les législations fédérale et provinciale</w:t>
      </w:r>
    </w:p>
    <w:p w:rsidR="00816B70" w:rsidRDefault="00816B70" w:rsidP="00600207">
      <w:pPr>
        <w:ind w:left="2124"/>
        <w:jc w:val="both"/>
      </w:pPr>
      <w:r w:rsidRPr="00816B70">
        <w:t>Le simple fait pour le parlement de pouv</w:t>
      </w:r>
      <w:r w:rsidR="00600207">
        <w:t xml:space="preserve">oir établir de nouvelles formes </w:t>
      </w:r>
      <w:r w:rsidRPr="00816B70">
        <w:t>de financement ne signifie pas que le par 91(15) attribue au parlement la compétence exclusive d’en règlementer la promotion</w:t>
      </w:r>
    </w:p>
    <w:p w:rsidR="0069408A" w:rsidRDefault="0069408A" w:rsidP="00816B70">
      <w:pPr>
        <w:jc w:val="both"/>
      </w:pPr>
    </w:p>
    <w:p w:rsidR="0069408A" w:rsidRDefault="0069408A" w:rsidP="00816B70">
      <w:pPr>
        <w:jc w:val="both"/>
      </w:pPr>
      <w:r>
        <w:t>C.O.P.A.</w:t>
      </w:r>
      <w:r>
        <w:tab/>
      </w:r>
      <w:r>
        <w:tab/>
      </w:r>
      <w:r w:rsidRPr="00D26423">
        <w:rPr>
          <w:i/>
        </w:rPr>
        <w:t>Exclusivité des compétences applicable</w:t>
      </w:r>
    </w:p>
    <w:p w:rsidR="007B1BFF" w:rsidRDefault="0069408A" w:rsidP="00600207">
      <w:pPr>
        <w:ind w:left="2124"/>
        <w:jc w:val="both"/>
      </w:pPr>
      <w:r>
        <w:t xml:space="preserve">La compétence fédérale en matière </w:t>
      </w:r>
      <w:r w:rsidR="007B1BFF">
        <w:t xml:space="preserve">d'aéronautique comprend non </w:t>
      </w:r>
      <w:r>
        <w:t>seulement la réglementation de l'explo</w:t>
      </w:r>
      <w:r w:rsidR="007B1BFF">
        <w:t xml:space="preserve">itation des aéronefs et des </w:t>
      </w:r>
      <w:r>
        <w:t xml:space="preserve">aéroports, mais également le pouvoir de </w:t>
      </w:r>
      <w:r w:rsidR="007B1BFF">
        <w:t xml:space="preserve">déterminer l'emplacement des </w:t>
      </w:r>
      <w:r>
        <w:t xml:space="preserve">aéroports et des aérodromes; l'article  26 de </w:t>
      </w:r>
      <w:r w:rsidR="007B1BFF">
        <w:t xml:space="preserve">la Loi sur la protection du </w:t>
      </w:r>
      <w:r>
        <w:t>territoire et des activités agricoles empiète sur cette compétence.</w:t>
      </w:r>
    </w:p>
    <w:p w:rsidR="0069408A" w:rsidRDefault="0069408A" w:rsidP="00600207">
      <w:pPr>
        <w:ind w:left="2124"/>
        <w:jc w:val="both"/>
      </w:pPr>
      <w:r>
        <w:t>En raison de la doctrine de l'exclusivité des</w:t>
      </w:r>
      <w:r w:rsidR="00600207">
        <w:t xml:space="preserve"> compétences, la Loi sur la </w:t>
      </w:r>
      <w:r>
        <w:t>protection du territoire et de</w:t>
      </w:r>
      <w:r w:rsidR="00600207">
        <w:t xml:space="preserve">s activités agricoles est </w:t>
      </w:r>
      <w:r>
        <w:t>constitutionnellement inapplicable à l'aérodrome exploité par l'intimée.</w:t>
      </w:r>
    </w:p>
    <w:p w:rsidR="0069408A" w:rsidRDefault="0069408A" w:rsidP="0069408A">
      <w:pPr>
        <w:jc w:val="both"/>
      </w:pPr>
    </w:p>
    <w:p w:rsidR="009E44BB" w:rsidRDefault="0069408A" w:rsidP="0069408A">
      <w:pPr>
        <w:jc w:val="both"/>
      </w:pPr>
      <w:r>
        <w:t>PHS</w:t>
      </w:r>
      <w:r w:rsidR="002873A6">
        <w:tab/>
      </w:r>
      <w:r w:rsidR="009E44BB">
        <w:tab/>
      </w:r>
      <w:r w:rsidR="009E44BB">
        <w:tab/>
      </w:r>
      <w:r w:rsidR="009E44BB" w:rsidRPr="00D26423">
        <w:rPr>
          <w:i/>
        </w:rPr>
        <w:t xml:space="preserve">Exclusivité des compétences s’applique </w:t>
      </w:r>
    </w:p>
    <w:p w:rsidR="0069408A" w:rsidRDefault="009E44BB" w:rsidP="00600207">
      <w:pPr>
        <w:ind w:left="2124"/>
        <w:jc w:val="both"/>
      </w:pPr>
      <w:r>
        <w:t>Fédéralisme coopératif issu des efforts conc</w:t>
      </w:r>
      <w:r w:rsidR="00600207">
        <w:t>ertés des instances locales, provinciales et fédérales.</w:t>
      </w:r>
      <w:bookmarkStart w:id="0" w:name="_GoBack"/>
      <w:bookmarkEnd w:id="0"/>
    </w:p>
    <w:p w:rsidR="002873A6" w:rsidRDefault="009E44BB" w:rsidP="00600207">
      <w:pPr>
        <w:ind w:left="2124"/>
        <w:jc w:val="both"/>
      </w:pPr>
      <w:r>
        <w:t>L</w:t>
      </w:r>
      <w:r w:rsidR="002873A6">
        <w:t xml:space="preserve">e refus du ministre fédéral de la Santé d'exempter la clinique d'injection </w:t>
      </w:r>
      <w:r w:rsidR="00600207">
        <w:t>«</w:t>
      </w:r>
      <w:proofErr w:type="spellStart"/>
      <w:r w:rsidR="002873A6">
        <w:t>Insite</w:t>
      </w:r>
      <w:proofErr w:type="spellEnd"/>
      <w:r w:rsidR="00600207">
        <w:t>»</w:t>
      </w:r>
      <w:r w:rsidR="002873A6">
        <w:t xml:space="preserve"> de la loi viole les droits garantis aux défendeurs par ce même article de la charte, de sorte qu'il est ordonné au ministre d'accorder une exemption à </w:t>
      </w:r>
      <w:proofErr w:type="spellStart"/>
      <w:r w:rsidR="002873A6">
        <w:t>Insite</w:t>
      </w:r>
      <w:proofErr w:type="spellEnd"/>
      <w:r w:rsidR="002873A6">
        <w:t xml:space="preserve"> conformément à l'article 56 de la </w:t>
      </w:r>
      <w:r w:rsidR="002873A6" w:rsidRPr="002873A6">
        <w:t>loi, qui confère au ministre de la Santé le pouvoir discrétionnaire d'</w:t>
      </w:r>
      <w:r w:rsidR="00600207">
        <w:t xml:space="preserve">accorder une exemption </w:t>
      </w:r>
      <w:r>
        <w:t xml:space="preserve">pour des </w:t>
      </w:r>
      <w:r w:rsidR="002873A6" w:rsidRPr="002873A6">
        <w:t xml:space="preserve">raisons </w:t>
      </w:r>
      <w:proofErr w:type="gramStart"/>
      <w:r w:rsidR="002873A6" w:rsidRPr="002873A6">
        <w:t>scientifiques</w:t>
      </w:r>
      <w:proofErr w:type="gramEnd"/>
      <w:r w:rsidR="002873A6" w:rsidRPr="002873A6">
        <w:t xml:space="preserve"> ou médicales</w:t>
      </w:r>
      <w:r w:rsidR="002873A6">
        <w:t>.</w:t>
      </w:r>
    </w:p>
    <w:p w:rsidR="0069408A" w:rsidRDefault="009E44BB" w:rsidP="0069408A">
      <w:pPr>
        <w:jc w:val="both"/>
      </w:pPr>
      <w:r>
        <w:tab/>
      </w:r>
      <w:r>
        <w:tab/>
      </w:r>
      <w:r>
        <w:tab/>
      </w:r>
    </w:p>
    <w:p w:rsidR="00F02786" w:rsidRDefault="00F02786" w:rsidP="00816B70">
      <w:pPr>
        <w:jc w:val="both"/>
      </w:pPr>
      <w:r>
        <w:t>MULTIPLE ACCESS</w:t>
      </w:r>
      <w:r>
        <w:tab/>
      </w:r>
      <w:r w:rsidR="00450D10" w:rsidRPr="00D26423">
        <w:rPr>
          <w:i/>
        </w:rPr>
        <w:t xml:space="preserve">La doctrine du double aspect </w:t>
      </w:r>
    </w:p>
    <w:p w:rsidR="00D26423" w:rsidRDefault="00D26423" w:rsidP="00600207">
      <w:pPr>
        <w:ind w:left="2124"/>
        <w:jc w:val="both"/>
      </w:pPr>
      <w:r w:rsidRPr="00D26423">
        <w:t>Dans un conflit d’app</w:t>
      </w:r>
      <w:r>
        <w:t>licabilité</w:t>
      </w:r>
      <w:r w:rsidRPr="00D26423">
        <w:t>, il fait rechercher le degré d’incompatibilité</w:t>
      </w:r>
    </w:p>
    <w:p w:rsidR="00450D10" w:rsidRDefault="00450D10" w:rsidP="00600207">
      <w:pPr>
        <w:ind w:left="2124"/>
        <w:jc w:val="both"/>
      </w:pPr>
      <w:r>
        <w:t>La doctrine du double aspect s’applique</w:t>
      </w:r>
      <w:r w:rsidR="00AD35D8">
        <w:t xml:space="preserve"> lorsqu’il est difficile de préciser de quelle compétence relève le sujet en question et qu’après l’analyse, </w:t>
      </w:r>
      <w:r>
        <w:t>aucune raison</w:t>
      </w:r>
      <w:r w:rsidR="00AD35D8">
        <w:t xml:space="preserve"> évidente ne nous amène à </w:t>
      </w:r>
      <w:r>
        <w:t>en rejeter</w:t>
      </w:r>
      <w:r w:rsidR="00AD35D8">
        <w:t xml:space="preserve"> une et </w:t>
      </w:r>
      <w:r w:rsidR="008F2C15">
        <w:t xml:space="preserve">à </w:t>
      </w:r>
      <w:r w:rsidR="00AD35D8">
        <w:t xml:space="preserve">en </w:t>
      </w:r>
      <w:r>
        <w:t>conserver l’autre.</w:t>
      </w:r>
    </w:p>
    <w:p w:rsidR="008F2C15" w:rsidRDefault="008F2C15" w:rsidP="00600207">
      <w:pPr>
        <w:ind w:left="2124"/>
        <w:jc w:val="both"/>
      </w:pPr>
      <w:r>
        <w:t>En effet, une matière</w:t>
      </w:r>
      <w:r w:rsidRPr="008F2C15">
        <w:t xml:space="preserve"> qui, à un égard </w:t>
      </w:r>
      <w:r>
        <w:t>et pour un motif précis relève de l’art 92 peu</w:t>
      </w:r>
      <w:r w:rsidRPr="008F2C15">
        <w:t>t, à un autre égard et pour un autre motif, relever de l’art 91.</w:t>
      </w:r>
    </w:p>
    <w:p w:rsidR="008B61C5" w:rsidRDefault="008B61C5" w:rsidP="00600207">
      <w:pPr>
        <w:ind w:left="2124"/>
        <w:jc w:val="both"/>
      </w:pPr>
      <w:r>
        <w:t xml:space="preserve">Il n’y a pas de conflit puisque se conformer à l’une </w:t>
      </w:r>
      <w:r w:rsidR="008F2C15">
        <w:t xml:space="preserve">des lois </w:t>
      </w:r>
      <w:r>
        <w:t>ne signifie pas que l’on enfreint l’autre. Il semble donc que les lois peuvent avoir un effet concurrent entre-elles. Il est clair qu’une loi provinciale n’est pas inopérante du seul fait qu’elle chevauche une loi fédérale.</w:t>
      </w:r>
    </w:p>
    <w:p w:rsidR="008B61C5" w:rsidRPr="008F2C15" w:rsidRDefault="008F2C15" w:rsidP="00600207">
      <w:pPr>
        <w:ind w:left="2124"/>
        <w:jc w:val="both"/>
        <w:rPr>
          <w:i/>
        </w:rPr>
      </w:pPr>
      <w:r>
        <w:t>Tel que l’exprimait J.A. Corry </w:t>
      </w:r>
      <w:proofErr w:type="gramStart"/>
      <w:r>
        <w:t xml:space="preserve">: </w:t>
      </w:r>
      <w:r w:rsidR="00600207">
        <w:t xml:space="preserve"> </w:t>
      </w:r>
      <w:r>
        <w:t>«</w:t>
      </w:r>
      <w:proofErr w:type="gramEnd"/>
      <w:r>
        <w:rPr>
          <w:i/>
        </w:rPr>
        <w:t xml:space="preserve">Notre pays s’éloigne de plus en plus du </w:t>
      </w:r>
      <w:r w:rsidR="00600207">
        <w:rPr>
          <w:i/>
        </w:rPr>
        <w:tab/>
        <w:t xml:space="preserve">vieux </w:t>
      </w:r>
      <w:r>
        <w:rPr>
          <w:i/>
        </w:rPr>
        <w:t>fédéralisme classique des «compartiments étanches» et il semble que nous nous dirigeons vers un fédéralisme coopératif car la multiplication des domaines de compétence concurrente est l’un des aspects de cette tendance»</w:t>
      </w:r>
    </w:p>
    <w:p w:rsidR="00AD35D8" w:rsidRPr="0002555D" w:rsidRDefault="00D26423" w:rsidP="00816B70">
      <w:pPr>
        <w:jc w:val="both"/>
        <w:rPr>
          <w:i/>
        </w:rPr>
      </w:pPr>
      <w:r>
        <w:lastRenderedPageBreak/>
        <w:t>MANGAT</w:t>
      </w:r>
      <w:r>
        <w:tab/>
      </w:r>
      <w:r>
        <w:tab/>
      </w:r>
      <w:r w:rsidR="0002555D">
        <w:rPr>
          <w:i/>
        </w:rPr>
        <w:t>Prépondérance des lois fédérales</w:t>
      </w:r>
    </w:p>
    <w:p w:rsidR="0002555D" w:rsidRDefault="0002555D" w:rsidP="00600207">
      <w:pPr>
        <w:ind w:left="2124"/>
        <w:jc w:val="both"/>
      </w:pPr>
      <w:r w:rsidRPr="0002555D">
        <w:t xml:space="preserve">En cas de conflit entre deux lois sur la représentation par des non-avocats devant la Commission de l'immigration et du statut de réfugié, la Loi sur l'immigration, loi fédérale, prime la </w:t>
      </w:r>
      <w:proofErr w:type="spellStart"/>
      <w:r w:rsidRPr="0002555D">
        <w:t>Legal</w:t>
      </w:r>
      <w:proofErr w:type="spellEnd"/>
      <w:r w:rsidRPr="0002555D">
        <w:t xml:space="preserve"> Profession </w:t>
      </w:r>
      <w:proofErr w:type="spellStart"/>
      <w:r w:rsidRPr="0002555D">
        <w:t>Act</w:t>
      </w:r>
      <w:proofErr w:type="spellEnd"/>
      <w:r w:rsidRPr="0002555D">
        <w:t>, loi provinciale, par application de la règle de la prépondérance</w:t>
      </w:r>
    </w:p>
    <w:p w:rsidR="0002555D" w:rsidRDefault="0002555D" w:rsidP="00600207">
      <w:pPr>
        <w:ind w:left="2124"/>
        <w:jc w:val="both"/>
      </w:pPr>
      <w:r>
        <w:t xml:space="preserve">La prépondérance des lois fédérale peut tout de </w:t>
      </w:r>
      <w:r w:rsidR="00600207">
        <w:t xml:space="preserve">même s’appliquer pour </w:t>
      </w:r>
      <w:r>
        <w:t>déjouer le pouvoir du parlement provincial</w:t>
      </w:r>
    </w:p>
    <w:p w:rsidR="0002555D" w:rsidRPr="00D26423" w:rsidRDefault="0002555D" w:rsidP="00600207">
      <w:pPr>
        <w:ind w:left="2124"/>
        <w:jc w:val="both"/>
      </w:pPr>
      <w:r>
        <w:t xml:space="preserve">Le fédéral ne cherche pas à tout règlementer </w:t>
      </w:r>
      <w:r w:rsidR="00600207">
        <w:t xml:space="preserve">du fait qu’il est conscient </w:t>
      </w:r>
      <w:r w:rsidR="00600207">
        <w:tab/>
      </w:r>
      <w:r>
        <w:t>que les lois provinciales sont fonctionnel</w:t>
      </w:r>
      <w:r w:rsidR="00600207">
        <w:t xml:space="preserve">les et qu’elles ne vont pas </w:t>
      </w:r>
      <w:r>
        <w:t>nécessairement à l’encontre des lois fé</w:t>
      </w:r>
      <w:r w:rsidR="00600207">
        <w:t xml:space="preserve">dérales à moins qu’il y ait </w:t>
      </w:r>
      <w:r>
        <w:t>manifestement incompatibilité ou conflit</w:t>
      </w:r>
    </w:p>
    <w:p w:rsidR="00450D10" w:rsidRDefault="00450D10" w:rsidP="00816B70">
      <w:pPr>
        <w:jc w:val="both"/>
      </w:pPr>
      <w:r>
        <w:t xml:space="preserve">   </w:t>
      </w:r>
    </w:p>
    <w:p w:rsidR="00600207" w:rsidRDefault="00600207" w:rsidP="002C3D2F">
      <w:pPr>
        <w:spacing w:after="0"/>
        <w:jc w:val="both"/>
      </w:pPr>
    </w:p>
    <w:p w:rsidR="002C3D2F" w:rsidRDefault="002C3D2F" w:rsidP="002C3D2F">
      <w:pPr>
        <w:spacing w:after="0"/>
        <w:jc w:val="both"/>
      </w:pPr>
      <w:r>
        <w:t>ROTHMANS</w:t>
      </w:r>
      <w:r>
        <w:tab/>
      </w:r>
      <w:r>
        <w:tab/>
      </w:r>
      <w:r w:rsidR="00C90BFB" w:rsidRPr="00600207">
        <w:rPr>
          <w:i/>
        </w:rPr>
        <w:t xml:space="preserve">1 loi provinciale et 1 loi fédérale se rapportant à la même matière avec </w:t>
      </w:r>
    </w:p>
    <w:p w:rsidR="002C3D2F" w:rsidRPr="00600207" w:rsidRDefault="002C3D2F" w:rsidP="002C3D2F">
      <w:pPr>
        <w:spacing w:after="0"/>
        <w:jc w:val="both"/>
        <w:rPr>
          <w:i/>
        </w:rPr>
      </w:pPr>
      <w:r>
        <w:t>BENSONS &amp;</w:t>
      </w:r>
      <w:r w:rsidR="00C90BFB">
        <w:tab/>
      </w:r>
      <w:r w:rsidR="00C90BFB">
        <w:tab/>
      </w:r>
      <w:r w:rsidR="00C90BFB" w:rsidRPr="00600207">
        <w:rPr>
          <w:i/>
        </w:rPr>
        <w:t>des dispositions contradictoires concernant le même sujet</w:t>
      </w:r>
    </w:p>
    <w:p w:rsidR="002C3D2F" w:rsidRDefault="002C3D2F" w:rsidP="002C3D2F">
      <w:pPr>
        <w:spacing w:after="0"/>
        <w:jc w:val="both"/>
      </w:pPr>
      <w:r>
        <w:t>HEDGES</w:t>
      </w:r>
      <w:r w:rsidR="008938F5">
        <w:tab/>
      </w:r>
      <w:r w:rsidR="008938F5">
        <w:tab/>
      </w:r>
    </w:p>
    <w:p w:rsidR="008938F5" w:rsidRDefault="008938F5" w:rsidP="00600207">
      <w:pPr>
        <w:spacing w:after="0"/>
        <w:ind w:left="2124"/>
        <w:jc w:val="both"/>
      </w:pPr>
      <w:r>
        <w:t>L’application de la loi provinciale est-il compat</w:t>
      </w:r>
      <w:r w:rsidR="00600207">
        <w:t xml:space="preserve">ible avec l’objet de la loi </w:t>
      </w:r>
      <w:r>
        <w:t>fédérale ?</w:t>
      </w:r>
    </w:p>
    <w:p w:rsidR="00600207" w:rsidRDefault="00511F5C" w:rsidP="00600207">
      <w:pPr>
        <w:spacing w:after="0"/>
        <w:ind w:left="2124"/>
        <w:jc w:val="both"/>
      </w:pPr>
      <w:r>
        <w:tab/>
      </w:r>
      <w:r>
        <w:tab/>
      </w:r>
      <w:r>
        <w:tab/>
      </w:r>
    </w:p>
    <w:p w:rsidR="00511F5C" w:rsidRDefault="00511F5C" w:rsidP="00600207">
      <w:pPr>
        <w:spacing w:after="0"/>
        <w:ind w:left="2124"/>
        <w:jc w:val="both"/>
      </w:pPr>
      <w:r>
        <w:t>Une loi provinciale ne doit pas entraver la réal</w:t>
      </w:r>
      <w:r w:rsidR="00600207">
        <w:t xml:space="preserve">isation de l’objet d’une loi </w:t>
      </w:r>
      <w:r>
        <w:t>fédérale, soit en rendant impossible le respect</w:t>
      </w:r>
      <w:r w:rsidR="00600207">
        <w:t xml:space="preserve"> de celle-ci, soit par tout </w:t>
      </w:r>
      <w:r>
        <w:t>autre moyen. En ce sens, l’impossibili</w:t>
      </w:r>
      <w:r w:rsidR="00600207">
        <w:t xml:space="preserve">té de se conformer aux deux </w:t>
      </w:r>
      <w:r>
        <w:t>textes suffit pour établir l’incompatibilité, mais ce n’est pas le seul critère.</w:t>
      </w:r>
    </w:p>
    <w:p w:rsidR="00511F5C" w:rsidRDefault="00511F5C" w:rsidP="00600207">
      <w:pPr>
        <w:spacing w:after="0"/>
        <w:ind w:left="2124"/>
        <w:jc w:val="both"/>
      </w:pPr>
    </w:p>
    <w:p w:rsidR="00511F5C" w:rsidRDefault="00511F5C" w:rsidP="00600207">
      <w:pPr>
        <w:spacing w:after="0"/>
        <w:ind w:left="2124"/>
        <w:jc w:val="both"/>
      </w:pPr>
      <w:r>
        <w:t>Ainsi, pour décider s’il y a incompatibilité au po</w:t>
      </w:r>
      <w:r w:rsidR="00600207">
        <w:t xml:space="preserve">int de rendre la disposition </w:t>
      </w:r>
      <w:r>
        <w:t>inopérante selon la doctrine de la prépon</w:t>
      </w:r>
      <w:r w:rsidR="00600207">
        <w:t xml:space="preserve">dérance, on doit se poser 2 </w:t>
      </w:r>
      <w:r>
        <w:t>questions :</w:t>
      </w:r>
    </w:p>
    <w:p w:rsidR="00511F5C" w:rsidRDefault="00511F5C" w:rsidP="00600207">
      <w:pPr>
        <w:spacing w:after="0"/>
        <w:ind w:left="2124"/>
        <w:jc w:val="both"/>
      </w:pPr>
    </w:p>
    <w:p w:rsidR="00511F5C" w:rsidRDefault="00511F5C" w:rsidP="00600207">
      <w:pPr>
        <w:spacing w:after="0"/>
        <w:ind w:left="2124"/>
        <w:jc w:val="both"/>
      </w:pPr>
      <w:r>
        <w:t>1</w:t>
      </w:r>
      <w:r>
        <w:rPr>
          <w:vertAlign w:val="superscript"/>
        </w:rPr>
        <w:t>0</w:t>
      </w:r>
      <w:r>
        <w:t xml:space="preserve"> </w:t>
      </w:r>
      <w:r>
        <w:tab/>
        <w:t>Une personne peut-elle se con</w:t>
      </w:r>
      <w:r w:rsidR="00600207">
        <w:t xml:space="preserve">former simultanément aux 2 </w:t>
      </w:r>
      <w:r>
        <w:t>dispositions ?</w:t>
      </w:r>
    </w:p>
    <w:p w:rsidR="00511F5C" w:rsidRDefault="00511F5C" w:rsidP="00600207">
      <w:pPr>
        <w:spacing w:after="0"/>
        <w:ind w:left="2124"/>
        <w:jc w:val="both"/>
      </w:pPr>
      <w:r>
        <w:t>2</w:t>
      </w:r>
      <w:r>
        <w:rPr>
          <w:vertAlign w:val="superscript"/>
        </w:rPr>
        <w:t>0</w:t>
      </w:r>
      <w:r>
        <w:tab/>
        <w:t>La disposition provinciale entrave-</w:t>
      </w:r>
      <w:r w:rsidR="00600207">
        <w:t xml:space="preserve">t-elle l’application de la </w:t>
      </w:r>
      <w:r>
        <w:t>disposition fédérale ?</w:t>
      </w:r>
    </w:p>
    <w:p w:rsidR="00D268E2" w:rsidRDefault="00D268E2" w:rsidP="00600207">
      <w:pPr>
        <w:spacing w:after="0"/>
        <w:ind w:left="2124"/>
        <w:jc w:val="both"/>
      </w:pPr>
    </w:p>
    <w:p w:rsidR="00D268E2" w:rsidRDefault="00D268E2" w:rsidP="00600207">
      <w:pPr>
        <w:spacing w:after="0"/>
        <w:ind w:left="2124"/>
        <w:jc w:val="both"/>
      </w:pPr>
      <w:r>
        <w:t>S’il est possible de se conformer aux 2 dis</w:t>
      </w:r>
      <w:r w:rsidR="00600207">
        <w:t xml:space="preserve">positions sans difficulté à </w:t>
      </w:r>
      <w:r>
        <w:t>appliquer l’une d’elle malgré l’existence de l’aut</w:t>
      </w:r>
      <w:r w:rsidR="00600207">
        <w:t xml:space="preserve">re, il n’existe pas de motif </w:t>
      </w:r>
      <w:r>
        <w:t>d’incompatibilité qui soit susceptible de rendr</w:t>
      </w:r>
      <w:r w:rsidR="00600207">
        <w:t xml:space="preserve">e la disposition provinciale </w:t>
      </w:r>
      <w:r>
        <w:t>inopérante selon la doctrine de la prépondérance des lois fédérales</w:t>
      </w:r>
    </w:p>
    <w:p w:rsidR="007C6A46" w:rsidRDefault="007C6A46" w:rsidP="00600207">
      <w:pPr>
        <w:spacing w:after="0"/>
        <w:ind w:left="2124"/>
        <w:jc w:val="both"/>
      </w:pPr>
    </w:p>
    <w:p w:rsidR="007C6A46" w:rsidRDefault="007C6A46" w:rsidP="00600207">
      <w:pPr>
        <w:spacing w:after="0"/>
        <w:ind w:left="2124"/>
        <w:jc w:val="both"/>
        <w:rPr>
          <w:sz w:val="16"/>
          <w:szCs w:val="16"/>
        </w:rPr>
      </w:pPr>
      <w:r w:rsidRPr="007C6A46">
        <w:rPr>
          <w:sz w:val="16"/>
          <w:szCs w:val="16"/>
        </w:rPr>
        <w:t>Sinon, s’il est impossible de se conformer aux 2 dispositions compte te</w:t>
      </w:r>
      <w:r w:rsidR="00600207">
        <w:rPr>
          <w:sz w:val="16"/>
          <w:szCs w:val="16"/>
        </w:rPr>
        <w:t xml:space="preserve">nu de la difficulté à appliquer </w:t>
      </w:r>
      <w:r w:rsidRPr="007C6A46">
        <w:rPr>
          <w:sz w:val="16"/>
          <w:szCs w:val="16"/>
        </w:rPr>
        <w:t xml:space="preserve">l’une d’elle malgré l’existence de l’autre, il </w:t>
      </w:r>
      <w:r w:rsidR="00600207">
        <w:rPr>
          <w:sz w:val="16"/>
          <w:szCs w:val="16"/>
        </w:rPr>
        <w:t xml:space="preserve">existe un </w:t>
      </w:r>
      <w:r w:rsidRPr="007C6A46">
        <w:rPr>
          <w:sz w:val="16"/>
          <w:szCs w:val="16"/>
        </w:rPr>
        <w:t>motif</w:t>
      </w:r>
      <w:r>
        <w:rPr>
          <w:sz w:val="16"/>
          <w:szCs w:val="16"/>
        </w:rPr>
        <w:t xml:space="preserve"> </w:t>
      </w:r>
      <w:r w:rsidRPr="007C6A46">
        <w:rPr>
          <w:sz w:val="16"/>
          <w:szCs w:val="16"/>
        </w:rPr>
        <w:t xml:space="preserve">d’incompatibilité qui rend la disposition provinciale inopérante selon la doctrine de la prépondérance des lois fédérales </w:t>
      </w:r>
    </w:p>
    <w:p w:rsidR="007C6A46" w:rsidRDefault="007C6A46" w:rsidP="002C3D2F">
      <w:pPr>
        <w:spacing w:after="0"/>
        <w:jc w:val="both"/>
        <w:rPr>
          <w:sz w:val="16"/>
          <w:szCs w:val="16"/>
        </w:rPr>
      </w:pPr>
    </w:p>
    <w:p w:rsidR="007C6A46" w:rsidRDefault="007C6A46" w:rsidP="002C3D2F">
      <w:pPr>
        <w:spacing w:after="0"/>
        <w:jc w:val="both"/>
        <w:rPr>
          <w:sz w:val="16"/>
          <w:szCs w:val="16"/>
        </w:rPr>
      </w:pPr>
    </w:p>
    <w:p w:rsidR="007C6A46" w:rsidRDefault="007C6A46" w:rsidP="002C3D2F">
      <w:pPr>
        <w:spacing w:after="0"/>
        <w:jc w:val="both"/>
        <w:rPr>
          <w:sz w:val="16"/>
          <w:szCs w:val="16"/>
        </w:rPr>
      </w:pPr>
    </w:p>
    <w:p w:rsidR="00600207" w:rsidRDefault="00600207" w:rsidP="007C6A46">
      <w:pPr>
        <w:spacing w:after="0"/>
        <w:jc w:val="both"/>
      </w:pPr>
    </w:p>
    <w:p w:rsidR="00600207" w:rsidRDefault="00600207" w:rsidP="007C6A46">
      <w:pPr>
        <w:spacing w:after="0"/>
        <w:jc w:val="both"/>
      </w:pPr>
    </w:p>
    <w:p w:rsidR="00600207" w:rsidRDefault="00600207" w:rsidP="007C6A46">
      <w:pPr>
        <w:spacing w:after="0"/>
        <w:jc w:val="both"/>
      </w:pPr>
    </w:p>
    <w:p w:rsidR="00600207" w:rsidRDefault="00600207" w:rsidP="007C6A46">
      <w:pPr>
        <w:spacing w:after="0"/>
        <w:jc w:val="both"/>
      </w:pPr>
    </w:p>
    <w:p w:rsidR="00600207" w:rsidRDefault="00600207" w:rsidP="007C6A46">
      <w:pPr>
        <w:spacing w:after="0"/>
        <w:jc w:val="both"/>
      </w:pPr>
    </w:p>
    <w:p w:rsidR="00600207" w:rsidRDefault="00600207" w:rsidP="007C6A46">
      <w:pPr>
        <w:spacing w:after="0"/>
        <w:jc w:val="both"/>
      </w:pPr>
    </w:p>
    <w:p w:rsidR="00600207" w:rsidRDefault="00600207" w:rsidP="007C6A46">
      <w:pPr>
        <w:spacing w:after="0"/>
        <w:jc w:val="both"/>
      </w:pPr>
    </w:p>
    <w:p w:rsidR="00600207" w:rsidRDefault="00600207" w:rsidP="007C6A46">
      <w:pPr>
        <w:spacing w:after="0"/>
        <w:jc w:val="both"/>
      </w:pPr>
    </w:p>
    <w:p w:rsidR="00600207" w:rsidRDefault="00600207" w:rsidP="007C6A46">
      <w:pPr>
        <w:spacing w:after="0"/>
        <w:jc w:val="both"/>
      </w:pPr>
    </w:p>
    <w:p w:rsidR="00600207" w:rsidRDefault="00600207" w:rsidP="007C6A46">
      <w:pPr>
        <w:spacing w:after="0"/>
        <w:jc w:val="both"/>
      </w:pPr>
    </w:p>
    <w:p w:rsidR="00600207" w:rsidRDefault="00600207" w:rsidP="007C6A46">
      <w:pPr>
        <w:spacing w:after="0"/>
        <w:jc w:val="both"/>
      </w:pPr>
    </w:p>
    <w:p w:rsidR="00600207" w:rsidRDefault="00600207" w:rsidP="007C6A46">
      <w:pPr>
        <w:spacing w:after="0"/>
        <w:jc w:val="both"/>
      </w:pPr>
    </w:p>
    <w:p w:rsidR="00600207" w:rsidRDefault="00600207" w:rsidP="007C6A46">
      <w:pPr>
        <w:spacing w:after="0"/>
        <w:jc w:val="both"/>
      </w:pPr>
    </w:p>
    <w:p w:rsidR="007C6A46" w:rsidRDefault="007C6A46" w:rsidP="007C6A46">
      <w:pPr>
        <w:spacing w:after="0"/>
        <w:jc w:val="both"/>
      </w:pPr>
      <w:r>
        <w:t>LAFARGE</w:t>
      </w:r>
      <w:r>
        <w:tab/>
      </w:r>
      <w:r>
        <w:tab/>
      </w:r>
      <w:r w:rsidR="008E6643" w:rsidRPr="008E6643">
        <w:rPr>
          <w:i/>
        </w:rPr>
        <w:t>Doctrine du double aspect</w:t>
      </w:r>
    </w:p>
    <w:p w:rsidR="008E6643" w:rsidRDefault="008E6643" w:rsidP="007C6A46">
      <w:pPr>
        <w:spacing w:after="0"/>
        <w:jc w:val="both"/>
      </w:pPr>
    </w:p>
    <w:p w:rsidR="007C6A46" w:rsidRDefault="007C6A46" w:rsidP="00600207">
      <w:pPr>
        <w:spacing w:after="0"/>
        <w:ind w:left="2124"/>
        <w:jc w:val="both"/>
      </w:pPr>
      <w:r>
        <w:t>La sphère de compétence portuaire relève de la compétence exclusive du fédéral</w:t>
      </w:r>
    </w:p>
    <w:p w:rsidR="007C6A46" w:rsidRDefault="007C6A46" w:rsidP="00600207">
      <w:pPr>
        <w:spacing w:after="0"/>
        <w:ind w:left="2124"/>
        <w:jc w:val="both"/>
      </w:pPr>
    </w:p>
    <w:p w:rsidR="007C6A46" w:rsidRDefault="007C6A46" w:rsidP="00600207">
      <w:pPr>
        <w:spacing w:after="0"/>
        <w:ind w:left="2124"/>
        <w:jc w:val="both"/>
      </w:pPr>
      <w:r>
        <w:t xml:space="preserve">L’utilisation du terrain du port relève en partie de la compétence du provincial </w:t>
      </w:r>
      <w:r w:rsidR="00EF3C30">
        <w:t xml:space="preserve">à l’égard de la sphère «propriété et droits civils» </w:t>
      </w:r>
      <w:r>
        <w:t>et en partie de la compétence fédérale</w:t>
      </w:r>
      <w:r w:rsidR="00EF3C30">
        <w:t xml:space="preserve"> à l’égard de la sphè</w:t>
      </w:r>
      <w:r w:rsidR="00600207">
        <w:t xml:space="preserve">re «navigation, bâtiments ou </w:t>
      </w:r>
      <w:r w:rsidR="00EF3C30">
        <w:t>navires»</w:t>
      </w:r>
    </w:p>
    <w:p w:rsidR="007C6A46" w:rsidRDefault="007C6A46" w:rsidP="00600207">
      <w:pPr>
        <w:spacing w:after="0"/>
        <w:ind w:left="2124"/>
        <w:jc w:val="both"/>
      </w:pPr>
    </w:p>
    <w:p w:rsidR="005F2ABD" w:rsidRDefault="00AA2A30" w:rsidP="00600207">
      <w:pPr>
        <w:spacing w:after="0"/>
        <w:ind w:left="2124"/>
        <w:jc w:val="both"/>
      </w:pPr>
      <w:r>
        <w:t>Ainsi,</w:t>
      </w:r>
      <w:r w:rsidR="005F2ABD">
        <w:t xml:space="preserve"> i</w:t>
      </w:r>
      <w:r w:rsidR="007C6A46">
        <w:t xml:space="preserve">l y </w:t>
      </w:r>
      <w:r w:rsidR="005F2ABD">
        <w:t xml:space="preserve">a </w:t>
      </w:r>
      <w:r w:rsidR="007C6A46">
        <w:t>intégration étroite des lois provinciales quant à l’utilisation du terrain et des lois fédérale quant aux règl</w:t>
      </w:r>
      <w:r w:rsidR="005F2ABD">
        <w:t xml:space="preserve">es portuaires et conséquemment, l’aménagement du </w:t>
      </w:r>
      <w:r>
        <w:t xml:space="preserve">site </w:t>
      </w:r>
      <w:r w:rsidR="00600207">
        <w:t xml:space="preserve">présente un double aspect à </w:t>
      </w:r>
      <w:r>
        <w:t>l’égard du fait que les autorités, tant fédérales</w:t>
      </w:r>
      <w:r w:rsidR="00600207">
        <w:t xml:space="preserve"> que provinciales, ont </w:t>
      </w:r>
      <w:r>
        <w:t>toutes deux un intérêt impérieux.</w:t>
      </w:r>
      <w:r w:rsidR="005F2ABD">
        <w:t xml:space="preserve"> </w:t>
      </w:r>
    </w:p>
    <w:p w:rsidR="00600207" w:rsidRDefault="00600207" w:rsidP="00600207">
      <w:pPr>
        <w:spacing w:after="0"/>
        <w:ind w:left="2124"/>
        <w:jc w:val="both"/>
      </w:pPr>
    </w:p>
    <w:p w:rsidR="007C6A46" w:rsidRDefault="005F2ABD" w:rsidP="00600207">
      <w:pPr>
        <w:spacing w:after="0"/>
        <w:ind w:left="2124"/>
        <w:jc w:val="both"/>
      </w:pPr>
      <w:r>
        <w:t>L</w:t>
      </w:r>
      <w:r w:rsidR="007C6A46">
        <w:t>a règlementation municipale ne peut pas s’opposer à la nature de l’utilisation du terrain par le provincial et le fédéral</w:t>
      </w:r>
      <w:r w:rsidR="00600207">
        <w:t xml:space="preserve"> vu qu’il s’agit d’une </w:t>
      </w:r>
      <w:r w:rsidR="00EF3C30">
        <w:t xml:space="preserve">propriété publique </w:t>
      </w:r>
    </w:p>
    <w:p w:rsidR="007C6A46" w:rsidRDefault="007C6A46" w:rsidP="00600207">
      <w:pPr>
        <w:spacing w:after="0"/>
        <w:ind w:left="2124"/>
        <w:jc w:val="both"/>
      </w:pPr>
    </w:p>
    <w:p w:rsidR="007C6A46" w:rsidRDefault="007C6A46" w:rsidP="00600207">
      <w:pPr>
        <w:spacing w:after="0"/>
        <w:ind w:left="2124"/>
        <w:jc w:val="both"/>
      </w:pPr>
      <w:r>
        <w:t xml:space="preserve">En cas de conflit, </w:t>
      </w:r>
      <w:r w:rsidRPr="007C6A46">
        <w:t xml:space="preserve">il y a prépondérance des </w:t>
      </w:r>
      <w:r>
        <w:t>lois fédérales</w:t>
      </w:r>
    </w:p>
    <w:p w:rsidR="00101342" w:rsidRDefault="00101342" w:rsidP="007C6A46">
      <w:pPr>
        <w:spacing w:after="0"/>
        <w:jc w:val="both"/>
      </w:pPr>
    </w:p>
    <w:p w:rsidR="00101342" w:rsidRDefault="00101342" w:rsidP="007C6A46">
      <w:pPr>
        <w:spacing w:after="0"/>
        <w:jc w:val="both"/>
      </w:pPr>
    </w:p>
    <w:p w:rsidR="00101342" w:rsidRDefault="00101342" w:rsidP="007C6A46">
      <w:pPr>
        <w:spacing w:after="0"/>
        <w:jc w:val="both"/>
      </w:pPr>
      <w:r>
        <w:t>HYDRO QC</w:t>
      </w:r>
      <w:r>
        <w:tab/>
      </w:r>
      <w:r>
        <w:tab/>
      </w:r>
      <w:r>
        <w:rPr>
          <w:i/>
        </w:rPr>
        <w:t xml:space="preserve">Le fédéral utilise sa compétence en matière criminelle pour légiférer en </w:t>
      </w:r>
      <w:r>
        <w:rPr>
          <w:i/>
        </w:rPr>
        <w:tab/>
      </w:r>
      <w:r>
        <w:rPr>
          <w:i/>
        </w:rPr>
        <w:tab/>
      </w:r>
      <w:r>
        <w:rPr>
          <w:i/>
        </w:rPr>
        <w:tab/>
      </w:r>
      <w:r>
        <w:rPr>
          <w:i/>
        </w:rPr>
        <w:tab/>
      </w:r>
      <w:r w:rsidR="00600207">
        <w:rPr>
          <w:i/>
        </w:rPr>
        <w:tab/>
      </w:r>
      <w:r w:rsidR="00600207">
        <w:rPr>
          <w:i/>
        </w:rPr>
        <w:tab/>
      </w:r>
      <w:r w:rsidR="00600207">
        <w:rPr>
          <w:i/>
        </w:rPr>
        <w:tab/>
      </w:r>
      <w:r>
        <w:rPr>
          <w:i/>
        </w:rPr>
        <w:t>matière environnementale qui ne relève d’aucune compétence</w:t>
      </w:r>
      <w:r>
        <w:tab/>
      </w:r>
    </w:p>
    <w:p w:rsidR="00101342" w:rsidRDefault="00101342" w:rsidP="007C6A46">
      <w:pPr>
        <w:spacing w:after="0"/>
        <w:jc w:val="both"/>
      </w:pPr>
      <w:r>
        <w:tab/>
      </w:r>
      <w:r>
        <w:tab/>
      </w:r>
      <w:r>
        <w:tab/>
      </w:r>
    </w:p>
    <w:p w:rsidR="00101342" w:rsidRDefault="00101342" w:rsidP="004A29A0">
      <w:pPr>
        <w:spacing w:after="0"/>
        <w:ind w:left="2124"/>
        <w:jc w:val="both"/>
      </w:pPr>
      <w:r>
        <w:t xml:space="preserve">L’environnement n’est pas, comme tel, un domaine de compétence législative en vertu de la LC 1867. Il s’agit d’un sujet qui touche plusieurs domaines, dont certains sont fédéraux et d’autres provinciaux. En vertu de l’art 91 (27), le parlement est investi du pouvoir d’adopter des lois en matière criminelle. Il relève entièrement du parlement fédéral de décider quel mal il veut supprimer. En l’espèce, le litige porte sur une loi fédérale visant à interdire les BPC. La protection de l’environnement est un problème international qui exige une action des gouvernements à tous les niveaux. </w:t>
      </w:r>
      <w:r w:rsidR="004A29A0">
        <w:t xml:space="preserve">Les substances inscrites sur la liste toxiques au sens ordinaire du terme, sont celles que la loi interdit. C’est une interdiction limitée qui s’applique à un nombre limité de substances. Or, l’interdiction est assortie d’une peine en cas de non-respect et s’appuie sur un objectif pénal valide. Elle est donc une mesure législative valide. </w:t>
      </w:r>
    </w:p>
    <w:p w:rsidR="00213476" w:rsidRDefault="00213476" w:rsidP="007C6A46">
      <w:pPr>
        <w:spacing w:after="0"/>
        <w:jc w:val="both"/>
      </w:pPr>
    </w:p>
    <w:p w:rsidR="00213476" w:rsidRPr="007C6A46" w:rsidRDefault="00213476" w:rsidP="007C6A46">
      <w:pPr>
        <w:spacing w:after="0"/>
        <w:jc w:val="both"/>
      </w:pPr>
    </w:p>
    <w:p w:rsidR="00511F5C" w:rsidRDefault="00511F5C" w:rsidP="002C3D2F">
      <w:pPr>
        <w:spacing w:after="0"/>
        <w:jc w:val="both"/>
      </w:pPr>
      <w:r w:rsidRPr="007C6A46">
        <w:rPr>
          <w:sz w:val="16"/>
          <w:szCs w:val="16"/>
        </w:rPr>
        <w:tab/>
      </w:r>
      <w:r w:rsidRPr="007C6A46">
        <w:rPr>
          <w:sz w:val="16"/>
          <w:szCs w:val="16"/>
        </w:rPr>
        <w:tab/>
      </w:r>
      <w:r w:rsidRPr="007C6A46">
        <w:rPr>
          <w:sz w:val="16"/>
          <w:szCs w:val="16"/>
        </w:rPr>
        <w:tab/>
      </w:r>
    </w:p>
    <w:p w:rsidR="00511F5C" w:rsidRDefault="00511F5C" w:rsidP="002C3D2F">
      <w:pPr>
        <w:spacing w:after="0"/>
        <w:jc w:val="both"/>
      </w:pPr>
      <w:r>
        <w:tab/>
      </w:r>
      <w:r>
        <w:tab/>
      </w:r>
      <w:r>
        <w:tab/>
      </w:r>
    </w:p>
    <w:p w:rsidR="00450D10" w:rsidRPr="00441F2D" w:rsidRDefault="00450D10" w:rsidP="00816B70">
      <w:pPr>
        <w:jc w:val="both"/>
      </w:pPr>
    </w:p>
    <w:sectPr w:rsidR="00450D10" w:rsidRPr="00441F2D" w:rsidSect="007B1BF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E4D"/>
    <w:rsid w:val="0002555D"/>
    <w:rsid w:val="000378E6"/>
    <w:rsid w:val="000B7C91"/>
    <w:rsid w:val="00101342"/>
    <w:rsid w:val="00163B3B"/>
    <w:rsid w:val="001729F0"/>
    <w:rsid w:val="001A753E"/>
    <w:rsid w:val="00213476"/>
    <w:rsid w:val="00232ED7"/>
    <w:rsid w:val="002873A6"/>
    <w:rsid w:val="00292AF7"/>
    <w:rsid w:val="002C3D2F"/>
    <w:rsid w:val="002C4D46"/>
    <w:rsid w:val="003345CE"/>
    <w:rsid w:val="0037435C"/>
    <w:rsid w:val="003F6871"/>
    <w:rsid w:val="00441F2D"/>
    <w:rsid w:val="00450D10"/>
    <w:rsid w:val="00480319"/>
    <w:rsid w:val="004A29A0"/>
    <w:rsid w:val="00511F5C"/>
    <w:rsid w:val="005E31EC"/>
    <w:rsid w:val="005F2ABD"/>
    <w:rsid w:val="00600207"/>
    <w:rsid w:val="0069408A"/>
    <w:rsid w:val="0070640A"/>
    <w:rsid w:val="00746AA7"/>
    <w:rsid w:val="007B1BFF"/>
    <w:rsid w:val="007C6A46"/>
    <w:rsid w:val="00800890"/>
    <w:rsid w:val="00816B70"/>
    <w:rsid w:val="008938F5"/>
    <w:rsid w:val="008A4928"/>
    <w:rsid w:val="008B61C5"/>
    <w:rsid w:val="008E0C46"/>
    <w:rsid w:val="008E6643"/>
    <w:rsid w:val="008F2C15"/>
    <w:rsid w:val="009E44BB"/>
    <w:rsid w:val="00AA2A30"/>
    <w:rsid w:val="00AD35D8"/>
    <w:rsid w:val="00AD7DBB"/>
    <w:rsid w:val="00BD7B9C"/>
    <w:rsid w:val="00C11E43"/>
    <w:rsid w:val="00C90BFB"/>
    <w:rsid w:val="00D0109C"/>
    <w:rsid w:val="00D26423"/>
    <w:rsid w:val="00D268E2"/>
    <w:rsid w:val="00DA0686"/>
    <w:rsid w:val="00EE5E4D"/>
    <w:rsid w:val="00EF3C30"/>
    <w:rsid w:val="00F02786"/>
    <w:rsid w:val="00F06510"/>
    <w:rsid w:val="00F31755"/>
    <w:rsid w:val="00FB0D0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7579B6-C8AD-40C6-AACC-8227D474F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46AA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46A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1</Pages>
  <Words>1506</Words>
  <Characters>8285</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Leblanc</dc:creator>
  <cp:keywords/>
  <dc:description/>
  <cp:lastModifiedBy>Stefan Leblanc</cp:lastModifiedBy>
  <cp:revision>11</cp:revision>
  <cp:lastPrinted>2015-04-23T04:38:00Z</cp:lastPrinted>
  <dcterms:created xsi:type="dcterms:W3CDTF">2015-03-06T20:21:00Z</dcterms:created>
  <dcterms:modified xsi:type="dcterms:W3CDTF">2015-04-23T04:38:00Z</dcterms:modified>
</cp:coreProperties>
</file>