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797" w:rsidRDefault="00200A49">
      <w:pPr>
        <w:rPr>
          <w:b/>
        </w:rPr>
      </w:pPr>
      <w:r>
        <w:rPr>
          <w:b/>
        </w:rPr>
        <w:t>Règlement provincial empiétant dans une sphère de compétence exclusive du fédéral</w:t>
      </w:r>
    </w:p>
    <w:p w:rsidR="0071147C" w:rsidRDefault="0071147C">
      <w:pPr>
        <w:rPr>
          <w:b/>
        </w:rPr>
      </w:pPr>
    </w:p>
    <w:p w:rsidR="00200A49" w:rsidRDefault="00200A49" w:rsidP="00200A49">
      <w:pPr>
        <w:pStyle w:val="Paragraphedeliste"/>
        <w:numPr>
          <w:ilvl w:val="0"/>
          <w:numId w:val="2"/>
        </w:numPr>
      </w:pPr>
      <w:r>
        <w:t>Quels sont les arguments pour contester la validité du règlement provincial ?</w:t>
      </w:r>
    </w:p>
    <w:p w:rsidR="0071147C" w:rsidRDefault="0071147C" w:rsidP="0071147C">
      <w:pPr>
        <w:pStyle w:val="Paragraphedeliste"/>
      </w:pPr>
    </w:p>
    <w:p w:rsidR="00200A49" w:rsidRDefault="00200A49" w:rsidP="00430A0D">
      <w:pPr>
        <w:jc w:val="both"/>
        <w:rPr>
          <w:i/>
        </w:rPr>
      </w:pPr>
      <w:r>
        <w:rPr>
          <w:i/>
        </w:rPr>
        <w:t>La constitutionnalité du règlement provincial s’établit par l’analyse de sa validité en procédant à l’évaluation de son caractère véritable en déterminant le sujet qu’il traite afin de le classer dans la sphère de compétence correspondante soit au provincial, soit au fédéral.</w:t>
      </w:r>
    </w:p>
    <w:p w:rsidR="00430A0D" w:rsidRDefault="00200A49" w:rsidP="00430A0D">
      <w:pPr>
        <w:jc w:val="both"/>
        <w:rPr>
          <w:i/>
        </w:rPr>
      </w:pPr>
      <w:r>
        <w:rPr>
          <w:i/>
        </w:rPr>
        <w:t>Ce processus se réalise tant au niveau du règlement lui-même qu’à l’égard des dispositions qui le compose</w:t>
      </w:r>
      <w:r w:rsidR="00430A0D">
        <w:rPr>
          <w:i/>
        </w:rPr>
        <w:t>nt et qui pourraient s’avérer potentiellement contestables le cas échéant.</w:t>
      </w:r>
    </w:p>
    <w:p w:rsidR="00200A49" w:rsidRPr="00200A49" w:rsidRDefault="00200A49" w:rsidP="00430A0D">
      <w:pPr>
        <w:jc w:val="both"/>
        <w:rPr>
          <w:i/>
        </w:rPr>
      </w:pPr>
      <w:r>
        <w:rPr>
          <w:i/>
        </w:rPr>
        <w:t xml:space="preserve"> </w:t>
      </w:r>
      <w:r w:rsidR="00430A0D">
        <w:rPr>
          <w:i/>
        </w:rPr>
        <w:t>Ainsi, il importe de procéder en 2 étapes. Tout d’abord, il convient de préciser l’objectif du règlement afin d’établir la preuve intrinsèque de ce qu’il vise à règlementer précisément. Ensuite, il convient de préciser l’effet juridique que le règlement produit afin d’établir la preuve extrinsèque de l’influence qu’il exerce sur les droits et obligation</w:t>
      </w:r>
      <w:r w:rsidR="006C22E7">
        <w:rPr>
          <w:i/>
        </w:rPr>
        <w:t>s</w:t>
      </w:r>
      <w:r w:rsidR="00430A0D">
        <w:rPr>
          <w:i/>
        </w:rPr>
        <w:t xml:space="preserve"> du citoyen. </w:t>
      </w:r>
    </w:p>
    <w:p w:rsidR="002948C8" w:rsidRDefault="00430A0D" w:rsidP="00430A0D">
      <w:pPr>
        <w:jc w:val="both"/>
        <w:rPr>
          <w:i/>
        </w:rPr>
      </w:pPr>
      <w:r>
        <w:rPr>
          <w:i/>
        </w:rPr>
        <w:t xml:space="preserve">En l’espèce, l’objectif du </w:t>
      </w:r>
      <w:r w:rsidR="002948C8">
        <w:rPr>
          <w:i/>
        </w:rPr>
        <w:t>règlement vise</w:t>
      </w:r>
      <w:r>
        <w:rPr>
          <w:i/>
        </w:rPr>
        <w:t xml:space="preserve">, entre autres choses, </w:t>
      </w:r>
      <w:r w:rsidR="002948C8">
        <w:rPr>
          <w:i/>
        </w:rPr>
        <w:t xml:space="preserve">à règlementer </w:t>
      </w:r>
      <w:r>
        <w:rPr>
          <w:i/>
        </w:rPr>
        <w:t>la navigation</w:t>
      </w:r>
      <w:r w:rsidR="002948C8">
        <w:rPr>
          <w:i/>
        </w:rPr>
        <w:t xml:space="preserve"> partout dans les lacs et les cours d’eau navigables au sein du territoire de la municipalité </w:t>
      </w:r>
      <w:r>
        <w:rPr>
          <w:i/>
        </w:rPr>
        <w:t xml:space="preserve">et son effet </w:t>
      </w:r>
      <w:r w:rsidR="002948C8">
        <w:rPr>
          <w:i/>
        </w:rPr>
        <w:t>vise essentiellement à réserver la navigation à moteur sur les lacs avoisinants aux résidants de la municipalité.</w:t>
      </w:r>
      <w:r w:rsidR="008D56E4">
        <w:rPr>
          <w:i/>
        </w:rPr>
        <w:t xml:space="preserve"> </w:t>
      </w:r>
    </w:p>
    <w:p w:rsidR="00200A49" w:rsidRDefault="002948C8" w:rsidP="00430A0D">
      <w:pPr>
        <w:jc w:val="both"/>
        <w:rPr>
          <w:i/>
        </w:rPr>
      </w:pPr>
      <w:r>
        <w:rPr>
          <w:i/>
        </w:rPr>
        <w:t>Or, il appert que l’effet juridique n’est pas conséquent avec l’objectif du règlement</w:t>
      </w:r>
      <w:r w:rsidR="00D460BF">
        <w:rPr>
          <w:i/>
        </w:rPr>
        <w:t xml:space="preserve"> </w:t>
      </w:r>
      <w:r w:rsidR="00D460BF" w:rsidRPr="00D460BF">
        <w:rPr>
          <w:i/>
        </w:rPr>
        <w:t>en ce sens que le prétendu objet de la</w:t>
      </w:r>
      <w:r w:rsidR="00D460BF">
        <w:rPr>
          <w:i/>
        </w:rPr>
        <w:t xml:space="preserve"> loi masque son objet véritable. De ce fait, </w:t>
      </w:r>
      <w:r w:rsidR="00411689">
        <w:rPr>
          <w:i/>
        </w:rPr>
        <w:t>nous dirons qu’</w:t>
      </w:r>
      <w:r w:rsidR="00D460BF">
        <w:rPr>
          <w:i/>
        </w:rPr>
        <w:t>il y a détournement de pouvoir. P</w:t>
      </w:r>
      <w:r w:rsidR="00D460BF" w:rsidRPr="00D460BF">
        <w:rPr>
          <w:i/>
        </w:rPr>
        <w:t xml:space="preserve">lus particulièrement, lorsqu’une loi semblant </w:t>
      </w:r>
      <w:r w:rsidR="00411689" w:rsidRPr="00D460BF">
        <w:rPr>
          <w:i/>
        </w:rPr>
        <w:t>porté</w:t>
      </w:r>
      <w:r w:rsidR="00D460BF" w:rsidRPr="00D460BF">
        <w:rPr>
          <w:i/>
        </w:rPr>
        <w:t xml:space="preserve"> sur un sujet relevant de la compétence d’un gouvernement porte en réalité sur un sujet qui ne relève pas de cette compétence, </w:t>
      </w:r>
      <w:r w:rsidR="00411689">
        <w:rPr>
          <w:i/>
        </w:rPr>
        <w:t>la loi</w:t>
      </w:r>
      <w:r w:rsidR="00D460BF" w:rsidRPr="00D460BF">
        <w:rPr>
          <w:i/>
        </w:rPr>
        <w:t xml:space="preserve"> appert déguisée. Ainsi,  bien que l’objet et l’effet de la loi soient des facteurs pertinents dans le processus de qualification, il arrive souvent que l’objet ou le but principal de la loi soit l’élément clef de la constitutionnalité en ce sens que l’on tente de faire indirectement ce qui est défendu de faire directement. Tel qu’illustré dans «Morgentaler», le gouvernement provincial avait adopté une loi interdisant les cliniques d'avortement sous prétexte qu'elle protégeait les services de soins de santé, alors que dans le fond, il tentait d'interdire l'avortement.</w:t>
      </w:r>
    </w:p>
    <w:p w:rsidR="00534843" w:rsidRDefault="00411689" w:rsidP="00430A0D">
      <w:pPr>
        <w:jc w:val="both"/>
        <w:rPr>
          <w:i/>
        </w:rPr>
      </w:pPr>
      <w:r>
        <w:rPr>
          <w:i/>
        </w:rPr>
        <w:t xml:space="preserve">En l’espèce, la municipalité adopte un règlement </w:t>
      </w:r>
      <w:r w:rsidR="00945409">
        <w:rPr>
          <w:i/>
        </w:rPr>
        <w:t xml:space="preserve">concernant l’accès, la protection des berges et la sécurité nautique sous prétexte de donner suite aux plaintes de ses résidants, alors que dans le fond, son règlement vise essentiellement à réserver la </w:t>
      </w:r>
      <w:r w:rsidR="00945409" w:rsidRPr="00945409">
        <w:rPr>
          <w:i/>
        </w:rPr>
        <w:t>navigation à moteur sur les lacs avoisinants aux résidants de la municipalité.</w:t>
      </w:r>
      <w:r w:rsidR="00945409">
        <w:rPr>
          <w:i/>
        </w:rPr>
        <w:t xml:space="preserve"> </w:t>
      </w:r>
    </w:p>
    <w:p w:rsidR="005C3CA0" w:rsidRDefault="00534843" w:rsidP="00430A0D">
      <w:pPr>
        <w:jc w:val="both"/>
        <w:rPr>
          <w:i/>
        </w:rPr>
      </w:pPr>
      <w:r>
        <w:rPr>
          <w:i/>
        </w:rPr>
        <w:t xml:space="preserve">Ainsi, l’objet véritable visé par le règlement est la navigation. Cette matière relève de la compétence exclusive du gouvernement fédéral en vertu de l’article 91 (10) de la LC 1867. </w:t>
      </w:r>
      <w:r w:rsidR="005C3CA0">
        <w:rPr>
          <w:i/>
        </w:rPr>
        <w:t xml:space="preserve">Force est de constater qu’il y a </w:t>
      </w:r>
      <w:r w:rsidRPr="00534843">
        <w:rPr>
          <w:i/>
        </w:rPr>
        <w:t>atteinte</w:t>
      </w:r>
      <w:r>
        <w:rPr>
          <w:i/>
        </w:rPr>
        <w:t xml:space="preserve"> </w:t>
      </w:r>
      <w:r w:rsidRPr="00534843">
        <w:rPr>
          <w:i/>
        </w:rPr>
        <w:t>au</w:t>
      </w:r>
      <w:r>
        <w:rPr>
          <w:i/>
        </w:rPr>
        <w:t xml:space="preserve"> </w:t>
      </w:r>
      <w:r w:rsidRPr="00534843">
        <w:rPr>
          <w:i/>
        </w:rPr>
        <w:t>partage</w:t>
      </w:r>
      <w:r>
        <w:rPr>
          <w:i/>
        </w:rPr>
        <w:t xml:space="preserve"> </w:t>
      </w:r>
      <w:r w:rsidRPr="00534843">
        <w:rPr>
          <w:i/>
        </w:rPr>
        <w:t>des</w:t>
      </w:r>
      <w:r>
        <w:rPr>
          <w:i/>
        </w:rPr>
        <w:t xml:space="preserve"> </w:t>
      </w:r>
      <w:r w:rsidRPr="00534843">
        <w:rPr>
          <w:i/>
        </w:rPr>
        <w:t>pouvoirs</w:t>
      </w:r>
      <w:r w:rsidR="005C3CA0">
        <w:rPr>
          <w:i/>
        </w:rPr>
        <w:t xml:space="preserve"> et de ce fait, cela</w:t>
      </w:r>
      <w:r>
        <w:rPr>
          <w:i/>
        </w:rPr>
        <w:t xml:space="preserve"> </w:t>
      </w:r>
      <w:r w:rsidR="005C0BC0">
        <w:rPr>
          <w:i/>
        </w:rPr>
        <w:t>entraîne</w:t>
      </w:r>
      <w:r>
        <w:rPr>
          <w:i/>
        </w:rPr>
        <w:t xml:space="preserve"> </w:t>
      </w:r>
      <w:r w:rsidRPr="00534843">
        <w:rPr>
          <w:i/>
        </w:rPr>
        <w:t>l’invalidation</w:t>
      </w:r>
      <w:r>
        <w:rPr>
          <w:i/>
        </w:rPr>
        <w:t xml:space="preserve"> </w:t>
      </w:r>
      <w:r w:rsidRPr="00534843">
        <w:rPr>
          <w:i/>
        </w:rPr>
        <w:t>d</w:t>
      </w:r>
      <w:r w:rsidR="005C3CA0">
        <w:rPr>
          <w:i/>
        </w:rPr>
        <w:t xml:space="preserve">u règlement car il </w:t>
      </w:r>
      <w:r w:rsidR="00623D18">
        <w:rPr>
          <w:i/>
        </w:rPr>
        <w:t xml:space="preserve">est </w:t>
      </w:r>
      <w:r w:rsidRPr="00534843">
        <w:rPr>
          <w:i/>
        </w:rPr>
        <w:t>ultra</w:t>
      </w:r>
      <w:r>
        <w:rPr>
          <w:i/>
        </w:rPr>
        <w:t xml:space="preserve"> </w:t>
      </w:r>
      <w:r w:rsidRPr="00534843">
        <w:rPr>
          <w:i/>
        </w:rPr>
        <w:t>vires</w:t>
      </w:r>
      <w:r>
        <w:rPr>
          <w:i/>
        </w:rPr>
        <w:t xml:space="preserve"> </w:t>
      </w:r>
      <w:r w:rsidR="005C3CA0">
        <w:rPr>
          <w:i/>
        </w:rPr>
        <w:t>vu qu’</w:t>
      </w:r>
      <w:r w:rsidR="005C0BC0">
        <w:rPr>
          <w:i/>
        </w:rPr>
        <w:t>il</w:t>
      </w:r>
      <w:r>
        <w:rPr>
          <w:i/>
        </w:rPr>
        <w:t xml:space="preserve"> </w:t>
      </w:r>
      <w:r w:rsidRPr="00534843">
        <w:rPr>
          <w:i/>
        </w:rPr>
        <w:t>outrepas</w:t>
      </w:r>
      <w:r w:rsidR="005C0BC0">
        <w:rPr>
          <w:i/>
        </w:rPr>
        <w:t>se</w:t>
      </w:r>
      <w:r>
        <w:rPr>
          <w:i/>
        </w:rPr>
        <w:t xml:space="preserve"> </w:t>
      </w:r>
      <w:r w:rsidR="005C3CA0">
        <w:rPr>
          <w:i/>
        </w:rPr>
        <w:t>la</w:t>
      </w:r>
      <w:r>
        <w:rPr>
          <w:i/>
        </w:rPr>
        <w:t xml:space="preserve"> </w:t>
      </w:r>
      <w:r w:rsidR="005C3CA0">
        <w:rPr>
          <w:i/>
        </w:rPr>
        <w:t>compétence</w:t>
      </w:r>
      <w:r w:rsidR="007E1C55">
        <w:rPr>
          <w:i/>
        </w:rPr>
        <w:t xml:space="preserve"> du </w:t>
      </w:r>
      <w:r w:rsidR="005C3CA0">
        <w:rPr>
          <w:i/>
        </w:rPr>
        <w:t>provincial d’édicter un règlement</w:t>
      </w:r>
      <w:r w:rsidR="007E1C55" w:rsidRPr="007E1C55">
        <w:rPr>
          <w:i/>
        </w:rPr>
        <w:t xml:space="preserve"> dans ce domaine</w:t>
      </w:r>
      <w:r w:rsidR="006C3062">
        <w:rPr>
          <w:i/>
        </w:rPr>
        <w:t>.</w:t>
      </w:r>
    </w:p>
    <w:p w:rsidR="005C3CA0" w:rsidRDefault="005C3CA0" w:rsidP="00430A0D">
      <w:pPr>
        <w:jc w:val="both"/>
        <w:rPr>
          <w:i/>
        </w:rPr>
      </w:pPr>
      <w:r>
        <w:rPr>
          <w:i/>
        </w:rPr>
        <w:t>En conséquence de ce qui précède, notre client peut faire valoir pour contester la validité du règlement qu’en vertu de son caractère véritable, il est invalide et inconstitutionnel.</w:t>
      </w:r>
    </w:p>
    <w:p w:rsidR="001C2453" w:rsidRDefault="001C2453" w:rsidP="00430A0D">
      <w:pPr>
        <w:jc w:val="both"/>
        <w:rPr>
          <w:i/>
        </w:rPr>
      </w:pPr>
      <w:r>
        <w:rPr>
          <w:i/>
        </w:rPr>
        <w:t>Décisions touchant le détournement de pouvoir : «Loi anti-inflation»</w:t>
      </w:r>
    </w:p>
    <w:p w:rsidR="0071147C" w:rsidRDefault="0071147C" w:rsidP="00430A0D">
      <w:pPr>
        <w:jc w:val="both"/>
        <w:rPr>
          <w:i/>
        </w:rPr>
      </w:pPr>
    </w:p>
    <w:p w:rsidR="0071147C" w:rsidRDefault="0071147C" w:rsidP="00430A0D">
      <w:pPr>
        <w:jc w:val="both"/>
        <w:rPr>
          <w:i/>
        </w:rPr>
      </w:pPr>
    </w:p>
    <w:p w:rsidR="0071147C" w:rsidRDefault="0071147C" w:rsidP="00430A0D">
      <w:pPr>
        <w:jc w:val="both"/>
        <w:rPr>
          <w:i/>
        </w:rPr>
      </w:pPr>
    </w:p>
    <w:p w:rsidR="0071147C" w:rsidRDefault="0071147C" w:rsidP="00430A0D">
      <w:pPr>
        <w:jc w:val="both"/>
        <w:rPr>
          <w:i/>
        </w:rPr>
      </w:pPr>
    </w:p>
    <w:p w:rsidR="0071147C" w:rsidRDefault="0071147C" w:rsidP="00430A0D">
      <w:pPr>
        <w:jc w:val="both"/>
        <w:rPr>
          <w:i/>
        </w:rPr>
      </w:pPr>
    </w:p>
    <w:p w:rsidR="0071147C" w:rsidRDefault="0071147C" w:rsidP="00430A0D">
      <w:pPr>
        <w:jc w:val="both"/>
        <w:rPr>
          <w:i/>
        </w:rPr>
      </w:pPr>
    </w:p>
    <w:p w:rsidR="00945409" w:rsidRPr="0071147C" w:rsidRDefault="005C3CA0" w:rsidP="005C3CA0">
      <w:pPr>
        <w:pStyle w:val="Paragraphedeliste"/>
        <w:numPr>
          <w:ilvl w:val="0"/>
          <w:numId w:val="2"/>
        </w:numPr>
        <w:jc w:val="both"/>
        <w:rPr>
          <w:i/>
        </w:rPr>
      </w:pPr>
      <w:r>
        <w:lastRenderedPageBreak/>
        <w:t>quels sont les moyens que pourrait faire valoir la municipalité pour soutenir la validité de son règlement ?</w:t>
      </w:r>
    </w:p>
    <w:p w:rsidR="0071147C" w:rsidRPr="00332B48" w:rsidRDefault="0071147C" w:rsidP="0071147C">
      <w:pPr>
        <w:pStyle w:val="Paragraphedeliste"/>
        <w:jc w:val="both"/>
        <w:rPr>
          <w:i/>
        </w:rPr>
      </w:pPr>
    </w:p>
    <w:p w:rsidR="00055AD5" w:rsidRDefault="00332B48" w:rsidP="00332B48">
      <w:pPr>
        <w:jc w:val="both"/>
        <w:rPr>
          <w:i/>
        </w:rPr>
      </w:pPr>
      <w:r>
        <w:rPr>
          <w:i/>
        </w:rPr>
        <w:t>Pour soutenir la validité de son règlement, la municipalité pourrait faire valoir que de par son caractère véritable, le règlement est valide car il est conséquent avec l’objectif qu’</w:t>
      </w:r>
      <w:r w:rsidR="00055AD5">
        <w:rPr>
          <w:i/>
        </w:rPr>
        <w:t>il poursuit et l’effet</w:t>
      </w:r>
      <w:r>
        <w:rPr>
          <w:i/>
        </w:rPr>
        <w:t xml:space="preserve"> qu’il produit. En effet, lorsque l’on procède </w:t>
      </w:r>
      <w:r w:rsidR="00065BD2">
        <w:rPr>
          <w:i/>
        </w:rPr>
        <w:t xml:space="preserve">à l’analyse du caractère véritable du règlement, nous constatons que l’objectif qu’il poursuit est de supprimer la nuisance causée par l’utilisation intensive des lacs avec des embarcations motorisées </w:t>
      </w:r>
      <w:r w:rsidR="00055AD5">
        <w:rPr>
          <w:i/>
        </w:rPr>
        <w:t>et que l’effet que</w:t>
      </w:r>
      <w:r w:rsidR="00065BD2">
        <w:rPr>
          <w:i/>
        </w:rPr>
        <w:t xml:space="preserve"> produit le règlement</w:t>
      </w:r>
      <w:r w:rsidR="00055AD5">
        <w:rPr>
          <w:i/>
        </w:rPr>
        <w:t xml:space="preserve"> est de limiter et restreindre l’accès et l’utilisation</w:t>
      </w:r>
      <w:r w:rsidR="00FD3106">
        <w:rPr>
          <w:i/>
        </w:rPr>
        <w:t xml:space="preserve"> des lacs aux</w:t>
      </w:r>
      <w:r w:rsidR="00055AD5">
        <w:rPr>
          <w:i/>
        </w:rPr>
        <w:t xml:space="preserve"> utilisateurs. Ainsi, dans ce contexte, nous pouvons affirmer </w:t>
      </w:r>
      <w:r w:rsidR="00283046">
        <w:rPr>
          <w:i/>
        </w:rPr>
        <w:t>que l’effet est conséquent avec l’objet du règlement et</w:t>
      </w:r>
      <w:r w:rsidR="00F05FA0">
        <w:rPr>
          <w:i/>
        </w:rPr>
        <w:t xml:space="preserve"> </w:t>
      </w:r>
      <w:r w:rsidR="00055AD5">
        <w:rPr>
          <w:i/>
        </w:rPr>
        <w:t>qu</w:t>
      </w:r>
      <w:r w:rsidR="00283046">
        <w:rPr>
          <w:i/>
        </w:rPr>
        <w:t>e le sujet</w:t>
      </w:r>
      <w:r w:rsidR="00055AD5">
        <w:rPr>
          <w:i/>
        </w:rPr>
        <w:t xml:space="preserve"> relève de sa compétence d’adopter ce règlement en vertu des articles </w:t>
      </w:r>
      <w:r w:rsidR="00FD3106">
        <w:rPr>
          <w:i/>
        </w:rPr>
        <w:t>92 (13), en ce qui a trait à «la propriété et les droits civils» et (16), en ce qui a trait aux «matières d’une nature purement locale ou privée dans la province».</w:t>
      </w:r>
    </w:p>
    <w:p w:rsidR="00332B48" w:rsidRDefault="00E3669D" w:rsidP="00332B48">
      <w:pPr>
        <w:jc w:val="both"/>
        <w:rPr>
          <w:i/>
        </w:rPr>
      </w:pPr>
      <w:r>
        <w:rPr>
          <w:i/>
        </w:rPr>
        <w:t>Cependant</w:t>
      </w:r>
      <w:r w:rsidR="00055AD5">
        <w:rPr>
          <w:i/>
        </w:rPr>
        <w:t xml:space="preserve">, le règlement touche </w:t>
      </w:r>
      <w:r w:rsidR="00FD3106">
        <w:rPr>
          <w:i/>
        </w:rPr>
        <w:t xml:space="preserve">à </w:t>
      </w:r>
      <w:r w:rsidR="00055AD5">
        <w:rPr>
          <w:i/>
        </w:rPr>
        <w:t>la</w:t>
      </w:r>
      <w:r w:rsidR="00FD3106">
        <w:rPr>
          <w:i/>
        </w:rPr>
        <w:t xml:space="preserve"> règlementation des embarcations motorisées. Ce domaine relève de la compétence </w:t>
      </w:r>
      <w:r w:rsidR="000F2F37">
        <w:rPr>
          <w:i/>
        </w:rPr>
        <w:t xml:space="preserve">exclusive </w:t>
      </w:r>
      <w:r w:rsidR="00FD3106">
        <w:rPr>
          <w:i/>
        </w:rPr>
        <w:t>du fédéral en vertu de l’article 91 (10) qui précise particulièrement «la navigation et les bâtiments ou navires</w:t>
      </w:r>
      <w:r w:rsidR="000F2F37">
        <w:rPr>
          <w:i/>
        </w:rPr>
        <w:t>». Or, le fédéral a adopté un règlement similaire à celui du provincial et visant essentiellement l’utilisation d’embarcations motorisées sur les plans d’eau navigables. Ainsi, le règlement provincial et le règlement fédéral sont similaires en encadrant le même</w:t>
      </w:r>
      <w:r w:rsidR="00675CC6">
        <w:rPr>
          <w:i/>
        </w:rPr>
        <w:t xml:space="preserve"> comportement. Il</w:t>
      </w:r>
      <w:r w:rsidR="00675CC6" w:rsidRPr="00675CC6">
        <w:rPr>
          <w:i/>
        </w:rPr>
        <w:t xml:space="preserve">s peuvent donc cohabiter. </w:t>
      </w:r>
    </w:p>
    <w:p w:rsidR="00675CC6" w:rsidRPr="00675CC6" w:rsidRDefault="00675CC6" w:rsidP="00675CC6">
      <w:pPr>
        <w:jc w:val="both"/>
        <w:rPr>
          <w:i/>
        </w:rPr>
      </w:pPr>
      <w:r w:rsidRPr="00675CC6">
        <w:rPr>
          <w:i/>
        </w:rPr>
        <w:t>En vertu de la théorie du double aspect, une loi est constitutionnelle à l’égard de la pré</w:t>
      </w:r>
      <w:r>
        <w:rPr>
          <w:i/>
        </w:rPr>
        <w:t xml:space="preserve">misse qu’un sujet qui, sous un </w:t>
      </w:r>
      <w:r w:rsidRPr="00675CC6">
        <w:rPr>
          <w:i/>
        </w:rPr>
        <w:t xml:space="preserve">certain aspect et pour une certaine fin, relève du provincial, puisse, sous un autre aspect </w:t>
      </w:r>
      <w:r w:rsidR="00E3669D">
        <w:rPr>
          <w:i/>
        </w:rPr>
        <w:t xml:space="preserve">et pour une autre fin, relever </w:t>
      </w:r>
      <w:r w:rsidRPr="00675CC6">
        <w:rPr>
          <w:i/>
        </w:rPr>
        <w:t>du fédéral à l’égard de la même matière. L’inverse est également vrai.</w:t>
      </w:r>
    </w:p>
    <w:p w:rsidR="00675CC6" w:rsidRDefault="00675CC6" w:rsidP="00675CC6">
      <w:pPr>
        <w:jc w:val="both"/>
        <w:rPr>
          <w:i/>
        </w:rPr>
      </w:pPr>
      <w:r w:rsidRPr="00675CC6">
        <w:rPr>
          <w:i/>
        </w:rPr>
        <w:t xml:space="preserve">Ainsi, la loi peut produire des effets collatéraux et affecter des matières relevant de la </w:t>
      </w:r>
      <w:r>
        <w:rPr>
          <w:i/>
        </w:rPr>
        <w:t xml:space="preserve">compétence de l’autre ordre de </w:t>
      </w:r>
      <w:r w:rsidRPr="00675CC6">
        <w:rPr>
          <w:i/>
        </w:rPr>
        <w:t>gouvernement sans pour autant porter atteinte au partage des pouvoirs ni être inconsti</w:t>
      </w:r>
      <w:r>
        <w:rPr>
          <w:i/>
        </w:rPr>
        <w:t xml:space="preserve">tutionnelle. On dira qu’il y a </w:t>
      </w:r>
      <w:r w:rsidRPr="00675CC6">
        <w:rPr>
          <w:i/>
        </w:rPr>
        <w:t>chevauchement. Néanmoins, il doit rester accessoire, acceptable et prévisible. Tel qu’illust</w:t>
      </w:r>
      <w:r>
        <w:rPr>
          <w:i/>
        </w:rPr>
        <w:t xml:space="preserve">ré dans «Lacombe», la doctrine </w:t>
      </w:r>
      <w:r w:rsidRPr="00675CC6">
        <w:rPr>
          <w:i/>
        </w:rPr>
        <w:t xml:space="preserve">des effets accessoires illustre une disposition valide d’une loi qui affecte la compétence </w:t>
      </w:r>
      <w:r>
        <w:rPr>
          <w:i/>
        </w:rPr>
        <w:t xml:space="preserve">de l’autre gouvernement. Cette </w:t>
      </w:r>
      <w:r w:rsidRPr="00675CC6">
        <w:rPr>
          <w:i/>
        </w:rPr>
        <w:t>disposition valide «contestable» n’a pas pour effet d’invalider le caractère véritable de la loi pou</w:t>
      </w:r>
      <w:r>
        <w:rPr>
          <w:i/>
        </w:rPr>
        <w:t xml:space="preserve">r autant, en ce sens que si la </w:t>
      </w:r>
      <w:r w:rsidRPr="00675CC6">
        <w:rPr>
          <w:i/>
        </w:rPr>
        <w:t xml:space="preserve">disposition «contestable» est déclarée inconstitutionnelle, la loi quant à elle demeure </w:t>
      </w:r>
      <w:r>
        <w:rPr>
          <w:i/>
        </w:rPr>
        <w:t xml:space="preserve">valide. La Cour suprême a une </w:t>
      </w:r>
      <w:r w:rsidRPr="00675CC6">
        <w:rPr>
          <w:i/>
        </w:rPr>
        <w:t>«vision du fédéralisme mettant davantage l’accent sur la possibilité d’une interaction légitime d</w:t>
      </w:r>
      <w:r>
        <w:rPr>
          <w:i/>
        </w:rPr>
        <w:t>es pouvoirs fédéraux et provinciaux</w:t>
      </w:r>
      <w:r w:rsidRPr="00675CC6">
        <w:rPr>
          <w:i/>
        </w:rPr>
        <w:t>». Donc, l’empiétement est la règle, en autant qu’il demeure accessoire.</w:t>
      </w:r>
    </w:p>
    <w:p w:rsidR="00675CC6" w:rsidRDefault="00675CC6" w:rsidP="00F2003E">
      <w:pPr>
        <w:jc w:val="both"/>
        <w:rPr>
          <w:i/>
        </w:rPr>
      </w:pPr>
      <w:r w:rsidRPr="00675CC6">
        <w:rPr>
          <w:i/>
        </w:rPr>
        <w:t>Le fédéralisme coopératif préconise la théorie du double aspect à l’égard de la tendance grandissante des domaines de compétences concurrents afin d’encourager un fédéralisme unitaire.</w:t>
      </w:r>
      <w:r w:rsidR="00F2003E">
        <w:rPr>
          <w:i/>
        </w:rPr>
        <w:t xml:space="preserve"> </w:t>
      </w:r>
      <w:r w:rsidR="00F2003E" w:rsidRPr="00F2003E">
        <w:rPr>
          <w:i/>
        </w:rPr>
        <w:t>Dans un régime fédéral, il est certain que dans la poursuite d’objectifs réguliers, la mesure législative de chaque palier de gouvernement aura parfois des répercussions sur le domaine de compétence d’un</w:t>
      </w:r>
      <w:r w:rsidR="00F2003E">
        <w:rPr>
          <w:i/>
        </w:rPr>
        <w:t xml:space="preserve"> autre palier du gouvernement. I</w:t>
      </w:r>
      <w:r w:rsidR="00F2003E" w:rsidRPr="00F2003E">
        <w:rPr>
          <w:i/>
        </w:rPr>
        <w:t>l faut s’attendre à ce qu’il y ait chevauchement de mesures législatives et il faut s’y adapter dans un état fédéral.</w:t>
      </w:r>
    </w:p>
    <w:p w:rsidR="001C2453" w:rsidRDefault="001D06DB" w:rsidP="001C2453">
      <w:pPr>
        <w:jc w:val="both"/>
        <w:rPr>
          <w:i/>
        </w:rPr>
      </w:pPr>
      <w:r>
        <w:rPr>
          <w:i/>
        </w:rPr>
        <w:t xml:space="preserve">Finalement, tel qu’illustré dans «Lafarge», </w:t>
      </w:r>
      <w:r w:rsidRPr="001D06DB">
        <w:rPr>
          <w:i/>
        </w:rPr>
        <w:t xml:space="preserve">il y a intégration étroite des lois provinciales </w:t>
      </w:r>
      <w:r>
        <w:rPr>
          <w:i/>
        </w:rPr>
        <w:t xml:space="preserve">quant </w:t>
      </w:r>
      <w:r w:rsidR="00E3669D">
        <w:rPr>
          <w:i/>
        </w:rPr>
        <w:t xml:space="preserve">aux matières relevant de sa compétence </w:t>
      </w:r>
      <w:r w:rsidRPr="001D06DB">
        <w:rPr>
          <w:i/>
        </w:rPr>
        <w:t xml:space="preserve">et des lois fédérales quant </w:t>
      </w:r>
      <w:r w:rsidR="00E3669D">
        <w:rPr>
          <w:i/>
        </w:rPr>
        <w:t xml:space="preserve">aux matières relevant de sa compétence </w:t>
      </w:r>
      <w:r w:rsidRPr="001D06DB">
        <w:rPr>
          <w:i/>
        </w:rPr>
        <w:t>et cons</w:t>
      </w:r>
      <w:r w:rsidR="00E3669D">
        <w:rPr>
          <w:i/>
        </w:rPr>
        <w:t>équemment, l’utilisation intensives des plans d’eau par des embarcations motorisées</w:t>
      </w:r>
      <w:r w:rsidRPr="001D06DB">
        <w:rPr>
          <w:i/>
        </w:rPr>
        <w:t xml:space="preserve"> présente un double aspect à l’égard du fait que les autorités, tant fédérales que provinciales, ont toutes deux un intérêt impérieux.</w:t>
      </w:r>
    </w:p>
    <w:p w:rsidR="0071147C" w:rsidRDefault="0071147C" w:rsidP="001C2453">
      <w:pPr>
        <w:jc w:val="both"/>
        <w:rPr>
          <w:i/>
        </w:rPr>
      </w:pPr>
    </w:p>
    <w:p w:rsidR="0071147C" w:rsidRDefault="0071147C" w:rsidP="001C2453">
      <w:pPr>
        <w:jc w:val="both"/>
        <w:rPr>
          <w:i/>
        </w:rPr>
      </w:pPr>
    </w:p>
    <w:p w:rsidR="0071147C" w:rsidRDefault="0071147C" w:rsidP="001C2453">
      <w:pPr>
        <w:jc w:val="both"/>
        <w:rPr>
          <w:i/>
        </w:rPr>
      </w:pPr>
    </w:p>
    <w:p w:rsidR="0071147C" w:rsidRDefault="0071147C" w:rsidP="001C2453">
      <w:pPr>
        <w:jc w:val="both"/>
        <w:rPr>
          <w:i/>
        </w:rPr>
      </w:pPr>
    </w:p>
    <w:p w:rsidR="0071147C" w:rsidRDefault="0071147C" w:rsidP="001C2453">
      <w:pPr>
        <w:jc w:val="both"/>
        <w:rPr>
          <w:i/>
        </w:rPr>
      </w:pPr>
    </w:p>
    <w:p w:rsidR="0071147C" w:rsidRDefault="0071147C" w:rsidP="001C2453">
      <w:pPr>
        <w:jc w:val="both"/>
        <w:rPr>
          <w:i/>
        </w:rPr>
      </w:pPr>
    </w:p>
    <w:p w:rsidR="0071147C" w:rsidRPr="001C2453" w:rsidRDefault="0071147C" w:rsidP="001C2453">
      <w:pPr>
        <w:jc w:val="both"/>
        <w:rPr>
          <w:i/>
        </w:rPr>
      </w:pPr>
    </w:p>
    <w:p w:rsidR="001C2453" w:rsidRPr="001C2453" w:rsidRDefault="001C2453" w:rsidP="005C3CA0">
      <w:pPr>
        <w:pStyle w:val="Paragraphedeliste"/>
        <w:numPr>
          <w:ilvl w:val="0"/>
          <w:numId w:val="2"/>
        </w:numPr>
        <w:jc w:val="both"/>
        <w:rPr>
          <w:i/>
        </w:rPr>
      </w:pPr>
      <w:r>
        <w:lastRenderedPageBreak/>
        <w:t>si le règlement fédéral est valide et règlement municipal également, faut-il se soumettre aux 2 régimes, compte tenu de la doctrine de la prépondérance ?</w:t>
      </w:r>
    </w:p>
    <w:p w:rsidR="001C2453" w:rsidRDefault="001C2453" w:rsidP="001C2453">
      <w:pPr>
        <w:pStyle w:val="Paragraphedeliste"/>
      </w:pPr>
    </w:p>
    <w:p w:rsidR="005F61A5" w:rsidRDefault="005F61A5" w:rsidP="005F61A5">
      <w:pPr>
        <w:jc w:val="both"/>
      </w:pPr>
      <w:r>
        <w:t>Tel qu’illustré dans «</w:t>
      </w:r>
      <w:proofErr w:type="spellStart"/>
      <w:r>
        <w:t>Mangat</w:t>
      </w:r>
      <w:proofErr w:type="spellEnd"/>
      <w:r>
        <w:t xml:space="preserve">», il peut être possible qu’il y ait conflit sur le plan opérationnel alors que les 2 lois sont valides sur le plan constitutionnel lorsqu’elles interfèrent l’une avec l’autre. L'opérabilité d'une loi peut être contestée s’il est démontré que les lois sont fonctionnellement inopérantes, en ce sens qu’en respectant l’une, on viole l’autre, il y a conflit. Ainsi, nous dirons que </w:t>
      </w:r>
      <w:r>
        <w:t xml:space="preserve">les 2 lois sont incompatibles. </w:t>
      </w:r>
    </w:p>
    <w:p w:rsidR="005F61A5" w:rsidRDefault="005F61A5" w:rsidP="005F61A5">
      <w:pPr>
        <w:jc w:val="both"/>
      </w:pPr>
      <w:r>
        <w:t xml:space="preserve">L’arrêt «Multiple </w:t>
      </w:r>
      <w:proofErr w:type="spellStart"/>
      <w:r>
        <w:t>access</w:t>
      </w:r>
      <w:proofErr w:type="spellEnd"/>
      <w:r>
        <w:t>» illustre la théorie que l’incompatibilité apparait en cas d’impossibilité de respecter simultanément les textes législatifs provincial et fédéral. De par le caractère véritable de la loi, le but visé par le Parlement ne sera pas atteint, l’application de la loi provinciale a pour effet d’écarter l’intention du Parlement et par conséquent, la loi ou la disposition provinciale est inopérante en vertu de la prépondérance des lois fédérales</w:t>
      </w:r>
      <w:r>
        <w:t>.</w:t>
      </w:r>
    </w:p>
    <w:p w:rsidR="001C2453" w:rsidRDefault="005F61A5" w:rsidP="005F61A5">
      <w:pPr>
        <w:jc w:val="both"/>
      </w:pPr>
      <w:r>
        <w:t>Néanmoins, t</w:t>
      </w:r>
      <w:r w:rsidR="001C2453">
        <w:t xml:space="preserve">el qu’illustré dans «RB&amp;H», en l’absence de conflit entre les 2 lois valides, en ce sens que l’une n’interfère pas avec l’autre ni entrave la réalisation de l’objet du texte législatif, en vertu de la doctrine du double aspect, on peut se soumettre aux 2 régimes car un sujet qui sous un aspect et pour une certaine fin relève du provincial puisse sous un autre aspect et pour une autre fin relever du fédéral à l’égard de la même matière n’empêche pas la poursuite du même objectif législatif. </w:t>
      </w:r>
    </w:p>
    <w:p w:rsidR="001C2453" w:rsidRDefault="001C2453" w:rsidP="001C2453">
      <w:pPr>
        <w:jc w:val="both"/>
      </w:pPr>
      <w:r>
        <w:t>De par le c</w:t>
      </w:r>
      <w:r w:rsidR="00B47817">
        <w:t xml:space="preserve">aractère véritable du </w:t>
      </w:r>
      <w:r w:rsidR="00B47817">
        <w:rPr>
          <w:i/>
        </w:rPr>
        <w:t>Règlement sur les accès, la protection de berges et la sécurité nautique</w:t>
      </w:r>
      <w:r>
        <w:t xml:space="preserve">, le but visé par le Parlement </w:t>
      </w:r>
      <w:r w:rsidR="00B47817">
        <w:t>sera atteint. L</w:t>
      </w:r>
      <w:r>
        <w:t>’application de la loi provinciale n’a pas pour effet d’écarter l’intention du Parlement. Toutefois, le fait que la matière comporte un double aspect milite en faveur de la prépondérance du fédéral dans le but de favoriser un équilibre dans le fédéralisme unitaire.</w:t>
      </w:r>
    </w:p>
    <w:p w:rsidR="001C2453" w:rsidRDefault="001C2453" w:rsidP="001C2453">
      <w:pPr>
        <w:jc w:val="both"/>
      </w:pPr>
      <w:r>
        <w:t>Ainsi, en vertu du principe d’interprétation conciliatrice, tel qu’illustré dans l’affaire «Citizen Co c. Parons», la cour adopte une interprétation conciliatrice afin de respec</w:t>
      </w:r>
      <w:r w:rsidR="0079551B">
        <w:t>ter le principe du fédéralisme qui favorise la coopération des différents gouvernements dans la recherche du bien commun.</w:t>
      </w:r>
    </w:p>
    <w:p w:rsidR="001C2453" w:rsidRDefault="001C2453" w:rsidP="001C2453">
      <w:pPr>
        <w:jc w:val="both"/>
      </w:pPr>
      <w:r>
        <w:t xml:space="preserve">Tel que l’exprimait le juge Corry </w:t>
      </w:r>
      <w:r w:rsidR="00B47817">
        <w:t xml:space="preserve">dans «Multiple </w:t>
      </w:r>
      <w:proofErr w:type="spellStart"/>
      <w:r w:rsidR="00B47817">
        <w:t>access</w:t>
      </w:r>
      <w:proofErr w:type="spellEnd"/>
      <w:r w:rsidR="00B47817">
        <w:t xml:space="preserve">» </w:t>
      </w:r>
      <w:r>
        <w:t xml:space="preserve">: «Notre pays s’éloigne de plus en plus du vieux fédéralisme classique des compartiments étanches et il semble que nous nous dirigeons vers un fédéralisme coopératif car la multiplication des domaines de compétence concurrente est l’un des aspects de cette tendance».  </w:t>
      </w:r>
    </w:p>
    <w:p w:rsidR="0079551B" w:rsidRDefault="0079551B" w:rsidP="001C2453">
      <w:pPr>
        <w:jc w:val="both"/>
      </w:pPr>
    </w:p>
    <w:p w:rsidR="0079551B" w:rsidRDefault="0079551B" w:rsidP="001C2453">
      <w:pPr>
        <w:jc w:val="both"/>
      </w:pPr>
    </w:p>
    <w:p w:rsidR="0079551B" w:rsidRDefault="0079551B" w:rsidP="001C2453">
      <w:pPr>
        <w:jc w:val="both"/>
      </w:pPr>
    </w:p>
    <w:p w:rsidR="0079551B" w:rsidRDefault="0079551B" w:rsidP="001C2453">
      <w:pPr>
        <w:jc w:val="both"/>
      </w:pPr>
    </w:p>
    <w:p w:rsidR="0079551B" w:rsidRDefault="0079551B" w:rsidP="001C2453">
      <w:pPr>
        <w:jc w:val="both"/>
      </w:pPr>
    </w:p>
    <w:p w:rsidR="0079551B" w:rsidRDefault="0079551B" w:rsidP="001C2453">
      <w:pPr>
        <w:jc w:val="both"/>
      </w:pPr>
    </w:p>
    <w:p w:rsidR="0079551B" w:rsidRDefault="0079551B" w:rsidP="001C2453">
      <w:pPr>
        <w:jc w:val="both"/>
      </w:pPr>
    </w:p>
    <w:p w:rsidR="0079551B" w:rsidRDefault="0079551B" w:rsidP="001C2453">
      <w:pPr>
        <w:jc w:val="both"/>
      </w:pPr>
    </w:p>
    <w:p w:rsidR="0079551B" w:rsidRDefault="0079551B" w:rsidP="001C2453">
      <w:pPr>
        <w:jc w:val="both"/>
      </w:pPr>
    </w:p>
    <w:p w:rsidR="0079551B" w:rsidRDefault="0079551B" w:rsidP="001C2453">
      <w:pPr>
        <w:jc w:val="both"/>
      </w:pPr>
    </w:p>
    <w:p w:rsidR="0079551B" w:rsidRDefault="005B10B4" w:rsidP="005B10B4">
      <w:pPr>
        <w:tabs>
          <w:tab w:val="left" w:pos="2227"/>
        </w:tabs>
        <w:jc w:val="both"/>
      </w:pPr>
      <w:r>
        <w:tab/>
      </w:r>
    </w:p>
    <w:p w:rsidR="0079551B" w:rsidRDefault="0079551B" w:rsidP="001C2453">
      <w:pPr>
        <w:jc w:val="both"/>
      </w:pPr>
    </w:p>
    <w:p w:rsidR="005F61A5" w:rsidRDefault="005F61A5" w:rsidP="005F61A5">
      <w:pPr>
        <w:tabs>
          <w:tab w:val="left" w:pos="2227"/>
          <w:tab w:val="left" w:pos="2973"/>
        </w:tabs>
        <w:jc w:val="both"/>
      </w:pPr>
    </w:p>
    <w:p w:rsidR="005B10B4" w:rsidRPr="005F61A5" w:rsidRDefault="005B10B4" w:rsidP="005F61A5">
      <w:pPr>
        <w:tabs>
          <w:tab w:val="left" w:pos="2227"/>
          <w:tab w:val="left" w:pos="2973"/>
        </w:tabs>
        <w:jc w:val="both"/>
      </w:pPr>
      <w:bookmarkStart w:id="0" w:name="_GoBack"/>
      <w:bookmarkEnd w:id="0"/>
      <w:r>
        <w:rPr>
          <w:b/>
        </w:rPr>
        <w:lastRenderedPageBreak/>
        <w:t>Loi provinciale légiférant en matière criminelle</w:t>
      </w:r>
      <w:r w:rsidR="00BB6A56">
        <w:rPr>
          <w:b/>
        </w:rPr>
        <w:tab/>
      </w:r>
      <w:r w:rsidR="00BB6A56">
        <w:rPr>
          <w:b/>
          <w:i/>
          <w:sz w:val="16"/>
          <w:szCs w:val="16"/>
        </w:rPr>
        <w:t>interdire la possession d’armes à feu dans certains lieux public</w:t>
      </w:r>
    </w:p>
    <w:p w:rsidR="005B10B4" w:rsidRDefault="005B10B4" w:rsidP="001C2453">
      <w:pPr>
        <w:jc w:val="both"/>
        <w:rPr>
          <w:b/>
        </w:rPr>
      </w:pPr>
    </w:p>
    <w:p w:rsidR="005A5CD2" w:rsidRPr="00E513BA" w:rsidRDefault="005A5CD2" w:rsidP="005A5CD2">
      <w:pPr>
        <w:pStyle w:val="Paragraphedeliste"/>
        <w:numPr>
          <w:ilvl w:val="0"/>
          <w:numId w:val="2"/>
        </w:numPr>
        <w:jc w:val="both"/>
        <w:rPr>
          <w:b/>
        </w:rPr>
      </w:pPr>
      <w:r>
        <w:t>Quels sont les principes d’interprétation liés à l’analyse du partage des compétences en vertu des articles 91 à 93 de la LC 1867 que vous allez invoquer pour faire valoir votre prise de position sur la validité de la loi provinciale ?</w:t>
      </w:r>
    </w:p>
    <w:p w:rsidR="001C2453" w:rsidRPr="008E6309" w:rsidRDefault="008E6309" w:rsidP="001C2453">
      <w:pPr>
        <w:jc w:val="both"/>
        <w:rPr>
          <w:i/>
        </w:rPr>
      </w:pPr>
      <w:r>
        <w:rPr>
          <w:i/>
        </w:rPr>
        <w:t>«</w:t>
      </w:r>
      <w:r w:rsidR="005A5CD2" w:rsidRPr="005A5CD2">
        <w:rPr>
          <w:i/>
        </w:rPr>
        <w:t>Principe d’interprétation progressiste</w:t>
      </w:r>
      <w:r>
        <w:rPr>
          <w:i/>
        </w:rPr>
        <w:t>»</w:t>
      </w:r>
      <w:r w:rsidR="005A5CD2" w:rsidRPr="005A5CD2">
        <w:rPr>
          <w:i/>
        </w:rPr>
        <w:t xml:space="preserve"> soutient une interprétation large et libérale qui évolue dans le temps et illustré dans l’affaire «personne» par une métaphore référant la constitution à un arbre vivant qui croit au rythme de la société dans ses limites naturelles. Ainsi, tel qu’illustré dans «Renvoi relatif au mariage entre personnes du même sexe», «Une interprétation progressiste permet d’atteindre l’objectif ambitieux de notre constitution, c.-à-d. structurer l’exercice du pouvoir par les divers organes de l’État à des époques très différentes de celle à laquelle a été rédigée». Toutefois, il convient de préciser qu’il s’agit des limites naturelles du texte lui-même, tel qu’illustré dans «Law socie</w:t>
      </w:r>
      <w:r>
        <w:rPr>
          <w:i/>
        </w:rPr>
        <w:t xml:space="preserve">ty of </w:t>
      </w:r>
      <w:proofErr w:type="spellStart"/>
      <w:r>
        <w:rPr>
          <w:i/>
        </w:rPr>
        <w:t>upper</w:t>
      </w:r>
      <w:proofErr w:type="spellEnd"/>
      <w:r>
        <w:rPr>
          <w:i/>
        </w:rPr>
        <w:t xml:space="preserve"> canada c. </w:t>
      </w:r>
      <w:proofErr w:type="spellStart"/>
      <w:r>
        <w:rPr>
          <w:i/>
        </w:rPr>
        <w:t>Skapinker</w:t>
      </w:r>
      <w:proofErr w:type="spellEnd"/>
      <w:r>
        <w:rPr>
          <w:i/>
        </w:rPr>
        <w:t>»</w:t>
      </w:r>
    </w:p>
    <w:p w:rsidR="001C2453" w:rsidRDefault="008E6309" w:rsidP="001C2453">
      <w:pPr>
        <w:jc w:val="both"/>
        <w:rPr>
          <w:i/>
        </w:rPr>
      </w:pPr>
      <w:r>
        <w:rPr>
          <w:i/>
        </w:rPr>
        <w:t>«</w:t>
      </w:r>
      <w:r w:rsidR="00BB6A56" w:rsidRPr="00BB6A56">
        <w:rPr>
          <w:i/>
        </w:rPr>
        <w:t>Principe d’interprétation conciliatrice</w:t>
      </w:r>
      <w:r>
        <w:rPr>
          <w:i/>
        </w:rPr>
        <w:t>»</w:t>
      </w:r>
      <w:r w:rsidR="00BB6A56" w:rsidRPr="00BB6A56">
        <w:rPr>
          <w:i/>
        </w:rPr>
        <w:t xml:space="preserve"> soutient l’interprétation des dispositions les unes par rapport aux autres. Tel qu’illustré dans l’affaire «</w:t>
      </w:r>
      <w:proofErr w:type="spellStart"/>
      <w:r w:rsidR="00BB6A56" w:rsidRPr="00BB6A56">
        <w:rPr>
          <w:i/>
        </w:rPr>
        <w:t>citizen</w:t>
      </w:r>
      <w:proofErr w:type="spellEnd"/>
      <w:r w:rsidR="00BB6A56" w:rsidRPr="00BB6A56">
        <w:rPr>
          <w:i/>
        </w:rPr>
        <w:t xml:space="preserve"> </w:t>
      </w:r>
      <w:proofErr w:type="spellStart"/>
      <w:r w:rsidR="00BB6A56" w:rsidRPr="00BB6A56">
        <w:rPr>
          <w:i/>
        </w:rPr>
        <w:t>co.</w:t>
      </w:r>
      <w:proofErr w:type="spellEnd"/>
      <w:r w:rsidR="00BB6A56" w:rsidRPr="00BB6A56">
        <w:rPr>
          <w:i/>
        </w:rPr>
        <w:t xml:space="preserve"> C. parons», la cour adopte une interprétation conciliatrice afin de respecter le principe du fédéralisme.</w:t>
      </w:r>
      <w:r w:rsidR="009E4B69">
        <w:rPr>
          <w:i/>
        </w:rPr>
        <w:t xml:space="preserve"> De plus, tel qu’illustré dans «Rio </w:t>
      </w:r>
      <w:proofErr w:type="spellStart"/>
      <w:r w:rsidR="009E4B69">
        <w:rPr>
          <w:i/>
        </w:rPr>
        <w:t>Hotel</w:t>
      </w:r>
      <w:proofErr w:type="spellEnd"/>
      <w:r w:rsidR="009E4B69">
        <w:rPr>
          <w:i/>
        </w:rPr>
        <w:t xml:space="preserve">», malgré le chevauchement de compétences, </w:t>
      </w:r>
      <w:r w:rsidR="009E4B69" w:rsidRPr="009E4B69">
        <w:rPr>
          <w:i/>
        </w:rPr>
        <w:t xml:space="preserve">il n’y a pas de conflit direct. En effet, il est tout à fait possible de se conformer aux 2 lois. </w:t>
      </w:r>
      <w:r w:rsidR="00BB6A56">
        <w:rPr>
          <w:i/>
        </w:rPr>
        <w:t xml:space="preserve"> </w:t>
      </w:r>
      <w:r w:rsidR="00BB6A56" w:rsidRPr="00BB6A56">
        <w:rPr>
          <w:i/>
        </w:rPr>
        <w:t xml:space="preserve">Tel que l’exprimait le juge Corry dans «Multiple </w:t>
      </w:r>
      <w:proofErr w:type="spellStart"/>
      <w:r w:rsidR="00BB6A56" w:rsidRPr="00BB6A56">
        <w:rPr>
          <w:i/>
        </w:rPr>
        <w:t>access</w:t>
      </w:r>
      <w:proofErr w:type="spellEnd"/>
      <w:r w:rsidR="00BB6A56" w:rsidRPr="00BB6A56">
        <w:rPr>
          <w:i/>
        </w:rPr>
        <w:t xml:space="preserve">» : «Notre pays s’éloigne de plus en plus du vieux fédéralisme classique des compartiments étanches et il semble que nous nous dirigeons vers un fédéralisme coopératif car la multiplication des domaines de compétence concurrente est l’un des aspects de cette tendance».  </w:t>
      </w:r>
    </w:p>
    <w:p w:rsidR="00CE6D99" w:rsidRDefault="00CE6D99" w:rsidP="001C2453">
      <w:pPr>
        <w:jc w:val="both"/>
        <w:rPr>
          <w:i/>
        </w:rPr>
      </w:pPr>
    </w:p>
    <w:p w:rsidR="00CE6D99" w:rsidRDefault="00CE6D99" w:rsidP="00CE6D99">
      <w:pPr>
        <w:pStyle w:val="Paragraphedeliste"/>
        <w:numPr>
          <w:ilvl w:val="0"/>
          <w:numId w:val="2"/>
        </w:numPr>
        <w:jc w:val="both"/>
      </w:pPr>
      <w:r>
        <w:t>Quels sont les chefs de compétences qui pourraient soutenir ou appuyer la validité constitutionnelle de la loi provinciale ?</w:t>
      </w:r>
    </w:p>
    <w:p w:rsidR="00CE6D99" w:rsidRDefault="00CE6D99" w:rsidP="00CE6D99">
      <w:pPr>
        <w:jc w:val="both"/>
        <w:rPr>
          <w:i/>
        </w:rPr>
      </w:pPr>
      <w:r>
        <w:rPr>
          <w:i/>
        </w:rPr>
        <w:t xml:space="preserve">Article 92 </w:t>
      </w:r>
      <w:r w:rsidR="008E6309">
        <w:rPr>
          <w:i/>
        </w:rPr>
        <w:tab/>
      </w:r>
      <w:r>
        <w:rPr>
          <w:i/>
        </w:rPr>
        <w:t>(13) :</w:t>
      </w:r>
      <w:r>
        <w:rPr>
          <w:i/>
        </w:rPr>
        <w:tab/>
        <w:t>«La propriété et les droits civils»</w:t>
      </w:r>
    </w:p>
    <w:p w:rsidR="00CE6D99" w:rsidRDefault="008E6309" w:rsidP="00CE6D99">
      <w:pPr>
        <w:jc w:val="both"/>
        <w:rPr>
          <w:i/>
        </w:rPr>
      </w:pPr>
      <w:r>
        <w:rPr>
          <w:i/>
        </w:rPr>
        <w:tab/>
      </w:r>
      <w:r>
        <w:rPr>
          <w:i/>
        </w:rPr>
        <w:tab/>
      </w:r>
      <w:r w:rsidR="00CE6D99">
        <w:rPr>
          <w:i/>
        </w:rPr>
        <w:t>(15) :</w:t>
      </w:r>
      <w:r w:rsidR="00CE6D99">
        <w:rPr>
          <w:i/>
        </w:rPr>
        <w:tab/>
        <w:t xml:space="preserve">«L’infliction de punitions par voie d’amende, de pénalité ou d’emprisonnement, dans le but de faire </w:t>
      </w:r>
      <w:r>
        <w:rPr>
          <w:i/>
        </w:rPr>
        <w:tab/>
      </w:r>
      <w:r>
        <w:rPr>
          <w:i/>
        </w:rPr>
        <w:tab/>
      </w:r>
      <w:r>
        <w:rPr>
          <w:i/>
        </w:rPr>
        <w:tab/>
      </w:r>
      <w:r w:rsidR="00CE6D99">
        <w:rPr>
          <w:i/>
        </w:rPr>
        <w:t xml:space="preserve">exécuter toute </w:t>
      </w:r>
      <w:r w:rsidR="00CE6D99">
        <w:rPr>
          <w:i/>
        </w:rPr>
        <w:tab/>
        <w:t>loi de la province…»</w:t>
      </w:r>
    </w:p>
    <w:p w:rsidR="00CE6D99" w:rsidRDefault="008E6309" w:rsidP="00CE6D99">
      <w:pPr>
        <w:jc w:val="both"/>
        <w:rPr>
          <w:i/>
        </w:rPr>
      </w:pPr>
      <w:r>
        <w:rPr>
          <w:i/>
        </w:rPr>
        <w:tab/>
      </w:r>
      <w:r>
        <w:rPr>
          <w:i/>
        </w:rPr>
        <w:tab/>
      </w:r>
      <w:r w:rsidR="00CE6D99">
        <w:rPr>
          <w:i/>
        </w:rPr>
        <w:t>(16) :</w:t>
      </w:r>
      <w:r w:rsidR="00CE6D99">
        <w:rPr>
          <w:i/>
        </w:rPr>
        <w:tab/>
        <w:t>«…toutes les matières de nature purement locale ou privée dans la province»</w:t>
      </w:r>
    </w:p>
    <w:p w:rsidR="00E513BA" w:rsidRDefault="00E513BA" w:rsidP="00CE6D99">
      <w:pPr>
        <w:jc w:val="both"/>
        <w:rPr>
          <w:i/>
        </w:rPr>
      </w:pPr>
    </w:p>
    <w:p w:rsidR="00F13E10" w:rsidRDefault="00F13E10" w:rsidP="00F13E10">
      <w:pPr>
        <w:pStyle w:val="Paragraphedeliste"/>
        <w:numPr>
          <w:ilvl w:val="0"/>
          <w:numId w:val="2"/>
        </w:numPr>
        <w:jc w:val="both"/>
      </w:pPr>
      <w:r>
        <w:t>Si les 2 lois sur les armes à feu (fédérale et provinciale) sont valides sur le plan constitutionnel, y-a-t-il un conflit sur le plan opérationnel entre ces 2 lois ou faut-il se soumettre aux 2 régimes ?</w:t>
      </w:r>
    </w:p>
    <w:p w:rsidR="00F13E10" w:rsidRDefault="00F13E10" w:rsidP="00F13E10">
      <w:pPr>
        <w:jc w:val="both"/>
        <w:rPr>
          <w:i/>
        </w:rPr>
      </w:pPr>
      <w:r w:rsidRPr="00F13E10">
        <w:rPr>
          <w:i/>
        </w:rPr>
        <w:t>Il peut être possible qu’il y ait conflit sur le plan opérationnel alors que les 2 lois sont valides sur le plan constitutionnel lorsqu’elles interfèrent l’une avec l’autre. L'opérabilité d'une loi peut être contestée s’il est démontré que les lois sont fonctionnellement inopérantes, en ce sens qu’en respectant l’une, on viole l’autre, il y a conflit. Ainsi, nous dirons que les 2 lois sont incompatibles.</w:t>
      </w:r>
      <w:r>
        <w:rPr>
          <w:i/>
        </w:rPr>
        <w:t xml:space="preserve"> Or, en l’espèce, il n’y a pas de conflit sur le plan opérationnel car l’une n’empêche pas l’application de l’autre et vice versa.</w:t>
      </w:r>
    </w:p>
    <w:p w:rsidR="00F13E10" w:rsidRPr="00F13E10" w:rsidRDefault="00F13E10" w:rsidP="00F13E10">
      <w:pPr>
        <w:jc w:val="both"/>
        <w:rPr>
          <w:i/>
        </w:rPr>
      </w:pPr>
      <w:r>
        <w:rPr>
          <w:i/>
        </w:rPr>
        <w:t>Par conséquent, t</w:t>
      </w:r>
      <w:r w:rsidRPr="00F13E10">
        <w:rPr>
          <w:i/>
        </w:rPr>
        <w:t xml:space="preserve">el qu’illustré dans «RB&amp;H», en l’absence de conflit entre les 2 lois valides, en ce sens que l’une n’interfère pas avec l’autre ni entrave la réalisation de l’objet du texte législatif, en vertu de la doctrine du double aspect, on peut se soumettre aux 2 régimes car un sujet qui sous un aspect et pour une certaine fin relève du provincial puisse sous un autre aspect et pour une autre fin relever du fédéral à l’égard de la même matière n’empêche pas la poursuite du même objectif législatif. </w:t>
      </w:r>
    </w:p>
    <w:p w:rsidR="00F13E10" w:rsidRDefault="00F13E10" w:rsidP="00F13E10">
      <w:pPr>
        <w:jc w:val="both"/>
        <w:rPr>
          <w:i/>
        </w:rPr>
      </w:pPr>
      <w:r w:rsidRPr="00F13E10">
        <w:rPr>
          <w:i/>
        </w:rPr>
        <w:t>De par le caractère véritable de la loi […], le but visé par le Parlement sera atteint, peu importe la loi sur lequel se fonde le recours; l’application de la loi provinciale n’a pas pour effet d’écarter l’intention du Parlement. Toutefois, le fait que la matière comporte un double aspect milite en faveur de la prépondérance du fédéral dans le but de favoriser un équilibre dans le fédéralisme unitaire.</w:t>
      </w:r>
    </w:p>
    <w:p w:rsidR="00F13E10" w:rsidRPr="00206E9E" w:rsidRDefault="00206E9E" w:rsidP="00F13E10">
      <w:pPr>
        <w:pStyle w:val="Paragraphedeliste"/>
        <w:numPr>
          <w:ilvl w:val="0"/>
          <w:numId w:val="2"/>
        </w:numPr>
        <w:jc w:val="both"/>
        <w:rPr>
          <w:i/>
        </w:rPr>
      </w:pPr>
      <w:r>
        <w:lastRenderedPageBreak/>
        <w:t>Quelles sont les doctrines constitutionnelles qui s’appliquent en l’espèce ?</w:t>
      </w:r>
    </w:p>
    <w:p w:rsidR="00BC780D" w:rsidRDefault="00BC780D" w:rsidP="00206E9E">
      <w:pPr>
        <w:jc w:val="both"/>
        <w:rPr>
          <w:i/>
        </w:rPr>
      </w:pPr>
      <w:r>
        <w:rPr>
          <w:i/>
        </w:rPr>
        <w:t>La doctrine du caractère véritable (on procède avec l’analyse) &amp; La doctrine du double aspect (on conclut avec celle-ci)</w:t>
      </w:r>
    </w:p>
    <w:p w:rsidR="00BC780D" w:rsidRDefault="00BC780D" w:rsidP="00206E9E">
      <w:pPr>
        <w:jc w:val="both"/>
        <w:rPr>
          <w:i/>
        </w:rPr>
      </w:pPr>
      <w:r>
        <w:rPr>
          <w:i/>
        </w:rPr>
        <w:t>La constitutionnalité de la loi provinciale s’établie par l’analyse de sa validité en procédant à l’évaluation de son caractère véritable en déterminant le sujet dont elle traite afin de le classer dans la sphère de compétence correspondante soit au fédéral en vertu de l’article 91, soit au provincial en vertu de l’article 92. Ce processus se réalise tant au niveau de la loi elle-même qu’à l’égard des dispositions qui la compose pouvant s’avérer potentiellement contestables.</w:t>
      </w:r>
    </w:p>
    <w:p w:rsidR="00BC780D" w:rsidRDefault="00BC780D" w:rsidP="00206E9E">
      <w:pPr>
        <w:jc w:val="both"/>
        <w:rPr>
          <w:i/>
        </w:rPr>
      </w:pPr>
      <w:r>
        <w:rPr>
          <w:i/>
        </w:rPr>
        <w:t>À ce titre, il importe de procéder en 2 étapes. Premièrement, il convient de préciser l’</w:t>
      </w:r>
      <w:r w:rsidR="007500D5">
        <w:rPr>
          <w:i/>
        </w:rPr>
        <w:t>objet</w:t>
      </w:r>
      <w:r>
        <w:rPr>
          <w:i/>
        </w:rPr>
        <w:t xml:space="preserve"> de la loi afin d’établir la preuve intrinsèque de ce qu’elle vise à règlementer précisément. </w:t>
      </w:r>
      <w:r w:rsidR="00936CB4">
        <w:rPr>
          <w:i/>
        </w:rPr>
        <w:t>Deuxièmement, il convient de préciser l’effet juridique de la loi afin d’établir la preuve extrinsèque de l’influence qu’elle a sur les droits et obligations du citoyen.</w:t>
      </w:r>
    </w:p>
    <w:p w:rsidR="007500D5" w:rsidRDefault="00936CB4" w:rsidP="00206E9E">
      <w:pPr>
        <w:jc w:val="both"/>
        <w:rPr>
          <w:i/>
        </w:rPr>
      </w:pPr>
      <w:r>
        <w:rPr>
          <w:i/>
        </w:rPr>
        <w:t>En l’espèce, l’</w:t>
      </w:r>
      <w:r w:rsidR="007500D5">
        <w:rPr>
          <w:i/>
        </w:rPr>
        <w:t>objet</w:t>
      </w:r>
      <w:r>
        <w:rPr>
          <w:i/>
        </w:rPr>
        <w:t xml:space="preserve"> la loi vise à interdire la possession de toute arme à feu sur les terrains et dans les bâtiments d’une institution d’enseignement et d’une garderie, ainsi que dans un transport public ou scolaire.</w:t>
      </w:r>
      <w:r w:rsidR="00E2488B">
        <w:rPr>
          <w:i/>
        </w:rPr>
        <w:t xml:space="preserve"> Conséquemment, l’effet juridique de la loi aura pour incidence de favoriser la protection des personnes qui fréquentent ces établissements et utilisent ces moyens de transport. Ainsi, nous pouvons conclure que l’objectif de la loi est conséquent avec l’effet qu’elle a</w:t>
      </w:r>
      <w:r w:rsidR="00A40E15">
        <w:rPr>
          <w:i/>
        </w:rPr>
        <w:t xml:space="preserve"> sur le citoyen et que la loi est valide de par son caractère véritable.</w:t>
      </w:r>
    </w:p>
    <w:p w:rsidR="007500D5" w:rsidRDefault="007500D5" w:rsidP="00206E9E">
      <w:pPr>
        <w:jc w:val="both"/>
        <w:rPr>
          <w:i/>
        </w:rPr>
      </w:pPr>
      <w:r>
        <w:rPr>
          <w:i/>
        </w:rPr>
        <w:t>Toutefois,</w:t>
      </w:r>
      <w:r w:rsidR="00A40E15">
        <w:rPr>
          <w:i/>
        </w:rPr>
        <w:t xml:space="preserve"> la disposition n</w:t>
      </w:r>
      <w:r w:rsidR="00A40E15">
        <w:rPr>
          <w:i/>
          <w:vertAlign w:val="superscript"/>
        </w:rPr>
        <w:t>o</w:t>
      </w:r>
      <w:r w:rsidR="00A40E15">
        <w:rPr>
          <w:i/>
        </w:rPr>
        <w:t xml:space="preserve">2 </w:t>
      </w:r>
      <w:r>
        <w:rPr>
          <w:i/>
        </w:rPr>
        <w:t>de la loi ne relève pas de la compétence du provincial. En effet, l’interdiction de posséder une arme à feu et la criminalisation de ce comportement au sens du code criminel relève de la compétence du fédéral en vertu de l’article 91 (27) de la LC 1867. Plus particulièrement, le pouvoir de légiférer en droit criminel repose sur 3 éléments : 1. L’interdiction d’un comportement, 2. L’interdiction doit être assortie d’une sanction, 3. La loi doit avoir un objectif public légitime.</w:t>
      </w:r>
    </w:p>
    <w:p w:rsidR="007500D5" w:rsidRDefault="007500D5" w:rsidP="00206E9E">
      <w:pPr>
        <w:jc w:val="both"/>
        <w:rPr>
          <w:i/>
        </w:rPr>
      </w:pPr>
      <w:r>
        <w:rPr>
          <w:i/>
        </w:rPr>
        <w:t xml:space="preserve">En l’espèce, nous pouvons affirmer que la loi a un objectif public légitime, en ce sens que l’interdiction de posséder une arme à feu vise la protection du public. </w:t>
      </w:r>
      <w:r w:rsidR="007F443F">
        <w:rPr>
          <w:i/>
        </w:rPr>
        <w:t>Néanmoins,</w:t>
      </w:r>
      <w:r w:rsidR="00A40E15">
        <w:rPr>
          <w:i/>
        </w:rPr>
        <w:t xml:space="preserve"> quant à la disposition n</w:t>
      </w:r>
      <w:r w:rsidR="00A40E15">
        <w:rPr>
          <w:i/>
          <w:vertAlign w:val="superscript"/>
        </w:rPr>
        <w:t xml:space="preserve">o </w:t>
      </w:r>
      <w:r w:rsidR="00A40E15">
        <w:rPr>
          <w:i/>
        </w:rPr>
        <w:t>2,</w:t>
      </w:r>
      <w:r w:rsidR="007F443F">
        <w:rPr>
          <w:i/>
        </w:rPr>
        <w:t xml:space="preserve"> le problème persiste </w:t>
      </w:r>
      <w:r w:rsidR="00A40E15">
        <w:rPr>
          <w:i/>
        </w:rPr>
        <w:t xml:space="preserve">à l’égard de </w:t>
      </w:r>
      <w:r w:rsidR="007F443F">
        <w:rPr>
          <w:i/>
        </w:rPr>
        <w:t>la compétence du provincial de légiférer en matière criminelle.</w:t>
      </w:r>
    </w:p>
    <w:p w:rsidR="00525980" w:rsidRDefault="007F443F" w:rsidP="00206E9E">
      <w:pPr>
        <w:jc w:val="both"/>
        <w:rPr>
          <w:i/>
        </w:rPr>
      </w:pPr>
      <w:r>
        <w:rPr>
          <w:i/>
        </w:rPr>
        <w:t xml:space="preserve">Or, vu que le fédéral s’abstient d’interdire la possession d’armes à feu spécifiquement dans le contexte sous étude, cela ouvre la voie au provincial de légiférer et ainsi règlementer. En </w:t>
      </w:r>
      <w:r w:rsidR="00525980">
        <w:rPr>
          <w:i/>
        </w:rPr>
        <w:t>effet, en interdisant</w:t>
      </w:r>
      <w:r>
        <w:rPr>
          <w:i/>
        </w:rPr>
        <w:t xml:space="preserve"> un comportement</w:t>
      </w:r>
      <w:r w:rsidR="00525980">
        <w:rPr>
          <w:i/>
        </w:rPr>
        <w:t xml:space="preserve"> autour d’un domaine au lieu d’interdire le domaine dans son ensemble, on se trouve à règlementer. Ainsi, la règlementation n’est pas un obstacle à l’interdiction que confère le droit criminel, en ce sens que l’on règlemente la possession d’armes à feu en exigeant leur enregistrement mais on n’interdit pas d’en posséder. Tel qu’illustré dans «Crown </w:t>
      </w:r>
      <w:r w:rsidR="00A40E15">
        <w:rPr>
          <w:i/>
        </w:rPr>
        <w:t>Zell</w:t>
      </w:r>
      <w:r w:rsidR="00525980">
        <w:rPr>
          <w:i/>
        </w:rPr>
        <w:t>er back» et «H.Q.», on a procédé avec une loi basée sur le pouvoir du fédéral pour légiférer dans un domaine de compétence provincial.</w:t>
      </w:r>
    </w:p>
    <w:p w:rsidR="00E513BA" w:rsidRDefault="000531E6" w:rsidP="00206E9E">
      <w:pPr>
        <w:jc w:val="both"/>
        <w:rPr>
          <w:i/>
        </w:rPr>
      </w:pPr>
      <w:r>
        <w:rPr>
          <w:i/>
        </w:rPr>
        <w:t>En l’</w:t>
      </w:r>
      <w:r w:rsidR="00A40E15">
        <w:rPr>
          <w:i/>
        </w:rPr>
        <w:t>espèce, t</w:t>
      </w:r>
      <w:r w:rsidR="00A40E15" w:rsidRPr="00A40E15">
        <w:rPr>
          <w:i/>
        </w:rPr>
        <w:t>el qu’illustré dans «</w:t>
      </w:r>
      <w:proofErr w:type="spellStart"/>
      <w:r w:rsidR="00A40E15" w:rsidRPr="00A40E15">
        <w:rPr>
          <w:i/>
        </w:rPr>
        <w:t>Kitkatla</w:t>
      </w:r>
      <w:proofErr w:type="spellEnd"/>
      <w:r w:rsidR="00A40E15" w:rsidRPr="00A40E15">
        <w:rPr>
          <w:i/>
        </w:rPr>
        <w:t>», une disposition en apparence douteuse peut s’avérer valide si elle est suffisamment intégrée dans la loi valide dont elle fait partie, et selon le degré d’intrusion dans le champ de compétence de</w:t>
      </w:r>
      <w:r w:rsidR="009B6D59">
        <w:rPr>
          <w:i/>
        </w:rPr>
        <w:t xml:space="preserve"> l’autre autorité. Plus particulièrement</w:t>
      </w:r>
      <w:r w:rsidR="00A40E15" w:rsidRPr="00A40E15">
        <w:rPr>
          <w:i/>
        </w:rPr>
        <w:t>, vu que la disposition contestée n’empiète que légèrement sur la compétence d’une autre autorité, le critère d’un lien rationnel et fonctionnel est démontré par le fait que la loi englobe un domaine dans son ensemble et non pas un élément particulier d’un domaine relevant de la compétence exclusive de l’autre autorité.</w:t>
      </w:r>
      <w:r w:rsidR="009B6D59">
        <w:rPr>
          <w:i/>
        </w:rPr>
        <w:t xml:space="preserve"> </w:t>
      </w:r>
    </w:p>
    <w:p w:rsidR="007F443F" w:rsidRDefault="00356414" w:rsidP="00E513BA">
      <w:pPr>
        <w:jc w:val="both"/>
        <w:rPr>
          <w:i/>
        </w:rPr>
      </w:pPr>
      <w:r>
        <w:rPr>
          <w:i/>
        </w:rPr>
        <w:t>Ainsi,</w:t>
      </w:r>
      <w:r w:rsidR="00E513BA">
        <w:rPr>
          <w:i/>
        </w:rPr>
        <w:t xml:space="preserve"> e</w:t>
      </w:r>
      <w:r w:rsidR="00E513BA" w:rsidRPr="00E513BA">
        <w:rPr>
          <w:i/>
        </w:rPr>
        <w:t>n vertu d</w:t>
      </w:r>
      <w:r w:rsidR="000A1F90">
        <w:rPr>
          <w:i/>
        </w:rPr>
        <w:t>e la théorie du double aspect, la</w:t>
      </w:r>
      <w:r w:rsidR="00E513BA" w:rsidRPr="00E513BA">
        <w:rPr>
          <w:i/>
        </w:rPr>
        <w:t xml:space="preserve"> loi est constitutionnelle à l’égard de la pré</w:t>
      </w:r>
      <w:r w:rsidR="00E513BA">
        <w:rPr>
          <w:i/>
        </w:rPr>
        <w:t xml:space="preserve">misse qu’un sujet qui, sous un </w:t>
      </w:r>
      <w:r w:rsidR="00E513BA" w:rsidRPr="00E513BA">
        <w:rPr>
          <w:i/>
        </w:rPr>
        <w:t xml:space="preserve">certain aspect et pour une certaine fin, relève du provincial, puisse, sous un autre aspect </w:t>
      </w:r>
      <w:r w:rsidR="00E513BA">
        <w:rPr>
          <w:i/>
        </w:rPr>
        <w:t xml:space="preserve">et pour une autre fin, relever </w:t>
      </w:r>
      <w:r w:rsidR="00E513BA" w:rsidRPr="00E513BA">
        <w:rPr>
          <w:i/>
        </w:rPr>
        <w:t>du fédéral à l’égard</w:t>
      </w:r>
      <w:r w:rsidR="006224B2">
        <w:rPr>
          <w:i/>
        </w:rPr>
        <w:t xml:space="preserve"> de la même matière. </w:t>
      </w:r>
      <w:r w:rsidR="00E513BA">
        <w:rPr>
          <w:i/>
        </w:rPr>
        <w:t>Par conséquent,</w:t>
      </w:r>
      <w:r w:rsidR="00E513BA" w:rsidRPr="00E513BA">
        <w:rPr>
          <w:i/>
        </w:rPr>
        <w:t xml:space="preserve"> la loi peut produire des effets collatéraux et affecter des matières relevant de la </w:t>
      </w:r>
      <w:r w:rsidR="00E513BA">
        <w:rPr>
          <w:i/>
        </w:rPr>
        <w:t xml:space="preserve">compétence de l’autre ordre de </w:t>
      </w:r>
      <w:r w:rsidR="00E513BA" w:rsidRPr="00E513BA">
        <w:rPr>
          <w:i/>
        </w:rPr>
        <w:t xml:space="preserve">gouvernement sans pour autant porter atteinte au partage des pouvoirs ni être inconstitutionnelle. On dira qu’il </w:t>
      </w:r>
      <w:r w:rsidR="00E513BA">
        <w:rPr>
          <w:i/>
        </w:rPr>
        <w:t xml:space="preserve">y a </w:t>
      </w:r>
      <w:r w:rsidR="00E513BA" w:rsidRPr="00E513BA">
        <w:rPr>
          <w:i/>
        </w:rPr>
        <w:t xml:space="preserve">chevauchement. Néanmoins, il doit </w:t>
      </w:r>
      <w:r w:rsidR="00C23EEB">
        <w:rPr>
          <w:i/>
        </w:rPr>
        <w:t>rester accessoire, acceptable,</w:t>
      </w:r>
      <w:r w:rsidR="00E513BA" w:rsidRPr="00E513BA">
        <w:rPr>
          <w:i/>
        </w:rPr>
        <w:t xml:space="preserve"> prévisible. Tel qu’illustré d</w:t>
      </w:r>
      <w:r w:rsidR="00E513BA">
        <w:rPr>
          <w:i/>
        </w:rPr>
        <w:t xml:space="preserve">ans «Lacombe», </w:t>
      </w:r>
      <w:r w:rsidR="006224B2">
        <w:rPr>
          <w:i/>
        </w:rPr>
        <w:t>«en vertu de la doctrine des pouvoirs accessoires, lorsque, de par son caractère véritable, une disposition excède la compétence de l’autorité qui l’adopte, la disposition potentiellement invalide est sauvegardée si elle constitue un élément important d’un régime législatif plus vaste qui relève de la compétence de l’autorité qui l’adopte.»</w:t>
      </w:r>
      <w:r w:rsidR="00C23EEB">
        <w:rPr>
          <w:i/>
        </w:rPr>
        <w:t xml:space="preserve"> </w:t>
      </w:r>
    </w:p>
    <w:p w:rsidR="00356414" w:rsidRDefault="00356414" w:rsidP="00E513BA">
      <w:pPr>
        <w:jc w:val="both"/>
        <w:rPr>
          <w:i/>
        </w:rPr>
      </w:pPr>
      <w:r>
        <w:rPr>
          <w:i/>
        </w:rPr>
        <w:t>Par conséquent, en l’espèce, la disposition n</w:t>
      </w:r>
      <w:r>
        <w:rPr>
          <w:i/>
          <w:vertAlign w:val="superscript"/>
        </w:rPr>
        <w:t>o</w:t>
      </w:r>
      <w:r>
        <w:rPr>
          <w:i/>
        </w:rPr>
        <w:t>2 est valide car elle constitue un élément important et suffisamment intégrée de la loi provinciale ainsi qu’elle vise à règlementer et non à interdire.</w:t>
      </w:r>
    </w:p>
    <w:p w:rsidR="003A42D3" w:rsidRDefault="00FC1E13" w:rsidP="00E513BA">
      <w:pPr>
        <w:jc w:val="both"/>
        <w:rPr>
          <w:b/>
        </w:rPr>
      </w:pPr>
      <w:r>
        <w:rPr>
          <w:b/>
        </w:rPr>
        <w:lastRenderedPageBreak/>
        <w:t>Loi fédérale adoptée en vertu de l’intérêt national</w:t>
      </w:r>
    </w:p>
    <w:p w:rsidR="00FC1E13" w:rsidRDefault="00FC1E13" w:rsidP="00E513BA">
      <w:pPr>
        <w:jc w:val="both"/>
        <w:rPr>
          <w:b/>
        </w:rPr>
      </w:pPr>
    </w:p>
    <w:p w:rsidR="00FC1E13" w:rsidRDefault="00FC1E13" w:rsidP="00FC1E13">
      <w:pPr>
        <w:pStyle w:val="Paragraphedeliste"/>
        <w:numPr>
          <w:ilvl w:val="0"/>
          <w:numId w:val="2"/>
        </w:numPr>
        <w:jc w:val="both"/>
      </w:pPr>
      <w:r>
        <w:t>Quels sont les arguments que l’on pourrait faire valoir pour contester la validité de la Loi sur le contrôle des émissions de gaz à effet de serre ?</w:t>
      </w:r>
    </w:p>
    <w:p w:rsidR="00FC1E13" w:rsidRPr="00FC1E13" w:rsidRDefault="00FC1E13" w:rsidP="00FC1E13">
      <w:pPr>
        <w:jc w:val="both"/>
        <w:rPr>
          <w:i/>
        </w:rPr>
      </w:pPr>
      <w:r w:rsidRPr="00FC1E13">
        <w:rPr>
          <w:i/>
        </w:rPr>
        <w:t>La</w:t>
      </w:r>
      <w:r>
        <w:rPr>
          <w:i/>
        </w:rPr>
        <w:t xml:space="preserve"> constitutionnalité de la loi fédérale</w:t>
      </w:r>
      <w:r w:rsidRPr="00FC1E13">
        <w:rPr>
          <w:i/>
        </w:rPr>
        <w:t xml:space="preserve"> s’établit par l’analyse de sa validité en procédant à l’évaluation de son caractère véritable en déterminant le sujet qu’il traite afin de le classer dans la sphère de compétence correspondante soit au provincial</w:t>
      </w:r>
      <w:r>
        <w:rPr>
          <w:i/>
        </w:rPr>
        <w:t xml:space="preserve"> en vertu de l’article 92</w:t>
      </w:r>
      <w:r w:rsidRPr="00FC1E13">
        <w:rPr>
          <w:i/>
        </w:rPr>
        <w:t>, soit au fédéral</w:t>
      </w:r>
      <w:r>
        <w:rPr>
          <w:i/>
        </w:rPr>
        <w:t xml:space="preserve"> en vertu de l’article 91 de la LC 1867</w:t>
      </w:r>
      <w:r w:rsidRPr="00FC1E13">
        <w:rPr>
          <w:i/>
        </w:rPr>
        <w:t>.</w:t>
      </w:r>
    </w:p>
    <w:p w:rsidR="00FC1E13" w:rsidRPr="00FC1E13" w:rsidRDefault="00FC1E13" w:rsidP="00FC1E13">
      <w:pPr>
        <w:jc w:val="both"/>
        <w:rPr>
          <w:i/>
        </w:rPr>
      </w:pPr>
      <w:r w:rsidRPr="00FC1E13">
        <w:rPr>
          <w:i/>
        </w:rPr>
        <w:t>Ce processus se réalise tant au niveau du règlement lui-même qu’à l’égard des dispositions qui le composent et qui pourraient s’avérer potentiellement contestables le cas échéant.</w:t>
      </w:r>
    </w:p>
    <w:p w:rsidR="00FC1E13" w:rsidRPr="00FC1E13" w:rsidRDefault="00FC1E13" w:rsidP="00FC1E13">
      <w:pPr>
        <w:jc w:val="both"/>
        <w:rPr>
          <w:i/>
        </w:rPr>
      </w:pPr>
      <w:r w:rsidRPr="00FC1E13">
        <w:rPr>
          <w:i/>
        </w:rPr>
        <w:t xml:space="preserve"> Ainsi, il importe de procéder en 2 étapes. Tout d’abord, il convient de </w:t>
      </w:r>
      <w:r w:rsidR="00AF1F3D">
        <w:rPr>
          <w:i/>
        </w:rPr>
        <w:t>préciser l’objectif de la loi</w:t>
      </w:r>
      <w:r w:rsidRPr="00FC1E13">
        <w:rPr>
          <w:i/>
        </w:rPr>
        <w:t xml:space="preserve"> afin d’établir </w:t>
      </w:r>
      <w:r w:rsidR="00AF1F3D">
        <w:rPr>
          <w:i/>
        </w:rPr>
        <w:t>la preuve intrinsèque de ce qu’el</w:t>
      </w:r>
      <w:r w:rsidRPr="00FC1E13">
        <w:rPr>
          <w:i/>
        </w:rPr>
        <w:t>l</w:t>
      </w:r>
      <w:r w:rsidR="00AF1F3D">
        <w:rPr>
          <w:i/>
        </w:rPr>
        <w:t>e</w:t>
      </w:r>
      <w:r w:rsidRPr="00FC1E13">
        <w:rPr>
          <w:i/>
        </w:rPr>
        <w:t xml:space="preserve"> vise à règlementer précisément. Ensuite, il convient de préciser l’e</w:t>
      </w:r>
      <w:r w:rsidR="00AF1F3D">
        <w:rPr>
          <w:i/>
        </w:rPr>
        <w:t>ffet juridique que la loi</w:t>
      </w:r>
      <w:r w:rsidRPr="00FC1E13">
        <w:rPr>
          <w:i/>
        </w:rPr>
        <w:t xml:space="preserve"> produit afin d’établir la preuve </w:t>
      </w:r>
      <w:r w:rsidR="00AF1F3D">
        <w:rPr>
          <w:i/>
        </w:rPr>
        <w:t>extrinsèque de l’influence qu’elle</w:t>
      </w:r>
      <w:r w:rsidRPr="00FC1E13">
        <w:rPr>
          <w:i/>
        </w:rPr>
        <w:t xml:space="preserve"> exerce sur les droits et obligations du citoyen. </w:t>
      </w:r>
    </w:p>
    <w:p w:rsidR="00E70285" w:rsidRDefault="00FC1E13" w:rsidP="00FC1E13">
      <w:pPr>
        <w:jc w:val="both"/>
        <w:rPr>
          <w:i/>
        </w:rPr>
      </w:pPr>
      <w:r w:rsidRPr="00FC1E13">
        <w:rPr>
          <w:i/>
        </w:rPr>
        <w:t>En l</w:t>
      </w:r>
      <w:r w:rsidR="00AF1F3D">
        <w:rPr>
          <w:i/>
        </w:rPr>
        <w:t xml:space="preserve">’espèce, </w:t>
      </w:r>
      <w:r w:rsidR="00B9145B">
        <w:rPr>
          <w:i/>
        </w:rPr>
        <w:t xml:space="preserve">suivant le libellé de l’article 2, </w:t>
      </w:r>
      <w:r w:rsidR="00AF1F3D">
        <w:rPr>
          <w:i/>
        </w:rPr>
        <w:t>l’objectif de la loi</w:t>
      </w:r>
      <w:r w:rsidR="00B9145B">
        <w:rPr>
          <w:i/>
        </w:rPr>
        <w:t xml:space="preserve"> vise </w:t>
      </w:r>
      <w:r w:rsidRPr="00FC1E13">
        <w:rPr>
          <w:i/>
        </w:rPr>
        <w:t>à</w:t>
      </w:r>
      <w:r w:rsidR="00B9145B">
        <w:rPr>
          <w:i/>
        </w:rPr>
        <w:t xml:space="preserve"> s’attaquer à un problème </w:t>
      </w:r>
      <w:r w:rsidR="00E70285">
        <w:rPr>
          <w:i/>
        </w:rPr>
        <w:t xml:space="preserve">grave </w:t>
      </w:r>
      <w:r w:rsidR="00B9145B">
        <w:rPr>
          <w:i/>
        </w:rPr>
        <w:t>d’envergure nationale afin de protéger l’environnement, la qualité de l’air au Canada et la santé des Canadiens</w:t>
      </w:r>
      <w:r w:rsidRPr="00FC1E13">
        <w:rPr>
          <w:i/>
        </w:rPr>
        <w:t xml:space="preserve"> </w:t>
      </w:r>
      <w:r w:rsidR="00E70285">
        <w:rPr>
          <w:i/>
        </w:rPr>
        <w:t>et son effet aura</w:t>
      </w:r>
      <w:r w:rsidR="00746EBE">
        <w:rPr>
          <w:i/>
        </w:rPr>
        <w:t xml:space="preserve"> comme incidence</w:t>
      </w:r>
      <w:r w:rsidR="00E70285">
        <w:rPr>
          <w:i/>
        </w:rPr>
        <w:t xml:space="preserve"> d’aider le Canada à faire respecter ses obligations internationales en matière de contrôle des gaz à effet de serre.</w:t>
      </w:r>
    </w:p>
    <w:p w:rsidR="00FC1E13" w:rsidRPr="00FC1E13" w:rsidRDefault="00FC1E13" w:rsidP="00FC1E13">
      <w:pPr>
        <w:jc w:val="both"/>
        <w:rPr>
          <w:i/>
        </w:rPr>
      </w:pPr>
      <w:r w:rsidRPr="00FC1E13">
        <w:rPr>
          <w:i/>
        </w:rPr>
        <w:t xml:space="preserve">Or, </w:t>
      </w:r>
      <w:r w:rsidR="00E70285">
        <w:rPr>
          <w:i/>
        </w:rPr>
        <w:t xml:space="preserve">en sus des dispositions liminaires, </w:t>
      </w:r>
      <w:r w:rsidRPr="00FC1E13">
        <w:rPr>
          <w:i/>
        </w:rPr>
        <w:t>il appert que l’effet juridique n’est pas conséqu</w:t>
      </w:r>
      <w:r w:rsidR="00941754">
        <w:rPr>
          <w:i/>
        </w:rPr>
        <w:t>ent avec l’objectif de la loi</w:t>
      </w:r>
      <w:r w:rsidRPr="00FC1E13">
        <w:rPr>
          <w:i/>
        </w:rPr>
        <w:t xml:space="preserve"> en ce sens que le prétendu objet de la loi masque son objet véritable. De ce fait, nous dirons qu’il y a détournement de pouvoir. Plus particulièrement, lorsqu’une loi semblant porté sur un sujet relevant de la compétence d’un gouvernement porte en réalité sur un sujet qui ne relève pas de cette compétence, la loi appert déguisée. Ainsi,  bien que l’objet et l’effet de la loi soient des facteurs pertinents dans le processus de qualification, il arrive souvent que l’objet ou le but principal de la loi soit l’élément clef de la constitutionnalité en ce sens que l’on tente de faire indirectement ce qui est défendu de faire directement. Tel qu’illustré dans «Morgentaler», le gouvernement provincial avait adopté une loi interdisant les cliniques d'avortement sous prétexte qu'elle protégeait les services de soins de santé, alors que dans le fond, il tentait d'interdire l'avortement.</w:t>
      </w:r>
    </w:p>
    <w:p w:rsidR="000C5171" w:rsidRDefault="00FC1E13" w:rsidP="00FC1E13">
      <w:pPr>
        <w:jc w:val="both"/>
        <w:rPr>
          <w:i/>
        </w:rPr>
      </w:pPr>
      <w:r w:rsidRPr="00FC1E13">
        <w:rPr>
          <w:i/>
        </w:rPr>
        <w:t>En l’espèce,</w:t>
      </w:r>
      <w:r w:rsidR="000C5171">
        <w:rPr>
          <w:i/>
        </w:rPr>
        <w:t xml:space="preserve"> le fédéral adopte</w:t>
      </w:r>
      <w:r w:rsidR="00DD2D51">
        <w:rPr>
          <w:i/>
        </w:rPr>
        <w:t>, sous le couvert de l’intérêt et l’urgence nationale,</w:t>
      </w:r>
      <w:r w:rsidR="000C5171">
        <w:rPr>
          <w:i/>
        </w:rPr>
        <w:t xml:space="preserve"> la Loi sur le contrôle des émissions de gaz à effet de serre</w:t>
      </w:r>
      <w:r w:rsidRPr="00FC1E13">
        <w:rPr>
          <w:i/>
        </w:rPr>
        <w:t xml:space="preserve"> sous prétexte de </w:t>
      </w:r>
      <w:r w:rsidR="000C5171">
        <w:rPr>
          <w:i/>
        </w:rPr>
        <w:t>protéger l’environnement, la qualité de l’air au Canada et la santé des Canadiens en établissant un régime efficace de contrôle et de règlementation</w:t>
      </w:r>
      <w:r w:rsidR="00DD2D51">
        <w:rPr>
          <w:i/>
        </w:rPr>
        <w:t xml:space="preserve"> afin d’aider le pays à respecter ses obligations internationales en matière de contrôle des gaz à effet de serre</w:t>
      </w:r>
      <w:r w:rsidRPr="00FC1E13">
        <w:rPr>
          <w:i/>
        </w:rPr>
        <w:t>, alors</w:t>
      </w:r>
      <w:r w:rsidR="000C5171">
        <w:rPr>
          <w:i/>
        </w:rPr>
        <w:t xml:space="preserve"> que dans le fond, la loi vise à </w:t>
      </w:r>
      <w:r w:rsidR="00E70285">
        <w:rPr>
          <w:i/>
        </w:rPr>
        <w:t>contrôler les émissions de gaz à effet de serre par tout véhicule, édi</w:t>
      </w:r>
      <w:r w:rsidR="00217386">
        <w:rPr>
          <w:i/>
        </w:rPr>
        <w:t>fice et usine de manufacture mais</w:t>
      </w:r>
      <w:r w:rsidR="00DD2D51">
        <w:rPr>
          <w:i/>
        </w:rPr>
        <w:t xml:space="preserve"> particulièrement </w:t>
      </w:r>
      <w:r w:rsidR="00E70285">
        <w:rPr>
          <w:i/>
        </w:rPr>
        <w:t xml:space="preserve">à </w:t>
      </w:r>
      <w:r w:rsidR="000C5171">
        <w:rPr>
          <w:i/>
        </w:rPr>
        <w:t>imposer de nouvelles taxes sur la vente de charbon, de mazout et d’essence.</w:t>
      </w:r>
    </w:p>
    <w:p w:rsidR="00FC1E13" w:rsidRPr="00FC1E13" w:rsidRDefault="00FC1E13" w:rsidP="00FC1E13">
      <w:pPr>
        <w:jc w:val="both"/>
        <w:rPr>
          <w:i/>
        </w:rPr>
      </w:pPr>
      <w:r w:rsidRPr="00FC1E13">
        <w:rPr>
          <w:i/>
        </w:rPr>
        <w:t>Ainsi, l’objet véritable visé pa</w:t>
      </w:r>
      <w:r w:rsidR="00E70285">
        <w:rPr>
          <w:i/>
        </w:rPr>
        <w:t>r la loi</w:t>
      </w:r>
      <w:r w:rsidR="00DD2D51">
        <w:rPr>
          <w:i/>
        </w:rPr>
        <w:t xml:space="preserve"> est l’imposition de nouvelles taxes sur des biens de consommation</w:t>
      </w:r>
      <w:r w:rsidRPr="00FC1E13">
        <w:rPr>
          <w:i/>
        </w:rPr>
        <w:t>.</w:t>
      </w:r>
      <w:r w:rsidR="00DD2D51">
        <w:rPr>
          <w:i/>
        </w:rPr>
        <w:t xml:space="preserve"> Or, les taxes à la consommation sont considérées comme une taxation directe et c</w:t>
      </w:r>
      <w:r w:rsidRPr="00FC1E13">
        <w:rPr>
          <w:i/>
        </w:rPr>
        <w:t>ette matière relève de la compétence e</w:t>
      </w:r>
      <w:r w:rsidR="00DD2D51">
        <w:rPr>
          <w:i/>
        </w:rPr>
        <w:t>xclusive du gouvernement provincial en vertu de l’article 92 (2</w:t>
      </w:r>
      <w:r w:rsidRPr="00FC1E13">
        <w:rPr>
          <w:i/>
        </w:rPr>
        <w:t>) de la LC 1867. Force est de constater qu’il y a atteinte au partage des pouvoirs et de ce fait, cela entraîne l</w:t>
      </w:r>
      <w:r w:rsidR="00DD2D51">
        <w:rPr>
          <w:i/>
        </w:rPr>
        <w:t>’invalidité de la loi car elle</w:t>
      </w:r>
      <w:r w:rsidRPr="00FC1E13">
        <w:rPr>
          <w:i/>
        </w:rPr>
        <w:t xml:space="preserve"> est ultra vires vu qu’il outrep</w:t>
      </w:r>
      <w:r w:rsidR="00DD2D51">
        <w:rPr>
          <w:i/>
        </w:rPr>
        <w:t>asse la compétence du fédéral d’édicter une loi</w:t>
      </w:r>
      <w:r w:rsidRPr="00FC1E13">
        <w:rPr>
          <w:i/>
        </w:rPr>
        <w:t xml:space="preserve"> dans ce domaine.</w:t>
      </w:r>
    </w:p>
    <w:p w:rsidR="00FC1E13" w:rsidRDefault="00FC1E13" w:rsidP="00FC1E13">
      <w:pPr>
        <w:jc w:val="both"/>
        <w:rPr>
          <w:i/>
        </w:rPr>
      </w:pPr>
      <w:r w:rsidRPr="00FC1E13">
        <w:rPr>
          <w:i/>
        </w:rPr>
        <w:t>En conséquence de ce qui précède, notre client peut faire valoir pour co</w:t>
      </w:r>
      <w:r w:rsidR="00217386">
        <w:rPr>
          <w:i/>
        </w:rPr>
        <w:t>ntester la validité de la loi</w:t>
      </w:r>
      <w:r w:rsidRPr="00FC1E13">
        <w:rPr>
          <w:i/>
        </w:rPr>
        <w:t xml:space="preserve"> qu’en vertu d</w:t>
      </w:r>
      <w:r w:rsidR="00DD2D51">
        <w:rPr>
          <w:i/>
        </w:rPr>
        <w:t>e son caractère véritable, elle</w:t>
      </w:r>
      <w:r w:rsidRPr="00FC1E13">
        <w:rPr>
          <w:i/>
        </w:rPr>
        <w:t xml:space="preserve"> est invalide et inconstitutionnel</w:t>
      </w:r>
      <w:r w:rsidR="00DD2D51">
        <w:rPr>
          <w:i/>
        </w:rPr>
        <w:t>le</w:t>
      </w:r>
      <w:r w:rsidRPr="00FC1E13">
        <w:rPr>
          <w:i/>
        </w:rPr>
        <w:t>.</w:t>
      </w:r>
    </w:p>
    <w:p w:rsidR="00217386" w:rsidRDefault="00217386" w:rsidP="00FC1E13">
      <w:pPr>
        <w:jc w:val="both"/>
        <w:rPr>
          <w:i/>
        </w:rPr>
      </w:pPr>
    </w:p>
    <w:p w:rsidR="00217386" w:rsidRDefault="00217386" w:rsidP="00217386">
      <w:pPr>
        <w:pStyle w:val="Paragraphedeliste"/>
        <w:numPr>
          <w:ilvl w:val="0"/>
          <w:numId w:val="2"/>
        </w:numPr>
        <w:jc w:val="both"/>
      </w:pPr>
      <w:r>
        <w:t>Quels sont les moyens que pourrait faire valoir le procureur général du Canada pour soutenir la validité de cette loi fédérale ?</w:t>
      </w:r>
    </w:p>
    <w:p w:rsidR="00BC2C00" w:rsidRDefault="00217386" w:rsidP="00217386">
      <w:pPr>
        <w:jc w:val="both"/>
        <w:rPr>
          <w:i/>
        </w:rPr>
      </w:pPr>
      <w:r>
        <w:rPr>
          <w:i/>
        </w:rPr>
        <w:t xml:space="preserve">Pour soutenir la validité de la </w:t>
      </w:r>
      <w:r w:rsidR="00283046">
        <w:rPr>
          <w:i/>
        </w:rPr>
        <w:t xml:space="preserve">loi </w:t>
      </w:r>
      <w:r>
        <w:rPr>
          <w:i/>
        </w:rPr>
        <w:t xml:space="preserve">fédérale, le procureur général du Canada pourrait faire valoir que de par son caractère véritable, la loi est valide car elle </w:t>
      </w:r>
      <w:r w:rsidR="00F05FA0">
        <w:rPr>
          <w:i/>
        </w:rPr>
        <w:t xml:space="preserve">est conséquente avec l’objectif qu’elle poursuit et les effets qu’elle produit ainsi qu’elle </w:t>
      </w:r>
      <w:r>
        <w:rPr>
          <w:i/>
        </w:rPr>
        <w:lastRenderedPageBreak/>
        <w:t>relève de la compétence législative qui l’</w:t>
      </w:r>
      <w:r w:rsidR="00BC2C00">
        <w:rPr>
          <w:i/>
        </w:rPr>
        <w:t>a édictée</w:t>
      </w:r>
      <w:r w:rsidR="00BC2C00" w:rsidRPr="00BC2C00">
        <w:rPr>
          <w:i/>
        </w:rPr>
        <w:t xml:space="preserve">. En effet, lorsque l’on procède à l’analyse du </w:t>
      </w:r>
      <w:r w:rsidR="00BC2C00">
        <w:rPr>
          <w:i/>
        </w:rPr>
        <w:t>caractère véritable de la loi</w:t>
      </w:r>
      <w:r w:rsidR="00BC2C00" w:rsidRPr="00BC2C00">
        <w:rPr>
          <w:i/>
        </w:rPr>
        <w:t>, nous</w:t>
      </w:r>
      <w:r w:rsidR="00BC2C00">
        <w:rPr>
          <w:i/>
        </w:rPr>
        <w:t xml:space="preserve"> constatons que l’objectif qu’elle</w:t>
      </w:r>
      <w:r w:rsidR="00BC2C00" w:rsidRPr="00BC2C00">
        <w:rPr>
          <w:i/>
        </w:rPr>
        <w:t xml:space="preserve"> poursuit est de</w:t>
      </w:r>
      <w:r w:rsidR="00BC2C00">
        <w:rPr>
          <w:i/>
        </w:rPr>
        <w:t xml:space="preserve"> </w:t>
      </w:r>
      <w:r w:rsidR="00BC2C00" w:rsidRPr="00BC2C00">
        <w:rPr>
          <w:i/>
        </w:rPr>
        <w:t xml:space="preserve">s’attaquer à un problème grave d’envergure nationale afin de protéger l’environnement, la qualité de l’air au Canada et la santé des Canadiens et </w:t>
      </w:r>
      <w:r w:rsidR="00BC2C00">
        <w:rPr>
          <w:i/>
        </w:rPr>
        <w:t xml:space="preserve">conséquemment, </w:t>
      </w:r>
      <w:r w:rsidR="00BC2C00" w:rsidRPr="00BC2C00">
        <w:rPr>
          <w:i/>
        </w:rPr>
        <w:t>son effet aura comme incidence d’aider le Canada à faire respecter ses obligations internationales en matière de contrôle des gaz à effet de serre</w:t>
      </w:r>
      <w:r w:rsidR="00BC2C00">
        <w:rPr>
          <w:i/>
        </w:rPr>
        <w:t xml:space="preserve"> qui pourrait provoquer le changement climatique.</w:t>
      </w:r>
    </w:p>
    <w:p w:rsidR="00217386" w:rsidRDefault="00BC2C00" w:rsidP="00217386">
      <w:pPr>
        <w:jc w:val="both"/>
        <w:rPr>
          <w:i/>
        </w:rPr>
      </w:pPr>
      <w:r w:rsidRPr="00BC2C00">
        <w:rPr>
          <w:i/>
        </w:rPr>
        <w:t xml:space="preserve">Ainsi, dans ce contexte, nous pouvons affirmer </w:t>
      </w:r>
      <w:r w:rsidR="00283046">
        <w:rPr>
          <w:i/>
        </w:rPr>
        <w:t>que l’effet juridique est conséquent avec l’objectif que la loi poursuit et le sujet relève de l</w:t>
      </w:r>
      <w:r w:rsidRPr="00BC2C00">
        <w:rPr>
          <w:i/>
        </w:rPr>
        <w:t xml:space="preserve">a compétence </w:t>
      </w:r>
      <w:r w:rsidR="00283046">
        <w:rPr>
          <w:i/>
        </w:rPr>
        <w:t>du fédéral d’adopter cette</w:t>
      </w:r>
      <w:r w:rsidRPr="00BC2C00">
        <w:rPr>
          <w:i/>
        </w:rPr>
        <w:t xml:space="preserve"> </w:t>
      </w:r>
      <w:r w:rsidR="00283046">
        <w:rPr>
          <w:i/>
        </w:rPr>
        <w:t>loi en vertu de l’article 91</w:t>
      </w:r>
      <w:r w:rsidRPr="00BC2C00">
        <w:rPr>
          <w:i/>
        </w:rPr>
        <w:t xml:space="preserve">, en ce qui a trait à </w:t>
      </w:r>
      <w:r w:rsidR="00283046">
        <w:rPr>
          <w:i/>
        </w:rPr>
        <w:t xml:space="preserve">son pouvoir </w:t>
      </w:r>
      <w:r w:rsidRPr="00BC2C00">
        <w:rPr>
          <w:i/>
        </w:rPr>
        <w:t>«</w:t>
      </w:r>
      <w:r w:rsidR="00283046">
        <w:rPr>
          <w:i/>
        </w:rPr>
        <w:t>…de faire des lois pour la paix, l’ordre et le bon gouvernement…»</w:t>
      </w:r>
      <w:r w:rsidR="00070B7C">
        <w:rPr>
          <w:i/>
        </w:rPr>
        <w:t>. En effet, en cas de menace sérieuse à l’État, tel un problème grave, urgent et d’envergure nationale, le fédéral dispose du pouvoir d’adopter des lois pour des raisons de commodité et d’efficacité.</w:t>
      </w:r>
      <w:r w:rsidR="00946E9A">
        <w:rPr>
          <w:i/>
        </w:rPr>
        <w:t xml:space="preserve"> Plus particulièrement, tel qu’illustré dans «Crown </w:t>
      </w:r>
      <w:proofErr w:type="spellStart"/>
      <w:r w:rsidR="00946E9A">
        <w:rPr>
          <w:i/>
        </w:rPr>
        <w:t>Zellerback</w:t>
      </w:r>
      <w:proofErr w:type="spellEnd"/>
      <w:r w:rsidR="00946E9A">
        <w:rPr>
          <w:i/>
        </w:rPr>
        <w:t xml:space="preserve">», </w:t>
      </w:r>
      <w:r w:rsidR="00B6354E">
        <w:rPr>
          <w:i/>
        </w:rPr>
        <w:t xml:space="preserve">la cour a statuée que l’environnement ne pouvait </w:t>
      </w:r>
      <w:r w:rsidR="00455659">
        <w:rPr>
          <w:i/>
        </w:rPr>
        <w:t>pas être une matière suffisamment unique, indivisible, particulière et spécifique pour être de la compétence du provincial. Toutefois, même si c’est un sujet d’actualité, l’environnement peut relever d’une part du provincial et d’autre part du fédéral</w:t>
      </w:r>
      <w:r w:rsidR="0088564E">
        <w:rPr>
          <w:i/>
        </w:rPr>
        <w:t xml:space="preserve"> car elle implique le concours de toutes les législatures</w:t>
      </w:r>
      <w:r w:rsidR="00455659">
        <w:rPr>
          <w:i/>
        </w:rPr>
        <w:t>. Or, vu l’intérêt national de ce sujet pour l’ensemble du peuple canadien, il est du pouvoir du fédéral de légiférer.</w:t>
      </w:r>
    </w:p>
    <w:p w:rsidR="0088564E" w:rsidRDefault="0088564E" w:rsidP="00217386">
      <w:pPr>
        <w:jc w:val="both"/>
        <w:rPr>
          <w:i/>
        </w:rPr>
      </w:pPr>
      <w:r>
        <w:rPr>
          <w:i/>
        </w:rPr>
        <w:t>Par conséquent, nous pouvons conclure que la loi est valide et relève de l’autorité qui l’a édictée.</w:t>
      </w:r>
    </w:p>
    <w:p w:rsidR="007C0EB3" w:rsidRDefault="007C0EB3" w:rsidP="00217386">
      <w:pPr>
        <w:jc w:val="both"/>
        <w:rPr>
          <w:i/>
        </w:rPr>
      </w:pPr>
    </w:p>
    <w:p w:rsidR="0088564E" w:rsidRDefault="0088564E" w:rsidP="0088564E">
      <w:pPr>
        <w:pStyle w:val="Paragraphedeliste"/>
        <w:numPr>
          <w:ilvl w:val="0"/>
          <w:numId w:val="2"/>
        </w:numPr>
        <w:jc w:val="both"/>
      </w:pPr>
      <w:r>
        <w:t>Si la loi fédérale est valide et la loi albertaine également, faut-il se soumettre aux 2 régimes ?</w:t>
      </w:r>
    </w:p>
    <w:p w:rsidR="00640A51" w:rsidRPr="00640A51" w:rsidRDefault="005F61A5" w:rsidP="00640A51">
      <w:pPr>
        <w:jc w:val="both"/>
        <w:rPr>
          <w:i/>
        </w:rPr>
      </w:pPr>
      <w:r w:rsidRPr="005F61A5">
        <w:rPr>
          <w:i/>
        </w:rPr>
        <w:t>Tel qu’illustré dans «</w:t>
      </w:r>
      <w:proofErr w:type="spellStart"/>
      <w:r w:rsidRPr="005F61A5">
        <w:rPr>
          <w:i/>
        </w:rPr>
        <w:t>Mangat</w:t>
      </w:r>
      <w:proofErr w:type="spellEnd"/>
      <w:r w:rsidRPr="005F61A5">
        <w:rPr>
          <w:i/>
        </w:rPr>
        <w:t>»,</w:t>
      </w:r>
      <w:r>
        <w:rPr>
          <w:i/>
        </w:rPr>
        <w:t xml:space="preserve"> i</w:t>
      </w:r>
      <w:r w:rsidR="00640A51" w:rsidRPr="00640A51">
        <w:rPr>
          <w:i/>
        </w:rPr>
        <w:t>l peut être possible qu’il y ait conflit sur le plan opérationnel alors que les 2 lois sont valides sur le plan constitutionnel lorsqu’elles interfèrent l’une avec l’autre. L'opérabilité d'une loi peut être contestée s’il est démontré que les lois sont fonctionnellement inopérantes, en ce sens qu’en respectant l’une, on viole l’autre, il y a conflit. Ainsi, nous dirons que les 2 lois sont incompatibles. Or, en l’espèce, il n’y a pas de conflit sur le plan opérationnel car l’une n’empêche pas l’application de l’autre et vice versa.</w:t>
      </w:r>
    </w:p>
    <w:p w:rsidR="00640A51" w:rsidRPr="00640A51" w:rsidRDefault="00640A51" w:rsidP="00640A51">
      <w:pPr>
        <w:jc w:val="both"/>
        <w:rPr>
          <w:i/>
        </w:rPr>
      </w:pPr>
      <w:r w:rsidRPr="00640A51">
        <w:rPr>
          <w:i/>
        </w:rPr>
        <w:t xml:space="preserve">Par conséquent, tel qu’illustré dans «RB&amp;H», en l’absence de conflit entre les 2 lois valides, en ce sens que l’une n’interfère pas avec l’autre ni entrave la réalisation de l’objet du texte législatif, en vertu de la doctrine du double aspect, on peut se soumettre aux 2 régimes car un sujet qui sous un aspect et pour une certaine fin relève du provincial puisse sous un autre aspect et pour une autre fin relever du fédéral à l’égard de la même matière n’empêche pas la poursuite du même objectif législatif. </w:t>
      </w:r>
    </w:p>
    <w:p w:rsidR="0088564E" w:rsidRDefault="00640A51" w:rsidP="00640A51">
      <w:pPr>
        <w:jc w:val="both"/>
        <w:rPr>
          <w:i/>
        </w:rPr>
      </w:pPr>
      <w:r w:rsidRPr="00640A51">
        <w:rPr>
          <w:i/>
        </w:rPr>
        <w:t>De par le caractère véritable de la loi […], le but visé par le Parlement sera atteint, peu importe la loi sur lequel se fonde le recours; l’application de la loi provinciale n’a pas pour effet d’écarter l’intention du Parlement. Toutefois, le fait que la matière comporte un double aspect milite en faveur de la prépondérance du fédéral dans le but de favoriser un équilibre dans le fédéralisme unitaire.</w:t>
      </w:r>
    </w:p>
    <w:p w:rsidR="00640A51" w:rsidRDefault="00640A51" w:rsidP="00640A51">
      <w:pPr>
        <w:jc w:val="both"/>
        <w:rPr>
          <w:i/>
        </w:rPr>
      </w:pPr>
      <w:r w:rsidRPr="00640A51">
        <w:rPr>
          <w:i/>
        </w:rPr>
        <w:t>Ainsi, en vertu du principe d’interprétation conciliatrice, tel qu’illustré dans l’affaire «Citizen Co c. Parons», la cour adopte une interprétation conciliatrice afin de respect</w:t>
      </w:r>
      <w:r>
        <w:rPr>
          <w:i/>
        </w:rPr>
        <w:t xml:space="preserve">er le principe du fédéralisme. </w:t>
      </w:r>
      <w:r w:rsidR="005F61A5" w:rsidRPr="005F61A5">
        <w:rPr>
          <w:i/>
        </w:rPr>
        <w:t>En effet, il s’agit d’une méthode d’interprétation systématique et logique par laquelle la constitution doit s’interpréter comme un tout cohérent, un système où «chaque élément contribue au sens de l’ensemble et l’ensemble au sens de chaque élément». Ainsi, dans un régime fédéral, il est certain que dans la poursuite d’objectifs réguliers, la mesure législative de chaque palier de gouvernement aura parfois des répercussions sur le domaine de compétence d’un autre palier du gouvernement. Il faut s’attendre à ce qu’il y ait chevauchement de mesures législatives et il faut s’y adapter dans un état fédéral.</w:t>
      </w:r>
    </w:p>
    <w:p w:rsidR="00640A51" w:rsidRPr="0088564E" w:rsidRDefault="00640A51" w:rsidP="00640A51">
      <w:pPr>
        <w:jc w:val="both"/>
        <w:rPr>
          <w:i/>
        </w:rPr>
      </w:pPr>
      <w:r w:rsidRPr="00640A51">
        <w:rPr>
          <w:i/>
        </w:rPr>
        <w:t xml:space="preserve">Tel que l’exprimait le juge Corry dans «Multiple </w:t>
      </w:r>
      <w:proofErr w:type="spellStart"/>
      <w:r w:rsidRPr="00640A51">
        <w:rPr>
          <w:i/>
        </w:rPr>
        <w:t>access</w:t>
      </w:r>
      <w:proofErr w:type="spellEnd"/>
      <w:r w:rsidRPr="00640A51">
        <w:rPr>
          <w:i/>
        </w:rPr>
        <w:t xml:space="preserve">» : «Notre pays s’éloigne de plus en plus du vieux fédéralisme classique des compartiments étanches et il semble que nous nous dirigeons vers un fédéralisme coopératif car la multiplication des domaines de compétence concurrente est l’un des aspects de cette tendance».  </w:t>
      </w:r>
    </w:p>
    <w:sectPr w:rsidR="00640A51" w:rsidRPr="0088564E" w:rsidSect="0071147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031969"/>
    <w:multiLevelType w:val="hybridMultilevel"/>
    <w:tmpl w:val="80ACB5E6"/>
    <w:lvl w:ilvl="0" w:tplc="0C0C000B">
      <w:start w:val="1"/>
      <w:numFmt w:val="bullet"/>
      <w:lvlText w:val=""/>
      <w:lvlJc w:val="left"/>
      <w:pPr>
        <w:ind w:left="720" w:hanging="360"/>
      </w:pPr>
      <w:rPr>
        <w:rFonts w:ascii="Wingdings" w:hAnsi="Wingdings" w:hint="default"/>
      </w:rPr>
    </w:lvl>
    <w:lvl w:ilvl="1" w:tplc="7456AB7C">
      <w:numFmt w:val="bullet"/>
      <w:lvlText w:val="•"/>
      <w:lvlJc w:val="left"/>
      <w:pPr>
        <w:ind w:left="1785" w:hanging="705"/>
      </w:pPr>
      <w:rPr>
        <w:rFonts w:ascii="Calibri" w:eastAsiaTheme="minorHAnsi" w:hAnsi="Calibri" w:cstheme="minorBidi"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55AF6307"/>
    <w:multiLevelType w:val="hybridMultilevel"/>
    <w:tmpl w:val="B6E4DF5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118"/>
    <w:rsid w:val="000531E6"/>
    <w:rsid w:val="00055AD5"/>
    <w:rsid w:val="00065BD2"/>
    <w:rsid w:val="00070B7C"/>
    <w:rsid w:val="0007464E"/>
    <w:rsid w:val="0007648F"/>
    <w:rsid w:val="000A1F90"/>
    <w:rsid w:val="000A7797"/>
    <w:rsid w:val="000C5171"/>
    <w:rsid w:val="000F2F37"/>
    <w:rsid w:val="001C2453"/>
    <w:rsid w:val="001D06DB"/>
    <w:rsid w:val="00200A49"/>
    <w:rsid w:val="00206E9E"/>
    <w:rsid w:val="00217386"/>
    <w:rsid w:val="00283046"/>
    <w:rsid w:val="002948C8"/>
    <w:rsid w:val="00332B48"/>
    <w:rsid w:val="00356414"/>
    <w:rsid w:val="003A42D3"/>
    <w:rsid w:val="00411689"/>
    <w:rsid w:val="00430A0D"/>
    <w:rsid w:val="00455659"/>
    <w:rsid w:val="00525980"/>
    <w:rsid w:val="00534843"/>
    <w:rsid w:val="005A5CD2"/>
    <w:rsid w:val="005B10B4"/>
    <w:rsid w:val="005C0BC0"/>
    <w:rsid w:val="005C3CA0"/>
    <w:rsid w:val="005F61A5"/>
    <w:rsid w:val="006224B2"/>
    <w:rsid w:val="00623D18"/>
    <w:rsid w:val="00640A51"/>
    <w:rsid w:val="00675CC6"/>
    <w:rsid w:val="006C22E7"/>
    <w:rsid w:val="006C3062"/>
    <w:rsid w:val="0071147C"/>
    <w:rsid w:val="00746EBE"/>
    <w:rsid w:val="007500D5"/>
    <w:rsid w:val="0079551B"/>
    <w:rsid w:val="007C0EB3"/>
    <w:rsid w:val="007E1C55"/>
    <w:rsid w:val="007F443F"/>
    <w:rsid w:val="0088564E"/>
    <w:rsid w:val="008D56E4"/>
    <w:rsid w:val="008E6309"/>
    <w:rsid w:val="00936CB4"/>
    <w:rsid w:val="00941754"/>
    <w:rsid w:val="00945409"/>
    <w:rsid w:val="00946E9A"/>
    <w:rsid w:val="009A116F"/>
    <w:rsid w:val="009B6D59"/>
    <w:rsid w:val="009E4B69"/>
    <w:rsid w:val="00A40E15"/>
    <w:rsid w:val="00A80173"/>
    <w:rsid w:val="00AE4118"/>
    <w:rsid w:val="00AF1F3D"/>
    <w:rsid w:val="00B47817"/>
    <w:rsid w:val="00B6354E"/>
    <w:rsid w:val="00B9145B"/>
    <w:rsid w:val="00BB6A56"/>
    <w:rsid w:val="00BC2C00"/>
    <w:rsid w:val="00BC780D"/>
    <w:rsid w:val="00C23EEB"/>
    <w:rsid w:val="00CE6D99"/>
    <w:rsid w:val="00D460BF"/>
    <w:rsid w:val="00DD2D51"/>
    <w:rsid w:val="00E2488B"/>
    <w:rsid w:val="00E3669D"/>
    <w:rsid w:val="00E513BA"/>
    <w:rsid w:val="00E70285"/>
    <w:rsid w:val="00F05FA0"/>
    <w:rsid w:val="00F13E10"/>
    <w:rsid w:val="00F2003E"/>
    <w:rsid w:val="00FC1E13"/>
    <w:rsid w:val="00FD310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6CEA45-34E1-4495-B2DD-9D4AA6F1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00A49"/>
    <w:pPr>
      <w:ind w:left="720"/>
      <w:contextualSpacing/>
    </w:pPr>
  </w:style>
  <w:style w:type="paragraph" w:styleId="Textedebulles">
    <w:name w:val="Balloon Text"/>
    <w:basedOn w:val="Normal"/>
    <w:link w:val="TextedebullesCar"/>
    <w:uiPriority w:val="99"/>
    <w:semiHidden/>
    <w:unhideWhenUsed/>
    <w:rsid w:val="00F2003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200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912</TotalTime>
  <Pages>7</Pages>
  <Words>4191</Words>
  <Characters>23055</Characters>
  <Application>Microsoft Office Word</Application>
  <DocSecurity>0</DocSecurity>
  <Lines>192</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Leblanc</dc:creator>
  <cp:keywords/>
  <dc:description/>
  <cp:lastModifiedBy>Stefan Leblanc</cp:lastModifiedBy>
  <cp:revision>11</cp:revision>
  <cp:lastPrinted>2015-04-22T20:48:00Z</cp:lastPrinted>
  <dcterms:created xsi:type="dcterms:W3CDTF">2015-04-12T02:43:00Z</dcterms:created>
  <dcterms:modified xsi:type="dcterms:W3CDTF">2015-04-23T04:32:00Z</dcterms:modified>
</cp:coreProperties>
</file>