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4B21DA" w14:textId="3B82DB5E" w:rsidR="00AD703E" w:rsidRPr="0025746D" w:rsidRDefault="0003325B" w:rsidP="008B58FF">
      <w:pPr>
        <w:pStyle w:val="Heading2"/>
        <w:rPr>
          <w:rFonts w:ascii="Verdana" w:eastAsia="MS Gothic" w:hAnsi="Verdana"/>
        </w:rPr>
      </w:pPr>
      <w:r>
        <w:rPr>
          <w:noProof/>
        </w:rPr>
        <mc:AlternateContent>
          <mc:Choice Requires="wps">
            <w:drawing>
              <wp:anchor distT="0" distB="0" distL="114300" distR="114300" simplePos="0" relativeHeight="251659264" behindDoc="0" locked="0" layoutInCell="1" allowOverlap="1" wp14:anchorId="155FF35B" wp14:editId="353B91A5">
                <wp:simplePos x="0" y="0"/>
                <wp:positionH relativeFrom="column">
                  <wp:posOffset>-914400</wp:posOffset>
                </wp:positionH>
                <wp:positionV relativeFrom="paragraph">
                  <wp:posOffset>-685800</wp:posOffset>
                </wp:positionV>
                <wp:extent cx="2514600" cy="5715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514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5FF132" w14:textId="5FA264B6" w:rsidR="00907F4F" w:rsidRDefault="00907F4F">
                            <w:r>
                              <w:t>Markos Phillips</w:t>
                            </w:r>
                          </w:p>
                          <w:p w14:paraId="1940A263" w14:textId="73FE9585" w:rsidR="00907F4F" w:rsidRDefault="00907F4F">
                            <w:r>
                              <w:t>Student#5312958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71.95pt;margin-top:-53.95pt;width:198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" filled="f" stroked="f">
                <v:textbox>
                  <w:txbxContent>
                    <w:p w14:paraId="3B5FF132" w14:textId="5FA264B6" w:rsidR="00907F4F" w:rsidRDefault="00907F4F">
                      <w:r>
                        <w:t>Markos Phillips</w:t>
                      </w:r>
                    </w:p>
                    <w:p w14:paraId="1940A263" w14:textId="73FE9585" w:rsidR="00907F4F" w:rsidRDefault="00907F4F">
                      <w:r>
                        <w:t>Student#5312958</w:t>
                      </w:r>
                    </w:p>
                  </w:txbxContent>
                </v:textbox>
                <w10:wrap type="square"/>
              </v:shape>
            </w:pict>
          </mc:Fallback>
        </mc:AlternateContent>
      </w:r>
      <w:r w:rsidR="008B58FF">
        <w:t xml:space="preserve">Book Review: </w:t>
      </w:r>
      <w:r w:rsidR="00AD703E">
        <w:t xml:space="preserve">Democratizing the Constitution, by Peter Aucoin, Mark Jarvis, Lori </w:t>
      </w:r>
      <w:proofErr w:type="spellStart"/>
      <w:r w:rsidR="00AD703E">
        <w:t>Turnball</w:t>
      </w:r>
      <w:proofErr w:type="spellEnd"/>
      <w:r w:rsidR="00AD703E">
        <w:t xml:space="preserve">, Edmond Montgomery Publications Limited, 2011, 253pp, $32.00 (soft cover), ISBN </w:t>
      </w:r>
      <w:r w:rsidR="00AD703E" w:rsidRPr="00AD703E">
        <w:rPr>
          <w:rFonts w:ascii="Cambria" w:eastAsia="MS Gothic" w:hAnsi="Cambria"/>
        </w:rPr>
        <w:t>9781552394632</w:t>
      </w:r>
    </w:p>
    <w:p w14:paraId="77A306DC" w14:textId="77777777" w:rsidR="00AD703E" w:rsidRDefault="00AD703E" w:rsidP="005326D0">
      <w:pPr>
        <w:spacing w:line="480" w:lineRule="auto"/>
        <w:ind w:firstLine="720"/>
      </w:pPr>
    </w:p>
    <w:p w14:paraId="2E43D2DB" w14:textId="59AE375C" w:rsidR="00B97E8D" w:rsidRDefault="001226A6" w:rsidP="008B58FF">
      <w:pPr>
        <w:spacing w:line="480" w:lineRule="auto"/>
        <w:ind w:firstLine="720"/>
      </w:pPr>
      <w:r>
        <w:t xml:space="preserve">The notion </w:t>
      </w:r>
      <w:r w:rsidR="00CE2C99">
        <w:t xml:space="preserve">of </w:t>
      </w:r>
      <w:r>
        <w:t>“</w:t>
      </w:r>
      <w:proofErr w:type="spellStart"/>
      <w:r>
        <w:t>presdentializing</w:t>
      </w:r>
      <w:proofErr w:type="spellEnd"/>
      <w:r>
        <w:t xml:space="preserve">” the parliamentary </w:t>
      </w:r>
      <w:r w:rsidR="004A2DCC">
        <w:t>system resonates with</w:t>
      </w:r>
      <w:r w:rsidR="0022069B">
        <w:t xml:space="preserve"> the Canadian pu</w:t>
      </w:r>
      <w:r w:rsidR="00CE2C99">
        <w:t xml:space="preserve">blic. </w:t>
      </w:r>
      <w:r w:rsidR="00CE2C99" w:rsidRPr="00CE2C99">
        <w:rPr>
          <w:i/>
        </w:rPr>
        <w:t>Democratizing the Constitution</w:t>
      </w:r>
      <w:r w:rsidR="00CE2C99">
        <w:t xml:space="preserve"> </w:t>
      </w:r>
      <w:r w:rsidR="0054100F">
        <w:t xml:space="preserve">addresses the power imbalance between the </w:t>
      </w:r>
      <w:r w:rsidR="0022069B">
        <w:t>Prime Minister</w:t>
      </w:r>
      <w:r w:rsidR="0054100F">
        <w:t xml:space="preserve"> and </w:t>
      </w:r>
      <w:r w:rsidR="00CE2C99">
        <w:t>Ottawa’s elected Parliament</w:t>
      </w:r>
      <w:r w:rsidR="0054100F">
        <w:t xml:space="preserve">. </w:t>
      </w:r>
      <w:r w:rsidR="00CB5658">
        <w:t>Its</w:t>
      </w:r>
      <w:r w:rsidR="0054100F">
        <w:t xml:space="preserve"> central argument begs to ascertain how the unrestraint and abuse of Prime Ministerial power in the Canadian political system undermines</w:t>
      </w:r>
      <w:r w:rsidR="00CE2C99">
        <w:t xml:space="preserve"> the institution of</w:t>
      </w:r>
      <w:r w:rsidR="0054100F">
        <w:t xml:space="preserve"> parliamentary democracy. Aucoin and co. claim that </w:t>
      </w:r>
      <w:r w:rsidR="00CB5658">
        <w:t>this is due to the erosion of the constitutional conventions meant to guide the practice of responsible government.</w:t>
      </w:r>
      <w:r w:rsidR="00E8290E">
        <w:t xml:space="preserve"> Power abuse is claimed to occur in two dimensions. </w:t>
      </w:r>
      <w:r w:rsidR="0022069B">
        <w:t>First is the</w:t>
      </w:r>
      <w:r w:rsidR="00E8290E">
        <w:t xml:space="preserve"> constitutional dimension </w:t>
      </w:r>
      <w:r w:rsidR="0022069B">
        <w:t xml:space="preserve">that </w:t>
      </w:r>
      <w:r w:rsidR="00E8290E">
        <w:t xml:space="preserve">enables the PM to control the governor general powers </w:t>
      </w:r>
      <w:r w:rsidR="008305CE">
        <w:t xml:space="preserve">of </w:t>
      </w:r>
      <w:r w:rsidR="00E8290E">
        <w:t>summon</w:t>
      </w:r>
      <w:r w:rsidR="008305CE">
        <w:t>ing, proroguing</w:t>
      </w:r>
      <w:r w:rsidR="00E8290E">
        <w:t xml:space="preserve"> and</w:t>
      </w:r>
      <w:r w:rsidR="0022069B">
        <w:t xml:space="preserve"> dissolv</w:t>
      </w:r>
      <w:r w:rsidR="008305CE">
        <w:t xml:space="preserve">ing Parliament. Secondly, </w:t>
      </w:r>
      <w:r w:rsidR="0022069B">
        <w:t>the</w:t>
      </w:r>
      <w:r w:rsidR="00E8290E">
        <w:t xml:space="preserve"> parliamentary governance</w:t>
      </w:r>
      <w:r w:rsidR="008305CE">
        <w:t xml:space="preserve"> dimension identifies</w:t>
      </w:r>
      <w:r>
        <w:t xml:space="preserve"> the</w:t>
      </w:r>
      <w:r w:rsidR="008305CE">
        <w:t xml:space="preserve"> problems with the</w:t>
      </w:r>
      <w:r>
        <w:t xml:space="preserve"> prime minister</w:t>
      </w:r>
      <w:r w:rsidR="00F70C30">
        <w:t xml:space="preserve"> </w:t>
      </w:r>
      <w:r w:rsidR="008305CE">
        <w:t>disproportionate amount of power</w:t>
      </w:r>
      <w:r w:rsidR="00F70C30">
        <w:t xml:space="preserve"> in the day-to-day operations of parliament.</w:t>
      </w:r>
      <w:r w:rsidR="00FF3963">
        <w:t xml:space="preserve"> Through this book</w:t>
      </w:r>
      <w:r w:rsidR="008305CE">
        <w:t>,</w:t>
      </w:r>
      <w:r w:rsidR="00FF3963">
        <w:t xml:space="preserve"> Aucoin &amp; Co. “seek to establish firm, clear rules for the practices of governing confidence and the summoning, prorogation, and dissolution of Parliament…to advance proposals that would reduce the power of the prime minister and government to dominate parliamentary structures and processes merely to s</w:t>
      </w:r>
      <w:r w:rsidR="00992D64">
        <w:t>erve their partisan interests”(Aucoin 2011:</w:t>
      </w:r>
      <w:r w:rsidR="00FF3963">
        <w:t xml:space="preserve">20). </w:t>
      </w:r>
    </w:p>
    <w:p w14:paraId="4DE55E02" w14:textId="26267613" w:rsidR="00450794" w:rsidRDefault="008305CE" w:rsidP="008B58FF">
      <w:pPr>
        <w:spacing w:line="480" w:lineRule="auto"/>
        <w:ind w:firstLine="720"/>
      </w:pPr>
      <w:r>
        <w:t>Broadly speaking, there exists a multi-faceted power struggle w</w:t>
      </w:r>
      <w:r w:rsidR="00980911">
        <w:t>ithi</w:t>
      </w:r>
      <w:r>
        <w:t>n the Canadian political system</w:t>
      </w:r>
      <w:r w:rsidR="000B2CF9">
        <w:t xml:space="preserve">. This exists not only </w:t>
      </w:r>
      <w:r w:rsidR="004A2DCC">
        <w:t>within</w:t>
      </w:r>
      <w:r w:rsidR="000B2CF9">
        <w:t xml:space="preserve"> the federal-provincial separation of powers </w:t>
      </w:r>
      <w:proofErr w:type="gramStart"/>
      <w:r w:rsidR="000B2CF9">
        <w:t>but</w:t>
      </w:r>
      <w:proofErr w:type="gramEnd"/>
      <w:r w:rsidR="000B2CF9">
        <w:t xml:space="preserve"> within the federal government itself. </w:t>
      </w:r>
      <w:r w:rsidR="004B2A87">
        <w:t xml:space="preserve">Democratizing the Constitution, places itself in opposition to a system where power is centralized in </w:t>
      </w:r>
      <w:r w:rsidR="004B2A87">
        <w:lastRenderedPageBreak/>
        <w:t>the hands of the prime minister</w:t>
      </w:r>
      <w:r>
        <w:t xml:space="preserve"> meanwhile the Parliament is unequipped with tools to exercise its own power</w:t>
      </w:r>
      <w:r w:rsidR="004B2A87">
        <w:t xml:space="preserve">. </w:t>
      </w:r>
      <w:r w:rsidR="00ED162E">
        <w:t xml:space="preserve">More contextually, Aucoin lays forth a competing argument for increasing Parliamentary power. </w:t>
      </w:r>
      <w:r>
        <w:t>The book</w:t>
      </w:r>
      <w:r w:rsidR="004B2A87">
        <w:t xml:space="preserve"> speaks to dissipating </w:t>
      </w:r>
      <w:r w:rsidR="00ED162E">
        <w:t>some of the PM’s</w:t>
      </w:r>
      <w:r w:rsidR="004B2A87">
        <w:t xml:space="preserve"> power into the hands of elected parliamentarians</w:t>
      </w:r>
      <w:r>
        <w:t>,</w:t>
      </w:r>
      <w:r w:rsidR="004B2A87">
        <w:t xml:space="preserve"> seeking to arm both sides of the struggle with the necessary tools to</w:t>
      </w:r>
      <w:r w:rsidR="00ED162E">
        <w:t xml:space="preserve"> create a balanced system</w:t>
      </w:r>
      <w:r w:rsidR="004B2A87">
        <w:t>.</w:t>
      </w:r>
      <w:r w:rsidR="00ED162E">
        <w:t xml:space="preserve">  </w:t>
      </w:r>
    </w:p>
    <w:p w14:paraId="6BA90302" w14:textId="3CF2EF98" w:rsidR="00450794" w:rsidRPr="00450794" w:rsidRDefault="00450794" w:rsidP="008B58FF">
      <w:pPr>
        <w:pStyle w:val="Heading2"/>
      </w:pPr>
      <w:r w:rsidRPr="00450794">
        <w:t>The Problem with Social Comparison</w:t>
      </w:r>
    </w:p>
    <w:p w14:paraId="5D86D52C" w14:textId="1DC8FE48" w:rsidR="007B21DC" w:rsidRDefault="00450794" w:rsidP="005326D0">
      <w:pPr>
        <w:spacing w:line="480" w:lineRule="auto"/>
        <w:ind w:firstLine="720"/>
      </w:pPr>
      <w:r>
        <w:t>Aucoin’s</w:t>
      </w:r>
      <w:r w:rsidR="004B2A87">
        <w:t xml:space="preserve"> book focuses greatly on institutional comparison with Australia, Great Brittan and New Zealand. The latter is suggested to be the beacon of democracy with neatly divided powers and defined protocols in place of constitutional conventions</w:t>
      </w:r>
      <w:r w:rsidR="00992D64">
        <w:t xml:space="preserve"> (Aucoin 2011:</w:t>
      </w:r>
      <w:r w:rsidR="00ED162E">
        <w:t>58)</w:t>
      </w:r>
      <w:r w:rsidR="004B2A87">
        <w:t xml:space="preserve">. </w:t>
      </w:r>
      <w:r w:rsidR="00ED162E">
        <w:t xml:space="preserve">Drawing from successes in these countries, the author proposes reforms such as </w:t>
      </w:r>
      <w:r w:rsidR="007B21DC">
        <w:t>a 2/3 consensus in the House of Commons for prorogation. I</w:t>
      </w:r>
      <w:r w:rsidR="004B2A87">
        <w:t xml:space="preserve">t can be observed </w:t>
      </w:r>
      <w:r w:rsidR="007B21DC">
        <w:t xml:space="preserve">how </w:t>
      </w:r>
      <w:r w:rsidR="004B2A87">
        <w:t>idealistic the author’s central argument seems to be</w:t>
      </w:r>
      <w:r w:rsidR="007B21DC">
        <w:t xml:space="preserve"> as he </w:t>
      </w:r>
      <w:r w:rsidR="004B2A87">
        <w:t xml:space="preserve">assumes that legislation can advance democracy. </w:t>
      </w:r>
      <w:r w:rsidR="008E4C6F">
        <w:t>‘</w:t>
      </w:r>
      <w:r w:rsidR="004B2A87">
        <w:t xml:space="preserve">If Canada </w:t>
      </w:r>
      <w:r w:rsidR="00D9089C">
        <w:t>would</w:t>
      </w:r>
      <w:r w:rsidR="004B2A87">
        <w:t xml:space="preserve"> implement similar rules</w:t>
      </w:r>
      <w:r w:rsidR="00ED162E">
        <w:t xml:space="preserve"> and protocols that have been successful in other countries</w:t>
      </w:r>
      <w:r w:rsidR="004B2A87">
        <w:t xml:space="preserve">, the Canadian </w:t>
      </w:r>
      <w:r w:rsidR="00D9089C">
        <w:t>system would be more democratic</w:t>
      </w:r>
      <w:r w:rsidR="008E4C6F">
        <w:t>’</w:t>
      </w:r>
      <w:r w:rsidR="00D9089C">
        <w:t xml:space="preserve">. This logic is narrow and problematic. It does not consider the deeper reasoning for why the Canadian system has evolved the way it </w:t>
      </w:r>
      <w:r w:rsidR="007B21DC">
        <w:t>has</w:t>
      </w:r>
      <w:r w:rsidR="00D9089C">
        <w:t xml:space="preserve">. It must be recognized </w:t>
      </w:r>
      <w:r w:rsidR="00416EB8">
        <w:t>primarily</w:t>
      </w:r>
      <w:r w:rsidR="00D9089C">
        <w:t xml:space="preserve"> that Canada and New Zealand have </w:t>
      </w:r>
      <w:r w:rsidR="00416EB8">
        <w:t>contrastingly different demographics</w:t>
      </w:r>
      <w:r w:rsidR="00D9089C">
        <w:t xml:space="preserve"> as well as unique political evolution. Whereas citizens in new Zealand may perhaps be more interested in </w:t>
      </w:r>
      <w:r w:rsidR="00416EB8">
        <w:t>exercising</w:t>
      </w:r>
      <w:r w:rsidR="00D9089C">
        <w:t xml:space="preserve"> their political will through active engagement, Canadians may prefer entrusting a</w:t>
      </w:r>
      <w:r w:rsidR="007B21DC">
        <w:t>n</w:t>
      </w:r>
      <w:r w:rsidR="00D9089C">
        <w:t xml:space="preserve"> efficient and expedient, confident </w:t>
      </w:r>
      <w:r w:rsidR="007B21DC">
        <w:t>centralized government</w:t>
      </w:r>
      <w:r w:rsidR="00D9089C">
        <w:t xml:space="preserve">. </w:t>
      </w:r>
      <w:r w:rsidR="007B21DC">
        <w:t xml:space="preserve">If </w:t>
      </w:r>
      <w:r w:rsidR="00743CE7">
        <w:t>Canadians</w:t>
      </w:r>
      <w:r w:rsidR="007B21DC">
        <w:t xml:space="preserve"> do prefer a more centralized government, then the amount of power in the hands of the Prime Minister is justified and acceptable. If it this was not the case, perhaps executive actions such as prorogation would have been phased out over the years through voter preferences.</w:t>
      </w:r>
    </w:p>
    <w:p w14:paraId="73D0C8FF" w14:textId="77777777" w:rsidR="007B21DC" w:rsidRDefault="00D9089C" w:rsidP="005326D0">
      <w:pPr>
        <w:spacing w:line="480" w:lineRule="auto"/>
        <w:ind w:firstLine="720"/>
      </w:pPr>
      <w:r>
        <w:t xml:space="preserve">Another </w:t>
      </w:r>
      <w:r w:rsidR="00416EB8">
        <w:t>explanation</w:t>
      </w:r>
      <w:r>
        <w:t xml:space="preserve"> may </w:t>
      </w:r>
      <w:r w:rsidR="00416EB8">
        <w:t>suggest</w:t>
      </w:r>
      <w:r>
        <w:t xml:space="preserve"> </w:t>
      </w:r>
      <w:r w:rsidR="00416EB8">
        <w:t xml:space="preserve">that the Canadian political system is less conducive to effective change with a weaker prime minister given the ethnically diverse </w:t>
      </w:r>
      <w:r w:rsidR="007B21DC">
        <w:t xml:space="preserve">composition of </w:t>
      </w:r>
      <w:r w:rsidR="00416EB8">
        <w:t xml:space="preserve">society. Whereas in New Zealand, </w:t>
      </w:r>
      <w:r w:rsidR="007B21DC">
        <w:t>an ethnically homogenous society</w:t>
      </w:r>
      <w:r w:rsidR="00416EB8">
        <w:t xml:space="preserve"> may not need a powerful prime minister to push forward legis</w:t>
      </w:r>
      <w:r w:rsidR="007B21DC">
        <w:t>lation</w:t>
      </w:r>
      <w:proofErr w:type="gramStart"/>
      <w:r w:rsidR="007B21DC">
        <w:t>;</w:t>
      </w:r>
      <w:proofErr w:type="gramEnd"/>
      <w:r w:rsidR="007B21DC">
        <w:t xml:space="preserve"> Canada would be faced with so many converging views that legislation would rarely make it to the rubber stamp.</w:t>
      </w:r>
      <w:r w:rsidR="00416EB8">
        <w:t xml:space="preserve"> </w:t>
      </w:r>
    </w:p>
    <w:p w14:paraId="726CDF1B" w14:textId="2C8C70F9" w:rsidR="008E4C6F" w:rsidRDefault="00416EB8" w:rsidP="008B58FF">
      <w:pPr>
        <w:spacing w:line="480" w:lineRule="auto"/>
        <w:ind w:firstLine="720"/>
      </w:pPr>
      <w:r>
        <w:t>Aucoin’s thorough examination relies heavily on institutional comparison yet he pushes aside the underlying</w:t>
      </w:r>
      <w:r w:rsidR="00B12938">
        <w:t xml:space="preserve"> values</w:t>
      </w:r>
      <w:r>
        <w:t xml:space="preserve"> of the Canadian public and the possibility of how that may be reflected within the system today. Mere </w:t>
      </w:r>
      <w:r w:rsidR="00B12938">
        <w:t>legislative</w:t>
      </w:r>
      <w:r>
        <w:t xml:space="preserve"> correction</w:t>
      </w:r>
      <w:r w:rsidR="00B12938">
        <w:t xml:space="preserve"> cannot change the policy environment in Canada when </w:t>
      </w:r>
      <w:r w:rsidR="007B21DC">
        <w:t>we begin to look</w:t>
      </w:r>
      <w:r w:rsidR="00B12938">
        <w:t xml:space="preserve"> at the system</w:t>
      </w:r>
      <w:r w:rsidR="007B21DC">
        <w:t xml:space="preserve"> from a bottom-up perspective.</w:t>
      </w:r>
    </w:p>
    <w:p w14:paraId="022B21A5" w14:textId="2DB7A828" w:rsidR="00450794" w:rsidRDefault="00450794" w:rsidP="008B58FF">
      <w:pPr>
        <w:pStyle w:val="Heading2"/>
      </w:pPr>
      <w:r w:rsidRPr="00450794">
        <w:t>Partisan Harms of Prorogation</w:t>
      </w:r>
    </w:p>
    <w:p w14:paraId="10265C2B" w14:textId="4435A957" w:rsidR="0094356E" w:rsidRDefault="004C1A50" w:rsidP="008B58FF">
      <w:pPr>
        <w:spacing w:line="480" w:lineRule="auto"/>
        <w:ind w:firstLine="720"/>
      </w:pPr>
      <w:r>
        <w:t>Aucoin neglects some fundamental reason in his book regarding the use</w:t>
      </w:r>
      <w:r w:rsidR="0063377B">
        <w:t xml:space="preserve"> of</w:t>
      </w:r>
      <w:r>
        <w:t xml:space="preserve"> Prime Ministerial Power. He assimilates the potential for power abuse with the intention of power abuse. Using the most recent case of Harper’s </w:t>
      </w:r>
      <w:r w:rsidR="00ED7D32">
        <w:t>prorogation</w:t>
      </w:r>
      <w:r>
        <w:t xml:space="preserve"> of the House of Commons, </w:t>
      </w:r>
      <w:r w:rsidR="002202A8">
        <w:t>Aucoin</w:t>
      </w:r>
      <w:r>
        <w:t xml:space="preserve"> explains that Harper’s intention was to avoid opposition scrutiny </w:t>
      </w:r>
      <w:r w:rsidR="002202A8">
        <w:t xml:space="preserve">and </w:t>
      </w:r>
      <w:r w:rsidR="00B20CEB">
        <w:t>criticism (</w:t>
      </w:r>
      <w:r w:rsidR="00ED7D32">
        <w:t>regarding treatment</w:t>
      </w:r>
      <w:r>
        <w:t xml:space="preserve"> of the Afghan </w:t>
      </w:r>
      <w:r w:rsidR="00ED7D32">
        <w:t xml:space="preserve">detainees). </w:t>
      </w:r>
      <w:r w:rsidR="00B20CEB">
        <w:t>M</w:t>
      </w:r>
      <w:r w:rsidR="00ED7D32">
        <w:t>ore broadly, this speaks to a fundamental concern regarding democracy and the Prime Minister’s ability to silence or render ineffective the parliamentary system. Aucoin fears that this power is eroding the democratic institutions of Canada and that “the parliamentary system is failing” (</w:t>
      </w:r>
      <w:r w:rsidR="00992D64">
        <w:t>Aucoin 2011:</w:t>
      </w:r>
      <w:r w:rsidR="00ED7D32">
        <w:t xml:space="preserve">203). </w:t>
      </w:r>
      <w:r w:rsidR="0094356E">
        <w:t>However, Aucoin fails to highlight the negative consequences of prorogation on the governing party and the norms in place that deter prorogation. Pro</w:t>
      </w:r>
      <w:r w:rsidR="004A2DCC">
        <w:t>ro</w:t>
      </w:r>
      <w:r w:rsidR="0094356E">
        <w:t>gation of parliament yields equal if not greater scrutiny from the media and public directly. Pro</w:t>
      </w:r>
      <w:r w:rsidR="004A2DCC">
        <w:t>rog</w:t>
      </w:r>
      <w:r w:rsidR="0094356E">
        <w:t xml:space="preserve">ation of parliament is not a scotch-free escape route for the government out of scrutiny but rather a mechanism to enforce stability. </w:t>
      </w:r>
    </w:p>
    <w:p w14:paraId="420CEFA7" w14:textId="2D7EC5C3" w:rsidR="00ED7D32" w:rsidRDefault="0094356E" w:rsidP="005326D0">
      <w:pPr>
        <w:spacing w:line="480" w:lineRule="auto"/>
      </w:pPr>
      <w:r>
        <w:tab/>
        <w:t xml:space="preserve">Use of this mechanism </w:t>
      </w:r>
      <w:r w:rsidR="00B20CEB">
        <w:t>has a price in that it</w:t>
      </w:r>
      <w:r>
        <w:t xml:space="preserve"> turns</w:t>
      </w:r>
      <w:r w:rsidR="004A2DCC">
        <w:t xml:space="preserve"> </w:t>
      </w:r>
      <w:r>
        <w:t xml:space="preserve">attention to the governing party </w:t>
      </w:r>
      <w:r w:rsidR="00B20CEB">
        <w:t>and opens the door for greater scrutiny and criticism by</w:t>
      </w:r>
      <w:r>
        <w:t xml:space="preserve"> a wider segment of the </w:t>
      </w:r>
      <w:r w:rsidR="00B20CEB">
        <w:t>society</w:t>
      </w:r>
      <w:r>
        <w:t xml:space="preserve">. </w:t>
      </w:r>
      <w:r w:rsidR="0014785B">
        <w:t xml:space="preserve">Prorogation is a double-edged sword, where it can be used to avoid a confidence vote or coalition power </w:t>
      </w:r>
      <w:proofErr w:type="gramStart"/>
      <w:r w:rsidR="0014785B">
        <w:t>grab,</w:t>
      </w:r>
      <w:proofErr w:type="gramEnd"/>
      <w:r w:rsidR="0014785B">
        <w:t xml:space="preserve"> it </w:t>
      </w:r>
      <w:r w:rsidR="004A2DCC">
        <w:t>simultaneously</w:t>
      </w:r>
      <w:r w:rsidR="0014785B">
        <w:t xml:space="preserve"> attracts the attention of the wider public to engage closer with their democracy. If the parliament doors </w:t>
      </w:r>
      <w:r w:rsidR="004A2DCC">
        <w:t>are closed</w:t>
      </w:r>
      <w:r w:rsidR="0014785B">
        <w:t xml:space="preserve"> and the people’s elected representatives are not representing, this could potentially lead to greater partisan harms for the governing party than </w:t>
      </w:r>
      <w:r w:rsidR="00B20CEB">
        <w:t xml:space="preserve">Aucoin’s </w:t>
      </w:r>
      <w:r w:rsidR="004A2DCC">
        <w:t xml:space="preserve">claimed </w:t>
      </w:r>
      <w:r w:rsidR="0014785B">
        <w:t xml:space="preserve">benefits of avoiding opposition scrutiny. </w:t>
      </w:r>
    </w:p>
    <w:p w14:paraId="40B6A0D6" w14:textId="2F2D79DD" w:rsidR="00BF3CAE" w:rsidRDefault="00CC08CB" w:rsidP="005326D0">
      <w:pPr>
        <w:spacing w:line="480" w:lineRule="auto"/>
      </w:pPr>
      <w:r w:rsidRPr="00B16F51">
        <w:rPr>
          <w:i/>
        </w:rPr>
        <w:t>“I argue that democratic leaders have incentives to be selective in attracting public scrutiny and thereby invoking audience costs</w:t>
      </w:r>
      <w:r w:rsidR="00CD7885">
        <w:rPr>
          <w:i/>
        </w:rPr>
        <w:t>…</w:t>
      </w:r>
      <w:r w:rsidRPr="00B16F51">
        <w:rPr>
          <w:i/>
        </w:rPr>
        <w:t xml:space="preserve"> I thereby highlight the inherent tradeoff that frequently confronts a democratic leader between enhancing her credibility and her potential political upside by attracting greater public scrutiny, and the resulting increased potential political consequences of failure. By highlighting this tradeoff, </w:t>
      </w:r>
      <w:r w:rsidRPr="00CD7885">
        <w:rPr>
          <w:i/>
        </w:rPr>
        <w:t>I show that a leader will not always prefer an attentive public and may quite consciously seek to avoid attracting the public eye</w:t>
      </w:r>
      <w:r w:rsidRPr="00B16F51">
        <w:rPr>
          <w:i/>
        </w:rPr>
        <w:t>.”</w:t>
      </w:r>
      <w:r w:rsidR="00B16F51">
        <w:t xml:space="preserve"> (Baum 2010</w:t>
      </w:r>
      <w:r w:rsidR="00992D64">
        <w:t>:604</w:t>
      </w:r>
      <w:r w:rsidR="00B16F51">
        <w:t>).</w:t>
      </w:r>
      <w:bookmarkStart w:id="0" w:name="_GoBack"/>
      <w:bookmarkEnd w:id="0"/>
    </w:p>
    <w:p w14:paraId="64359D03" w14:textId="7B7F494F" w:rsidR="0030197C" w:rsidRDefault="0014785B" w:rsidP="008B58FF">
      <w:pPr>
        <w:spacing w:line="480" w:lineRule="auto"/>
        <w:ind w:firstLine="720"/>
      </w:pPr>
      <w:r>
        <w:t xml:space="preserve">The Prime minister’s power of prorogation does not </w:t>
      </w:r>
      <w:r w:rsidR="00A76CFF">
        <w:t>violate the spirit of our constitutional democracy</w:t>
      </w:r>
      <w:r>
        <w:t xml:space="preserve">. Harper’s government faced heavy scrutiny from the media and from the public for both </w:t>
      </w:r>
      <w:r w:rsidR="00E97F36">
        <w:t>ac</w:t>
      </w:r>
      <w:r>
        <w:t xml:space="preserve">counts of prorogation, which </w:t>
      </w:r>
      <w:r w:rsidR="004A2DCC">
        <w:t>came to him as a loss of</w:t>
      </w:r>
      <w:r>
        <w:t xml:space="preserve"> partisan</w:t>
      </w:r>
      <w:r w:rsidR="004A2DCC">
        <w:t>,</w:t>
      </w:r>
      <w:r>
        <w:t xml:space="preserve"> democratic bro</w:t>
      </w:r>
      <w:r w:rsidR="00BE59D9">
        <w:t xml:space="preserve">wnie points. </w:t>
      </w:r>
      <w:proofErr w:type="spellStart"/>
      <w:r w:rsidR="00BE59D9">
        <w:t>Ekos</w:t>
      </w:r>
      <w:proofErr w:type="spellEnd"/>
      <w:r w:rsidR="00BE59D9">
        <w:t xml:space="preserve"> polls in 2010 revealed a strong disapproval of </w:t>
      </w:r>
      <w:r w:rsidR="00E97F36">
        <w:t>prorogation</w:t>
      </w:r>
      <w:r w:rsidR="00BE59D9">
        <w:t xml:space="preserve"> by </w:t>
      </w:r>
      <w:r w:rsidR="00E97F36">
        <w:t>Canadians - ‘by a margin of about two-to-one’</w:t>
      </w:r>
      <w:r w:rsidR="00BE59D9">
        <w:t xml:space="preserve">. </w:t>
      </w:r>
      <w:r w:rsidR="00E97F36">
        <w:t xml:space="preserve">Counter to Aucoin’s central argument, perhaps the Prime Ministerial power to prorogue parliament is essential for stability in the country. Furthermore ‘the abuse’ of these powers has severe consequences for the party at the polls, suggesting that if the Prime Minister exercised these powers counter to the will of the people, his government would be phased out in the following election. Canada does have a democratic constitution and it is the democratic will of Canadians that has permitted the Prime Minister to hold these powers.  </w:t>
      </w:r>
    </w:p>
    <w:p w14:paraId="1ABE57CA" w14:textId="0B8EAC93" w:rsidR="0030197C" w:rsidRDefault="0030197C" w:rsidP="008B58FF">
      <w:pPr>
        <w:pStyle w:val="Heading2"/>
      </w:pPr>
      <w:r w:rsidRPr="00CC73C3">
        <w:t>Key Contributions to the Literature</w:t>
      </w:r>
    </w:p>
    <w:p w14:paraId="133AAB77" w14:textId="3ED3BC01" w:rsidR="0030197C" w:rsidRDefault="0030197C" w:rsidP="005326D0">
      <w:pPr>
        <w:spacing w:line="480" w:lineRule="auto"/>
        <w:ind w:firstLine="720"/>
      </w:pPr>
      <w:r>
        <w:t xml:space="preserve">In attempting to establish a case for reforming the ambiguity of constitutional conventions, Aucoin’s book serves as a thorough review of the powers held by the Prime Minister. </w:t>
      </w:r>
      <w:r w:rsidR="008F18FE">
        <w:t>It maps out the jurisdiction of Prime Ministerial authority in the modern sense, taking into account the infusion of constitutional norms. Furthermore it</w:t>
      </w:r>
      <w:r>
        <w:t xml:space="preserve"> </w:t>
      </w:r>
      <w:r w:rsidR="008F18FE">
        <w:t xml:space="preserve">presents an </w:t>
      </w:r>
      <w:r>
        <w:t>analytical evaluation of how Prime Ministers have used their constitutional powers in retrospect.</w:t>
      </w:r>
      <w:r w:rsidR="008F18FE">
        <w:t xml:space="preserve"> Whether or not reform of Prime Ministerial power is needed, this book’s body chapters provide a clear structural description on the modern use of constitutional arrangements. The implications that Aucoin suggest fall in line with the school of thought that </w:t>
      </w:r>
      <w:r w:rsidR="00CC73C3">
        <w:t xml:space="preserve">prefers a decentralized system of government. </w:t>
      </w:r>
    </w:p>
    <w:p w14:paraId="7EA8D19F" w14:textId="77777777" w:rsidR="00CD7885" w:rsidRDefault="00CD7885" w:rsidP="005326D0">
      <w:pPr>
        <w:pStyle w:val="Heading2"/>
      </w:pPr>
    </w:p>
    <w:p w14:paraId="6891D675" w14:textId="3DDD249D" w:rsidR="005326D0" w:rsidRDefault="005326D0" w:rsidP="005326D0">
      <w:pPr>
        <w:pStyle w:val="Heading2"/>
      </w:pPr>
      <w:r>
        <w:t>BIBLIOGRAPHY</w:t>
      </w:r>
    </w:p>
    <w:p w14:paraId="1073A1DC" w14:textId="77777777" w:rsidR="00907F4F" w:rsidRDefault="00907F4F" w:rsidP="00907F4F"/>
    <w:p w14:paraId="60DE65DE" w14:textId="77777777" w:rsidR="00907F4F" w:rsidRDefault="00907F4F" w:rsidP="00142C84">
      <w:pPr>
        <w:ind w:left="720" w:hanging="720"/>
      </w:pPr>
      <w:r>
        <w:t xml:space="preserve">Aucoin, Peter, Lori B. Turnbull, and Mark D. Jarvis. Democratizing the constitution: reforming responsible government. Toronto: </w:t>
      </w:r>
      <w:proofErr w:type="spellStart"/>
      <w:r>
        <w:t>Emond</w:t>
      </w:r>
      <w:proofErr w:type="spellEnd"/>
      <w:r>
        <w:t xml:space="preserve"> Montgomery Publications, 2011. Print.</w:t>
      </w:r>
    </w:p>
    <w:p w14:paraId="70B5FB39" w14:textId="77777777" w:rsidR="00907F4F" w:rsidRDefault="00907F4F" w:rsidP="00907F4F"/>
    <w:p w14:paraId="4EF6E4D7" w14:textId="0AE5FCFC" w:rsidR="00907F4F" w:rsidRDefault="00907F4F" w:rsidP="00142C84">
      <w:pPr>
        <w:ind w:left="720" w:hanging="720"/>
      </w:pPr>
      <w:r>
        <w:t xml:space="preserve">Baum, Matthew. "Going Private: Public Opinion, Presidential Rhetoric, and the Domestic Politics of Audience Costs in U.S. Foreign Policy Crises." Journal of Conflict Resolution 48.5 (2004): 603-63. </w:t>
      </w:r>
    </w:p>
    <w:p w14:paraId="67D27A44" w14:textId="77777777" w:rsidR="005326D0" w:rsidRDefault="005326D0" w:rsidP="005326D0"/>
    <w:p w14:paraId="10A97DBD" w14:textId="58432AE8" w:rsidR="005326D0" w:rsidRPr="005326D0" w:rsidRDefault="00907F4F" w:rsidP="00142C84">
      <w:pPr>
        <w:ind w:left="720" w:hanging="720"/>
      </w:pPr>
      <w:proofErr w:type="spellStart"/>
      <w:r>
        <w:t>Ekos</w:t>
      </w:r>
      <w:proofErr w:type="spellEnd"/>
      <w:r>
        <w:t xml:space="preserve"> Research Associates Inc.</w:t>
      </w:r>
      <w:r w:rsidRPr="00907F4F">
        <w:t xml:space="preserve"> </w:t>
      </w:r>
      <w:r>
        <w:t>EKOS Prorogation R</w:t>
      </w:r>
      <w:r w:rsidRPr="00907F4F">
        <w:t>eport</w:t>
      </w:r>
      <w:r>
        <w:t>:</w:t>
      </w:r>
      <w:r w:rsidRPr="00907F4F">
        <w:t xml:space="preserve"> Final Report </w:t>
      </w:r>
      <w:r>
        <w:t>January 7, 2010. Web. 13</w:t>
      </w:r>
      <w:r w:rsidRPr="00907F4F">
        <w:t xml:space="preserve"> Feb. 2012.</w:t>
      </w:r>
    </w:p>
    <w:sectPr w:rsidR="005326D0" w:rsidRPr="005326D0" w:rsidSect="001332FB">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CD6C4" w14:textId="77777777" w:rsidR="00907F4F" w:rsidRDefault="00907F4F" w:rsidP="001332FB">
      <w:r>
        <w:separator/>
      </w:r>
    </w:p>
  </w:endnote>
  <w:endnote w:type="continuationSeparator" w:id="0">
    <w:p w14:paraId="175FBB0A" w14:textId="77777777" w:rsidR="00907F4F" w:rsidRDefault="00907F4F" w:rsidP="00133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MS Gothic">
    <w:altName w:val="ＭＳ ゴシック"/>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53A54C" w14:textId="77777777" w:rsidR="00907F4F" w:rsidRDefault="00907F4F" w:rsidP="001332FB">
      <w:r>
        <w:separator/>
      </w:r>
    </w:p>
  </w:footnote>
  <w:footnote w:type="continuationSeparator" w:id="0">
    <w:p w14:paraId="3AAABBDE" w14:textId="77777777" w:rsidR="00907F4F" w:rsidRDefault="00907F4F" w:rsidP="001332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3CA83" w14:textId="1596478B" w:rsidR="00907F4F" w:rsidRDefault="00907F4F">
    <w:pPr>
      <w:pStyle w:val="Header"/>
    </w:pPr>
  </w:p>
  <w:p w14:paraId="0E11A03D" w14:textId="77777777" w:rsidR="00907F4F" w:rsidRDefault="00907F4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E0656" w14:textId="07EFA148" w:rsidR="00907F4F" w:rsidRDefault="00907F4F">
    <w:pPr>
      <w:pStyle w:val="Header"/>
    </w:pPr>
  </w:p>
  <w:p w14:paraId="1FD53E2B" w14:textId="77777777" w:rsidR="00907F4F" w:rsidRDefault="00907F4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85839E4"/>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00F"/>
    <w:rsid w:val="00005B6F"/>
    <w:rsid w:val="0003325B"/>
    <w:rsid w:val="000B2CF9"/>
    <w:rsid w:val="001226A6"/>
    <w:rsid w:val="001332FB"/>
    <w:rsid w:val="00142C84"/>
    <w:rsid w:val="0014785B"/>
    <w:rsid w:val="00184B3A"/>
    <w:rsid w:val="001C5517"/>
    <w:rsid w:val="002202A8"/>
    <w:rsid w:val="0022069B"/>
    <w:rsid w:val="0030197C"/>
    <w:rsid w:val="00416EB8"/>
    <w:rsid w:val="00450794"/>
    <w:rsid w:val="004A2DCC"/>
    <w:rsid w:val="004B2A87"/>
    <w:rsid w:val="004C1A50"/>
    <w:rsid w:val="005326D0"/>
    <w:rsid w:val="0054100F"/>
    <w:rsid w:val="0056299E"/>
    <w:rsid w:val="006213D6"/>
    <w:rsid w:val="0063377B"/>
    <w:rsid w:val="00743CE7"/>
    <w:rsid w:val="007B21DC"/>
    <w:rsid w:val="008305CE"/>
    <w:rsid w:val="008B58FF"/>
    <w:rsid w:val="008E4C6F"/>
    <w:rsid w:val="008F18FE"/>
    <w:rsid w:val="00907F4F"/>
    <w:rsid w:val="0094356E"/>
    <w:rsid w:val="00980911"/>
    <w:rsid w:val="00992D64"/>
    <w:rsid w:val="00A76CFF"/>
    <w:rsid w:val="00AD703E"/>
    <w:rsid w:val="00B12938"/>
    <w:rsid w:val="00B16F51"/>
    <w:rsid w:val="00B20CEB"/>
    <w:rsid w:val="00B97E8D"/>
    <w:rsid w:val="00BE59D9"/>
    <w:rsid w:val="00BF3CAE"/>
    <w:rsid w:val="00CB5658"/>
    <w:rsid w:val="00CC08CB"/>
    <w:rsid w:val="00CC73C3"/>
    <w:rsid w:val="00CD7885"/>
    <w:rsid w:val="00CE2C99"/>
    <w:rsid w:val="00D9089C"/>
    <w:rsid w:val="00DF3AFE"/>
    <w:rsid w:val="00E8290E"/>
    <w:rsid w:val="00E97F36"/>
    <w:rsid w:val="00EB7D65"/>
    <w:rsid w:val="00ED162E"/>
    <w:rsid w:val="00ED7D32"/>
    <w:rsid w:val="00F70C30"/>
    <w:rsid w:val="00FF3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315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90E"/>
  </w:style>
  <w:style w:type="paragraph" w:styleId="Heading2">
    <w:name w:val="heading 2"/>
    <w:basedOn w:val="Normal"/>
    <w:next w:val="Normal"/>
    <w:link w:val="Heading2Char"/>
    <w:uiPriority w:val="9"/>
    <w:unhideWhenUsed/>
    <w:qFormat/>
    <w:rsid w:val="005326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2FB"/>
    <w:pPr>
      <w:tabs>
        <w:tab w:val="center" w:pos="4320"/>
        <w:tab w:val="right" w:pos="8640"/>
      </w:tabs>
    </w:pPr>
  </w:style>
  <w:style w:type="character" w:customStyle="1" w:styleId="HeaderChar">
    <w:name w:val="Header Char"/>
    <w:basedOn w:val="DefaultParagraphFont"/>
    <w:link w:val="Header"/>
    <w:uiPriority w:val="99"/>
    <w:rsid w:val="001332FB"/>
  </w:style>
  <w:style w:type="paragraph" w:styleId="Footer">
    <w:name w:val="footer"/>
    <w:basedOn w:val="Normal"/>
    <w:link w:val="FooterChar"/>
    <w:uiPriority w:val="99"/>
    <w:unhideWhenUsed/>
    <w:rsid w:val="001332FB"/>
    <w:pPr>
      <w:tabs>
        <w:tab w:val="center" w:pos="4320"/>
        <w:tab w:val="right" w:pos="8640"/>
      </w:tabs>
    </w:pPr>
  </w:style>
  <w:style w:type="character" w:customStyle="1" w:styleId="FooterChar">
    <w:name w:val="Footer Char"/>
    <w:basedOn w:val="DefaultParagraphFont"/>
    <w:link w:val="Footer"/>
    <w:uiPriority w:val="99"/>
    <w:rsid w:val="001332FB"/>
  </w:style>
  <w:style w:type="paragraph" w:customStyle="1" w:styleId="NoteLevel11">
    <w:name w:val="Note Level 11"/>
    <w:basedOn w:val="Normal"/>
    <w:uiPriority w:val="99"/>
    <w:unhideWhenUsed/>
    <w:rsid w:val="00AD703E"/>
    <w:pPr>
      <w:keepNext/>
      <w:numPr>
        <w:numId w:val="1"/>
      </w:numPr>
      <w:contextualSpacing/>
      <w:outlineLvl w:val="0"/>
    </w:pPr>
    <w:rPr>
      <w:rFonts w:ascii="Verdana" w:eastAsia="MS Gothic" w:hAnsi="Verdana"/>
    </w:rPr>
  </w:style>
  <w:style w:type="paragraph" w:customStyle="1" w:styleId="NoteLevel21">
    <w:name w:val="Note Level 21"/>
    <w:basedOn w:val="Normal"/>
    <w:uiPriority w:val="99"/>
    <w:unhideWhenUsed/>
    <w:rsid w:val="00AD703E"/>
    <w:pPr>
      <w:keepNext/>
      <w:numPr>
        <w:ilvl w:val="1"/>
        <w:numId w:val="1"/>
      </w:numPr>
      <w:contextualSpacing/>
      <w:outlineLvl w:val="1"/>
    </w:pPr>
    <w:rPr>
      <w:rFonts w:ascii="Verdana" w:eastAsia="MS Gothic" w:hAnsi="Verdana"/>
    </w:rPr>
  </w:style>
  <w:style w:type="paragraph" w:customStyle="1" w:styleId="NoteLevel31">
    <w:name w:val="Note Level 31"/>
    <w:basedOn w:val="Normal"/>
    <w:uiPriority w:val="99"/>
    <w:unhideWhenUsed/>
    <w:rsid w:val="00AD703E"/>
    <w:pPr>
      <w:keepNext/>
      <w:numPr>
        <w:ilvl w:val="2"/>
        <w:numId w:val="1"/>
      </w:numPr>
      <w:contextualSpacing/>
      <w:outlineLvl w:val="2"/>
    </w:pPr>
    <w:rPr>
      <w:rFonts w:ascii="Verdana" w:eastAsia="MS Gothic" w:hAnsi="Verdana"/>
    </w:rPr>
  </w:style>
  <w:style w:type="paragraph" w:customStyle="1" w:styleId="NoteLevel41">
    <w:name w:val="Note Level 41"/>
    <w:basedOn w:val="Normal"/>
    <w:uiPriority w:val="99"/>
    <w:semiHidden/>
    <w:unhideWhenUsed/>
    <w:rsid w:val="00AD703E"/>
    <w:pPr>
      <w:keepNext/>
      <w:numPr>
        <w:ilvl w:val="3"/>
        <w:numId w:val="1"/>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AD703E"/>
    <w:pPr>
      <w:keepNext/>
      <w:numPr>
        <w:ilvl w:val="4"/>
        <w:numId w:val="1"/>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AD703E"/>
    <w:pPr>
      <w:keepNext/>
      <w:numPr>
        <w:ilvl w:val="5"/>
        <w:numId w:val="1"/>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AD703E"/>
    <w:pPr>
      <w:keepNext/>
      <w:numPr>
        <w:ilvl w:val="6"/>
        <w:numId w:val="1"/>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AD703E"/>
    <w:pPr>
      <w:keepNext/>
      <w:numPr>
        <w:ilvl w:val="7"/>
        <w:numId w:val="1"/>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AD703E"/>
    <w:pPr>
      <w:keepNext/>
      <w:numPr>
        <w:ilvl w:val="8"/>
        <w:numId w:val="1"/>
      </w:numPr>
      <w:contextualSpacing/>
      <w:outlineLvl w:val="8"/>
    </w:pPr>
    <w:rPr>
      <w:rFonts w:ascii="Verdana" w:eastAsia="MS Gothic" w:hAnsi="Verdana"/>
    </w:rPr>
  </w:style>
  <w:style w:type="character" w:customStyle="1" w:styleId="Heading2Char">
    <w:name w:val="Heading 2 Char"/>
    <w:basedOn w:val="DefaultParagraphFont"/>
    <w:link w:val="Heading2"/>
    <w:uiPriority w:val="9"/>
    <w:rsid w:val="005326D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90E"/>
  </w:style>
  <w:style w:type="paragraph" w:styleId="Heading2">
    <w:name w:val="heading 2"/>
    <w:basedOn w:val="Normal"/>
    <w:next w:val="Normal"/>
    <w:link w:val="Heading2Char"/>
    <w:uiPriority w:val="9"/>
    <w:unhideWhenUsed/>
    <w:qFormat/>
    <w:rsid w:val="005326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2FB"/>
    <w:pPr>
      <w:tabs>
        <w:tab w:val="center" w:pos="4320"/>
        <w:tab w:val="right" w:pos="8640"/>
      </w:tabs>
    </w:pPr>
  </w:style>
  <w:style w:type="character" w:customStyle="1" w:styleId="HeaderChar">
    <w:name w:val="Header Char"/>
    <w:basedOn w:val="DefaultParagraphFont"/>
    <w:link w:val="Header"/>
    <w:uiPriority w:val="99"/>
    <w:rsid w:val="001332FB"/>
  </w:style>
  <w:style w:type="paragraph" w:styleId="Footer">
    <w:name w:val="footer"/>
    <w:basedOn w:val="Normal"/>
    <w:link w:val="FooterChar"/>
    <w:uiPriority w:val="99"/>
    <w:unhideWhenUsed/>
    <w:rsid w:val="001332FB"/>
    <w:pPr>
      <w:tabs>
        <w:tab w:val="center" w:pos="4320"/>
        <w:tab w:val="right" w:pos="8640"/>
      </w:tabs>
    </w:pPr>
  </w:style>
  <w:style w:type="character" w:customStyle="1" w:styleId="FooterChar">
    <w:name w:val="Footer Char"/>
    <w:basedOn w:val="DefaultParagraphFont"/>
    <w:link w:val="Footer"/>
    <w:uiPriority w:val="99"/>
    <w:rsid w:val="001332FB"/>
  </w:style>
  <w:style w:type="paragraph" w:customStyle="1" w:styleId="NoteLevel11">
    <w:name w:val="Note Level 11"/>
    <w:basedOn w:val="Normal"/>
    <w:uiPriority w:val="99"/>
    <w:unhideWhenUsed/>
    <w:rsid w:val="00AD703E"/>
    <w:pPr>
      <w:keepNext/>
      <w:numPr>
        <w:numId w:val="1"/>
      </w:numPr>
      <w:contextualSpacing/>
      <w:outlineLvl w:val="0"/>
    </w:pPr>
    <w:rPr>
      <w:rFonts w:ascii="Verdana" w:eastAsia="MS Gothic" w:hAnsi="Verdana"/>
    </w:rPr>
  </w:style>
  <w:style w:type="paragraph" w:customStyle="1" w:styleId="NoteLevel21">
    <w:name w:val="Note Level 21"/>
    <w:basedOn w:val="Normal"/>
    <w:uiPriority w:val="99"/>
    <w:unhideWhenUsed/>
    <w:rsid w:val="00AD703E"/>
    <w:pPr>
      <w:keepNext/>
      <w:numPr>
        <w:ilvl w:val="1"/>
        <w:numId w:val="1"/>
      </w:numPr>
      <w:contextualSpacing/>
      <w:outlineLvl w:val="1"/>
    </w:pPr>
    <w:rPr>
      <w:rFonts w:ascii="Verdana" w:eastAsia="MS Gothic" w:hAnsi="Verdana"/>
    </w:rPr>
  </w:style>
  <w:style w:type="paragraph" w:customStyle="1" w:styleId="NoteLevel31">
    <w:name w:val="Note Level 31"/>
    <w:basedOn w:val="Normal"/>
    <w:uiPriority w:val="99"/>
    <w:unhideWhenUsed/>
    <w:rsid w:val="00AD703E"/>
    <w:pPr>
      <w:keepNext/>
      <w:numPr>
        <w:ilvl w:val="2"/>
        <w:numId w:val="1"/>
      </w:numPr>
      <w:contextualSpacing/>
      <w:outlineLvl w:val="2"/>
    </w:pPr>
    <w:rPr>
      <w:rFonts w:ascii="Verdana" w:eastAsia="MS Gothic" w:hAnsi="Verdana"/>
    </w:rPr>
  </w:style>
  <w:style w:type="paragraph" w:customStyle="1" w:styleId="NoteLevel41">
    <w:name w:val="Note Level 41"/>
    <w:basedOn w:val="Normal"/>
    <w:uiPriority w:val="99"/>
    <w:semiHidden/>
    <w:unhideWhenUsed/>
    <w:rsid w:val="00AD703E"/>
    <w:pPr>
      <w:keepNext/>
      <w:numPr>
        <w:ilvl w:val="3"/>
        <w:numId w:val="1"/>
      </w:numPr>
      <w:contextualSpacing/>
      <w:outlineLvl w:val="3"/>
    </w:pPr>
    <w:rPr>
      <w:rFonts w:ascii="Verdana" w:eastAsia="MS Gothic" w:hAnsi="Verdana"/>
    </w:rPr>
  </w:style>
  <w:style w:type="paragraph" w:customStyle="1" w:styleId="NoteLevel51">
    <w:name w:val="Note Level 51"/>
    <w:basedOn w:val="Normal"/>
    <w:uiPriority w:val="99"/>
    <w:semiHidden/>
    <w:unhideWhenUsed/>
    <w:rsid w:val="00AD703E"/>
    <w:pPr>
      <w:keepNext/>
      <w:numPr>
        <w:ilvl w:val="4"/>
        <w:numId w:val="1"/>
      </w:numPr>
      <w:contextualSpacing/>
      <w:outlineLvl w:val="4"/>
    </w:pPr>
    <w:rPr>
      <w:rFonts w:ascii="Verdana" w:eastAsia="MS Gothic" w:hAnsi="Verdana"/>
    </w:rPr>
  </w:style>
  <w:style w:type="paragraph" w:customStyle="1" w:styleId="NoteLevel61">
    <w:name w:val="Note Level 61"/>
    <w:basedOn w:val="Normal"/>
    <w:uiPriority w:val="99"/>
    <w:semiHidden/>
    <w:unhideWhenUsed/>
    <w:rsid w:val="00AD703E"/>
    <w:pPr>
      <w:keepNext/>
      <w:numPr>
        <w:ilvl w:val="5"/>
        <w:numId w:val="1"/>
      </w:numPr>
      <w:contextualSpacing/>
      <w:outlineLvl w:val="5"/>
    </w:pPr>
    <w:rPr>
      <w:rFonts w:ascii="Verdana" w:eastAsia="MS Gothic" w:hAnsi="Verdana"/>
    </w:rPr>
  </w:style>
  <w:style w:type="paragraph" w:customStyle="1" w:styleId="NoteLevel71">
    <w:name w:val="Note Level 71"/>
    <w:basedOn w:val="Normal"/>
    <w:uiPriority w:val="99"/>
    <w:semiHidden/>
    <w:unhideWhenUsed/>
    <w:rsid w:val="00AD703E"/>
    <w:pPr>
      <w:keepNext/>
      <w:numPr>
        <w:ilvl w:val="6"/>
        <w:numId w:val="1"/>
      </w:numPr>
      <w:contextualSpacing/>
      <w:outlineLvl w:val="6"/>
    </w:pPr>
    <w:rPr>
      <w:rFonts w:ascii="Verdana" w:eastAsia="MS Gothic" w:hAnsi="Verdana"/>
    </w:rPr>
  </w:style>
  <w:style w:type="paragraph" w:customStyle="1" w:styleId="NoteLevel81">
    <w:name w:val="Note Level 81"/>
    <w:basedOn w:val="Normal"/>
    <w:uiPriority w:val="99"/>
    <w:semiHidden/>
    <w:unhideWhenUsed/>
    <w:rsid w:val="00AD703E"/>
    <w:pPr>
      <w:keepNext/>
      <w:numPr>
        <w:ilvl w:val="7"/>
        <w:numId w:val="1"/>
      </w:numPr>
      <w:contextualSpacing/>
      <w:outlineLvl w:val="7"/>
    </w:pPr>
    <w:rPr>
      <w:rFonts w:ascii="Verdana" w:eastAsia="MS Gothic" w:hAnsi="Verdana"/>
    </w:rPr>
  </w:style>
  <w:style w:type="paragraph" w:customStyle="1" w:styleId="NoteLevel91">
    <w:name w:val="Note Level 91"/>
    <w:basedOn w:val="Normal"/>
    <w:uiPriority w:val="99"/>
    <w:semiHidden/>
    <w:unhideWhenUsed/>
    <w:rsid w:val="00AD703E"/>
    <w:pPr>
      <w:keepNext/>
      <w:numPr>
        <w:ilvl w:val="8"/>
        <w:numId w:val="1"/>
      </w:numPr>
      <w:contextualSpacing/>
      <w:outlineLvl w:val="8"/>
    </w:pPr>
    <w:rPr>
      <w:rFonts w:ascii="Verdana" w:eastAsia="MS Gothic" w:hAnsi="Verdana"/>
    </w:rPr>
  </w:style>
  <w:style w:type="character" w:customStyle="1" w:styleId="Heading2Char">
    <w:name w:val="Heading 2 Char"/>
    <w:basedOn w:val="DefaultParagraphFont"/>
    <w:link w:val="Heading2"/>
    <w:uiPriority w:val="9"/>
    <w:rsid w:val="005326D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183735">
      <w:bodyDiv w:val="1"/>
      <w:marLeft w:val="0"/>
      <w:marRight w:val="0"/>
      <w:marTop w:val="0"/>
      <w:marBottom w:val="0"/>
      <w:divBdr>
        <w:top w:val="none" w:sz="0" w:space="0" w:color="auto"/>
        <w:left w:val="none" w:sz="0" w:space="0" w:color="auto"/>
        <w:bottom w:val="none" w:sz="0" w:space="0" w:color="auto"/>
        <w:right w:val="none" w:sz="0" w:space="0" w:color="auto"/>
      </w:divBdr>
    </w:div>
    <w:div w:id="1891963316">
      <w:bodyDiv w:val="1"/>
      <w:marLeft w:val="0"/>
      <w:marRight w:val="0"/>
      <w:marTop w:val="0"/>
      <w:marBottom w:val="0"/>
      <w:divBdr>
        <w:top w:val="none" w:sz="0" w:space="0" w:color="auto"/>
        <w:left w:val="none" w:sz="0" w:space="0" w:color="auto"/>
        <w:bottom w:val="none" w:sz="0" w:space="0" w:color="auto"/>
        <w:right w:val="none" w:sz="0" w:space="0" w:color="auto"/>
      </w:divBdr>
    </w:div>
    <w:div w:id="21036071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4" Type="http://schemas.microsoft.com/office/2007/relationships/stylesWithEffects" Target="stylesWithEffects.xml"/><Relationship Id="rId10" Type="http://schemas.openxmlformats.org/officeDocument/2006/relationships/header" Target="header2.xml"/><Relationship Id="rId5" Type="http://schemas.openxmlformats.org/officeDocument/2006/relationships/settings" Target="settings.xml"/><Relationship Id="rId7" Type="http://schemas.openxmlformats.org/officeDocument/2006/relationships/footnotes" Target="footnotes.xm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3" Type="http://schemas.openxmlformats.org/officeDocument/2006/relationships/styles" Target="styles.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67685-E5BD-694D-8759-2FAC8525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Pages>
  <Words>1340</Words>
  <Characters>7642</Characters>
  <Application>Microsoft Macintosh Word</Application>
  <DocSecurity>0</DocSecurity>
  <Lines>63</Lines>
  <Paragraphs>17</Paragraphs>
  <ScaleCrop>false</ScaleCrop>
  <Company/>
  <LinksUpToDate>false</LinksUpToDate>
  <CharactersWithSpaces>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Markos Phillips</dc:creator>
  <cp:keywords/>
  <dc:description/>
  <cp:lastModifiedBy>Markos Phillips</cp:lastModifiedBy>
  <cp:revision>10</cp:revision>
  <dcterms:created xsi:type="dcterms:W3CDTF">2012-02-14T19:16:00Z</dcterms:created>
  <dcterms:modified xsi:type="dcterms:W3CDTF">2012-02-15T23:28:00Z</dcterms:modified>
</cp:coreProperties>
</file>