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09DF" w:rsidRPr="008809DF" w:rsidRDefault="008809DF" w:rsidP="008809DF">
      <w:r w:rsidRPr="008809DF">
        <w:t>A. Overview of diagnostic methods  </w:t>
      </w:r>
    </w:p>
    <w:p w:rsidR="008809DF" w:rsidRPr="008809DF" w:rsidRDefault="008809DF" w:rsidP="008809DF">
      <w:r w:rsidRPr="008809DF">
        <w:t>In general, diagnostic tests can be grouped into 3 categories</w:t>
      </w:r>
      <w:proofErr w:type="gramStart"/>
      <w:r w:rsidRPr="008809DF">
        <w:t>.:</w:t>
      </w:r>
      <w:proofErr w:type="gramEnd"/>
      <w:r w:rsidRPr="008809DF">
        <w:t xml:space="preserve"> (1) direct detection, (2) indirect examination (virus isolation), and (3) serology. In direct examination, the clinical specimen is examined directly for the presence of virus particles, virus antigen or viral nucleic acids. In indirect examination, the specimen into cell culture, eggs or animals in an attempt to grow the virus: this is called virus isolation. </w:t>
      </w:r>
      <w:proofErr w:type="gramStart"/>
      <w:r w:rsidRPr="008809DF">
        <w:t>Serology actually constitute</w:t>
      </w:r>
      <w:proofErr w:type="gramEnd"/>
      <w:r w:rsidRPr="008809DF">
        <w:t xml:space="preserve"> by far the bulk of the work of any virology laboratory. A serological diagnosis can be made by the detection of rising </w:t>
      </w:r>
      <w:proofErr w:type="spellStart"/>
      <w:r w:rsidRPr="008809DF">
        <w:t>titres</w:t>
      </w:r>
      <w:proofErr w:type="spellEnd"/>
      <w:r w:rsidRPr="008809DF">
        <w:t xml:space="preserve"> of antibody between acute and convalescent stages of infection, or the detection of </w:t>
      </w:r>
      <w:proofErr w:type="spellStart"/>
      <w:r w:rsidRPr="008809DF">
        <w:t>IgM</w:t>
      </w:r>
      <w:proofErr w:type="spellEnd"/>
      <w:r w:rsidRPr="008809DF">
        <w:t>. In general, the majority of common viral infections can be diagnosed by serology. The specimen used for direction detection and virus isolation is very important. A positive result from the site of disease would be of much greater diagnostic significance than those from other sites. For example, in the case of herpes simplex encephalitis, a positive result from the CSF or the brain would be much greater significance than a positive result from an oral ulcer, since reactivation of oral herpes is common during times of stress.  </w:t>
      </w:r>
    </w:p>
    <w:p w:rsidR="008809DF" w:rsidRPr="008809DF" w:rsidRDefault="008809DF" w:rsidP="008809DF">
      <w:r w:rsidRPr="008809DF">
        <w:t>1. Direct Examination of Specimen</w:t>
      </w:r>
    </w:p>
    <w:p w:rsidR="008809DF" w:rsidRPr="008809DF" w:rsidRDefault="008809DF" w:rsidP="008809DF">
      <w:r w:rsidRPr="008809DF">
        <w:t>Electron Microscopy morphology / immune electron microscopy</w:t>
      </w:r>
    </w:p>
    <w:p w:rsidR="008809DF" w:rsidRPr="008809DF" w:rsidRDefault="008809DF" w:rsidP="008809DF">
      <w:r w:rsidRPr="008809DF">
        <w:t>Light microscopy histological appearance - e.g. inclusion bodies</w:t>
      </w:r>
    </w:p>
    <w:p w:rsidR="008809DF" w:rsidRPr="008809DF" w:rsidRDefault="008809DF" w:rsidP="008809DF">
      <w:proofErr w:type="gramStart"/>
      <w:r w:rsidRPr="008809DF">
        <w:t>Antigen detection immunofluorescence, ELISA etc.</w:t>
      </w:r>
      <w:proofErr w:type="gramEnd"/>
    </w:p>
    <w:p w:rsidR="008809DF" w:rsidRPr="008809DF" w:rsidRDefault="008809DF" w:rsidP="008809DF">
      <w:r w:rsidRPr="008809DF">
        <w:t>Molecular techniques for the direct detection of viral genomes    </w:t>
      </w:r>
    </w:p>
    <w:p w:rsidR="008809DF" w:rsidRPr="008809DF" w:rsidRDefault="008809DF" w:rsidP="008809DF">
      <w:r w:rsidRPr="008809DF">
        <w:t>2. Indirect Examination</w:t>
      </w:r>
    </w:p>
    <w:p w:rsidR="008809DF" w:rsidRPr="008809DF" w:rsidRDefault="008809DF" w:rsidP="008809DF">
      <w:r w:rsidRPr="008809DF">
        <w:t xml:space="preserve">Cell Culture - </w:t>
      </w:r>
      <w:proofErr w:type="spellStart"/>
      <w:r w:rsidRPr="008809DF">
        <w:t>cytopathic</w:t>
      </w:r>
      <w:proofErr w:type="spellEnd"/>
      <w:r w:rsidRPr="008809DF">
        <w:t xml:space="preserve"> effect, </w:t>
      </w:r>
      <w:proofErr w:type="spellStart"/>
      <w:r w:rsidRPr="008809DF">
        <w:t>haemadsorption</w:t>
      </w:r>
      <w:proofErr w:type="spellEnd"/>
      <w:r w:rsidRPr="008809DF">
        <w:t>, confirmation by neutralization, interference</w:t>
      </w:r>
      <w:proofErr w:type="gramStart"/>
      <w:r w:rsidRPr="008809DF">
        <w:t>,  immunofluorescence</w:t>
      </w:r>
      <w:proofErr w:type="gramEnd"/>
      <w:r w:rsidRPr="008809DF">
        <w:t xml:space="preserve"> etc.</w:t>
      </w:r>
    </w:p>
    <w:p w:rsidR="008809DF" w:rsidRPr="008809DF" w:rsidRDefault="008809DF" w:rsidP="008809DF">
      <w:r w:rsidRPr="008809DF">
        <w:t xml:space="preserve">Eggs pocks on CAM - </w:t>
      </w:r>
      <w:proofErr w:type="spellStart"/>
      <w:r w:rsidRPr="008809DF">
        <w:t>haemagglutination</w:t>
      </w:r>
      <w:proofErr w:type="spellEnd"/>
      <w:r w:rsidRPr="008809DF">
        <w:t>, inclusion bodies</w:t>
      </w:r>
    </w:p>
    <w:p w:rsidR="008809DF" w:rsidRPr="008809DF" w:rsidRDefault="008809DF" w:rsidP="008809DF">
      <w:proofErr w:type="gramStart"/>
      <w:r w:rsidRPr="008809DF">
        <w:t>Animals</w:t>
      </w:r>
      <w:proofErr w:type="gramEnd"/>
      <w:r w:rsidRPr="008809DF">
        <w:t xml:space="preserve"> disease or death confirmation by neutralization    </w:t>
      </w:r>
    </w:p>
    <w:p w:rsidR="008809DF" w:rsidRPr="008809DF" w:rsidRDefault="008809DF" w:rsidP="008809DF">
      <w:r w:rsidRPr="008809DF">
        <w:t>3. Serology</w:t>
      </w:r>
    </w:p>
    <w:p w:rsidR="008809DF" w:rsidRPr="008809DF" w:rsidRDefault="008809DF" w:rsidP="008809DF">
      <w:proofErr w:type="gramStart"/>
      <w:r w:rsidRPr="008809DF">
        <w:t xml:space="preserve">Detection of rising </w:t>
      </w:r>
      <w:proofErr w:type="spellStart"/>
      <w:r w:rsidRPr="008809DF">
        <w:t>titres</w:t>
      </w:r>
      <w:proofErr w:type="spellEnd"/>
      <w:r w:rsidRPr="008809DF">
        <w:t xml:space="preserve"> of antibody between acute and convalescent stages of infection, or the detection of </w:t>
      </w:r>
      <w:proofErr w:type="spellStart"/>
      <w:r w:rsidRPr="008809DF">
        <w:t>IgM</w:t>
      </w:r>
      <w:proofErr w:type="spellEnd"/>
      <w:r w:rsidRPr="008809DF">
        <w:t xml:space="preserve"> in primary infection.</w:t>
      </w:r>
      <w:proofErr w:type="gramEnd"/>
      <w:r w:rsidRPr="008809DF">
        <w:t xml:space="preserve">  </w:t>
      </w:r>
    </w:p>
    <w:tbl>
      <w:tblPr>
        <w:tblW w:w="15060" w:type="dxa"/>
        <w:tblBorders>
          <w:top w:val="nil"/>
          <w:left w:val="nil"/>
          <w:right w:val="nil"/>
        </w:tblBorders>
        <w:tblLayout w:type="fixed"/>
        <w:tblLook w:val="0000" w:firstRow="0" w:lastRow="0" w:firstColumn="0" w:lastColumn="0" w:noHBand="0" w:noVBand="0"/>
      </w:tblPr>
      <w:tblGrid>
        <w:gridCol w:w="6937"/>
        <w:gridCol w:w="8123"/>
      </w:tblGrid>
      <w:tr w:rsidR="008809DF" w:rsidRPr="008809DF">
        <w:tblPrEx>
          <w:tblCellMar>
            <w:top w:w="0" w:type="dxa"/>
            <w:bottom w:w="0" w:type="dxa"/>
          </w:tblCellMar>
        </w:tblPrEx>
        <w:tc>
          <w:tcPr>
            <w:tcW w:w="6900" w:type="dxa"/>
            <w:tcMar>
              <w:top w:w="20" w:type="nil"/>
              <w:left w:w="20" w:type="nil"/>
              <w:bottom w:w="20" w:type="nil"/>
              <w:right w:w="20" w:type="nil"/>
            </w:tcMar>
          </w:tcPr>
          <w:p w:rsidR="008809DF" w:rsidRPr="008809DF" w:rsidRDefault="008809DF" w:rsidP="008809DF">
            <w:r w:rsidRPr="008809DF">
              <w:t>Classical Techniques</w:t>
            </w:r>
          </w:p>
        </w:tc>
        <w:tc>
          <w:tcPr>
            <w:tcW w:w="8080" w:type="dxa"/>
            <w:tcMar>
              <w:top w:w="20" w:type="nil"/>
              <w:left w:w="20" w:type="nil"/>
              <w:bottom w:w="20" w:type="nil"/>
              <w:right w:w="20" w:type="nil"/>
            </w:tcMar>
          </w:tcPr>
          <w:p w:rsidR="008809DF" w:rsidRPr="008809DF" w:rsidRDefault="008809DF" w:rsidP="008809DF">
            <w:r w:rsidRPr="008809DF">
              <w:t>Newer Techniques</w:t>
            </w:r>
          </w:p>
        </w:tc>
      </w:tr>
      <w:tr w:rsidR="008809DF" w:rsidRPr="008809DF">
        <w:tblPrEx>
          <w:tblBorders>
            <w:top w:val="none" w:sz="0" w:space="0" w:color="auto"/>
          </w:tblBorders>
          <w:tblCellMar>
            <w:top w:w="0" w:type="dxa"/>
            <w:bottom w:w="0" w:type="dxa"/>
          </w:tblCellMar>
        </w:tblPrEx>
        <w:tc>
          <w:tcPr>
            <w:tcW w:w="6900" w:type="dxa"/>
            <w:tcMar>
              <w:top w:w="20" w:type="nil"/>
              <w:left w:w="20" w:type="nil"/>
              <w:bottom w:w="20" w:type="nil"/>
              <w:right w:w="20" w:type="nil"/>
            </w:tcMar>
          </w:tcPr>
          <w:p w:rsidR="008809DF" w:rsidRPr="008809DF" w:rsidRDefault="008809DF" w:rsidP="008809DF">
            <w:r w:rsidRPr="008809DF">
              <w:t>1. Complement fixation tests (CFT)</w:t>
            </w:r>
          </w:p>
        </w:tc>
        <w:tc>
          <w:tcPr>
            <w:tcW w:w="8080" w:type="dxa"/>
            <w:tcMar>
              <w:top w:w="20" w:type="nil"/>
              <w:left w:w="20" w:type="nil"/>
              <w:bottom w:w="20" w:type="nil"/>
              <w:right w:w="20" w:type="nil"/>
            </w:tcMar>
          </w:tcPr>
          <w:p w:rsidR="008809DF" w:rsidRPr="008809DF" w:rsidRDefault="008809DF" w:rsidP="008809DF">
            <w:r w:rsidRPr="008809DF">
              <w:t>1. Radioimmunoassay (RIA)</w:t>
            </w:r>
          </w:p>
        </w:tc>
      </w:tr>
      <w:tr w:rsidR="008809DF" w:rsidRPr="008809DF">
        <w:tblPrEx>
          <w:tblBorders>
            <w:top w:val="none" w:sz="0" w:space="0" w:color="auto"/>
          </w:tblBorders>
          <w:tblCellMar>
            <w:top w:w="0" w:type="dxa"/>
            <w:bottom w:w="0" w:type="dxa"/>
          </w:tblCellMar>
        </w:tblPrEx>
        <w:tc>
          <w:tcPr>
            <w:tcW w:w="6900" w:type="dxa"/>
            <w:tcMar>
              <w:top w:w="20" w:type="nil"/>
              <w:left w:w="20" w:type="nil"/>
              <w:bottom w:w="20" w:type="nil"/>
              <w:right w:w="20" w:type="nil"/>
            </w:tcMar>
          </w:tcPr>
          <w:p w:rsidR="008809DF" w:rsidRPr="008809DF" w:rsidRDefault="008809DF" w:rsidP="008809DF">
            <w:r w:rsidRPr="008809DF">
              <w:t xml:space="preserve">2. </w:t>
            </w:r>
            <w:proofErr w:type="spellStart"/>
            <w:r w:rsidRPr="008809DF">
              <w:t>Haemagglutination</w:t>
            </w:r>
            <w:proofErr w:type="spellEnd"/>
            <w:r w:rsidRPr="008809DF">
              <w:t xml:space="preserve"> inhibition tests</w:t>
            </w:r>
          </w:p>
        </w:tc>
        <w:tc>
          <w:tcPr>
            <w:tcW w:w="8080" w:type="dxa"/>
            <w:tcMar>
              <w:top w:w="20" w:type="nil"/>
              <w:left w:w="20" w:type="nil"/>
              <w:bottom w:w="20" w:type="nil"/>
              <w:right w:w="20" w:type="nil"/>
            </w:tcMar>
          </w:tcPr>
          <w:p w:rsidR="008809DF" w:rsidRPr="008809DF" w:rsidRDefault="008809DF" w:rsidP="008809DF">
            <w:r w:rsidRPr="008809DF">
              <w:t xml:space="preserve">2. Enzyme linked </w:t>
            </w:r>
            <w:proofErr w:type="spellStart"/>
            <w:r w:rsidRPr="008809DF">
              <w:t>immunosorbent</w:t>
            </w:r>
            <w:proofErr w:type="spellEnd"/>
            <w:r w:rsidRPr="008809DF">
              <w:t xml:space="preserve"> assay (EIA)</w:t>
            </w:r>
          </w:p>
        </w:tc>
      </w:tr>
      <w:tr w:rsidR="008809DF" w:rsidRPr="008809DF">
        <w:tblPrEx>
          <w:tblBorders>
            <w:top w:val="none" w:sz="0" w:space="0" w:color="auto"/>
          </w:tblBorders>
          <w:tblCellMar>
            <w:top w:w="0" w:type="dxa"/>
            <w:bottom w:w="0" w:type="dxa"/>
          </w:tblCellMar>
        </w:tblPrEx>
        <w:tc>
          <w:tcPr>
            <w:tcW w:w="6900" w:type="dxa"/>
            <w:tcMar>
              <w:top w:w="20" w:type="nil"/>
              <w:left w:w="20" w:type="nil"/>
              <w:bottom w:w="20" w:type="nil"/>
              <w:right w:w="20" w:type="nil"/>
            </w:tcMar>
          </w:tcPr>
          <w:p w:rsidR="008809DF" w:rsidRPr="008809DF" w:rsidRDefault="008809DF" w:rsidP="008809DF">
            <w:r w:rsidRPr="008809DF">
              <w:t>3. Immunofluorescence techniques (IF)</w:t>
            </w:r>
          </w:p>
        </w:tc>
        <w:tc>
          <w:tcPr>
            <w:tcW w:w="8080" w:type="dxa"/>
            <w:tcMar>
              <w:top w:w="20" w:type="nil"/>
              <w:left w:w="20" w:type="nil"/>
              <w:bottom w:w="20" w:type="nil"/>
              <w:right w:w="20" w:type="nil"/>
            </w:tcMar>
          </w:tcPr>
          <w:p w:rsidR="008809DF" w:rsidRPr="008809DF" w:rsidRDefault="008809DF" w:rsidP="008809DF">
            <w:r w:rsidRPr="008809DF">
              <w:t>3. Particle agglutination</w:t>
            </w:r>
          </w:p>
        </w:tc>
      </w:tr>
      <w:tr w:rsidR="008809DF" w:rsidRPr="008809DF">
        <w:tblPrEx>
          <w:tblBorders>
            <w:top w:val="none" w:sz="0" w:space="0" w:color="auto"/>
          </w:tblBorders>
          <w:tblCellMar>
            <w:top w:w="0" w:type="dxa"/>
            <w:bottom w:w="0" w:type="dxa"/>
          </w:tblCellMar>
        </w:tblPrEx>
        <w:tc>
          <w:tcPr>
            <w:tcW w:w="6900" w:type="dxa"/>
            <w:tcMar>
              <w:top w:w="20" w:type="nil"/>
              <w:left w:w="20" w:type="nil"/>
              <w:bottom w:w="20" w:type="nil"/>
              <w:right w:w="20" w:type="nil"/>
            </w:tcMar>
          </w:tcPr>
          <w:p w:rsidR="008809DF" w:rsidRPr="008809DF" w:rsidRDefault="008809DF" w:rsidP="008809DF">
            <w:r w:rsidRPr="008809DF">
              <w:t>4. Neutralization tests</w:t>
            </w:r>
          </w:p>
        </w:tc>
        <w:tc>
          <w:tcPr>
            <w:tcW w:w="8080" w:type="dxa"/>
            <w:tcMar>
              <w:top w:w="20" w:type="nil"/>
              <w:left w:w="20" w:type="nil"/>
              <w:bottom w:w="20" w:type="nil"/>
              <w:right w:w="20" w:type="nil"/>
            </w:tcMar>
          </w:tcPr>
          <w:p w:rsidR="008809DF" w:rsidRPr="008809DF" w:rsidRDefault="008809DF" w:rsidP="008809DF">
            <w:r w:rsidRPr="008809DF">
              <w:t>4. Western Blot (WB)</w:t>
            </w:r>
          </w:p>
        </w:tc>
      </w:tr>
      <w:tr w:rsidR="008809DF" w:rsidRPr="008809DF">
        <w:tblPrEx>
          <w:tblBorders>
            <w:top w:val="none" w:sz="0" w:space="0" w:color="auto"/>
          </w:tblBorders>
          <w:tblCellMar>
            <w:top w:w="0" w:type="dxa"/>
            <w:bottom w:w="0" w:type="dxa"/>
          </w:tblCellMar>
        </w:tblPrEx>
        <w:tc>
          <w:tcPr>
            <w:tcW w:w="6900" w:type="dxa"/>
            <w:tcMar>
              <w:top w:w="20" w:type="nil"/>
              <w:left w:w="20" w:type="nil"/>
              <w:bottom w:w="20" w:type="nil"/>
              <w:right w:w="20" w:type="nil"/>
            </w:tcMar>
          </w:tcPr>
          <w:p w:rsidR="008809DF" w:rsidRPr="008809DF" w:rsidRDefault="008809DF" w:rsidP="008809DF">
            <w:r w:rsidRPr="008809DF">
              <w:t xml:space="preserve">5. Single Radial </w:t>
            </w:r>
            <w:proofErr w:type="spellStart"/>
            <w:r w:rsidRPr="008809DF">
              <w:t>Haemolysis</w:t>
            </w:r>
            <w:proofErr w:type="spellEnd"/>
          </w:p>
        </w:tc>
        <w:tc>
          <w:tcPr>
            <w:tcW w:w="8080" w:type="dxa"/>
            <w:tcMar>
              <w:top w:w="20" w:type="nil"/>
              <w:left w:w="20" w:type="nil"/>
              <w:bottom w:w="20" w:type="nil"/>
              <w:right w:w="20" w:type="nil"/>
            </w:tcMar>
          </w:tcPr>
          <w:p w:rsidR="008809DF" w:rsidRPr="008809DF" w:rsidRDefault="008809DF" w:rsidP="008809DF">
            <w:r w:rsidRPr="008809DF">
              <w:t xml:space="preserve">5. Recombinant </w:t>
            </w:r>
            <w:proofErr w:type="spellStart"/>
            <w:r w:rsidRPr="008809DF">
              <w:t>immunoblot</w:t>
            </w:r>
            <w:proofErr w:type="spellEnd"/>
            <w:r w:rsidRPr="008809DF">
              <w:t xml:space="preserve"> assay (RIBA), line immunoassay (</w:t>
            </w:r>
            <w:proofErr w:type="spellStart"/>
            <w:r w:rsidRPr="008809DF">
              <w:t>Liatek</w:t>
            </w:r>
            <w:proofErr w:type="spellEnd"/>
            <w:r w:rsidRPr="008809DF">
              <w:t>) etc.</w:t>
            </w:r>
          </w:p>
        </w:tc>
      </w:tr>
      <w:tr w:rsidR="008809DF" w:rsidRPr="008809DF">
        <w:tblPrEx>
          <w:tblCellMar>
            <w:top w:w="0" w:type="dxa"/>
            <w:bottom w:w="0" w:type="dxa"/>
          </w:tblCellMar>
        </w:tblPrEx>
        <w:tc>
          <w:tcPr>
            <w:tcW w:w="6900" w:type="dxa"/>
            <w:tcMar>
              <w:top w:w="20" w:type="nil"/>
              <w:left w:w="20" w:type="nil"/>
              <w:bottom w:w="20" w:type="nil"/>
              <w:right w:w="20" w:type="nil"/>
            </w:tcMar>
          </w:tcPr>
          <w:p w:rsidR="008809DF" w:rsidRPr="008809DF" w:rsidRDefault="008809DF" w:rsidP="008809DF">
            <w:r w:rsidRPr="008809DF">
              <w:t> </w:t>
            </w:r>
          </w:p>
        </w:tc>
        <w:tc>
          <w:tcPr>
            <w:tcW w:w="8080" w:type="dxa"/>
            <w:tcMar>
              <w:top w:w="20" w:type="nil"/>
              <w:left w:w="20" w:type="nil"/>
              <w:bottom w:w="20" w:type="nil"/>
              <w:right w:w="20" w:type="nil"/>
            </w:tcMar>
          </w:tcPr>
          <w:p w:rsidR="008809DF" w:rsidRPr="008809DF" w:rsidRDefault="008809DF" w:rsidP="008809DF">
            <w:r w:rsidRPr="008809DF">
              <w:t> </w:t>
            </w:r>
          </w:p>
        </w:tc>
      </w:tr>
    </w:tbl>
    <w:p w:rsidR="008809DF" w:rsidRPr="008809DF" w:rsidRDefault="008809DF" w:rsidP="008809DF"/>
    <w:p w:rsidR="008809DF" w:rsidRPr="008809DF" w:rsidRDefault="008809DF" w:rsidP="008809DF">
      <w:r w:rsidRPr="008809DF">
        <w:t>1. Direct Examination</w:t>
      </w:r>
    </w:p>
    <w:p w:rsidR="008809DF" w:rsidRPr="008809DF" w:rsidRDefault="008809DF" w:rsidP="008809DF">
      <w:r w:rsidRPr="008809DF">
        <w:t xml:space="preserve">Direct examination methods are often also called rapid diagnostic methods because they can usually give a result either within the same or the next day. This is extremely useful in cases when the clinical management of the patient depends greatly on the rapid availability of laboratory results e.g. diagnosis of RSV infection in neonates, or severe CMV infections in </w:t>
      </w:r>
      <w:proofErr w:type="spellStart"/>
      <w:r w:rsidRPr="008809DF">
        <w:t>immunocompromised</w:t>
      </w:r>
      <w:proofErr w:type="spellEnd"/>
      <w:r w:rsidRPr="008809DF">
        <w:t xml:space="preserve"> patients. However, it is important to realize that not </w:t>
      </w:r>
      <w:proofErr w:type="gramStart"/>
      <w:r w:rsidRPr="008809DF">
        <w:t>all direct</w:t>
      </w:r>
      <w:proofErr w:type="gramEnd"/>
      <w:r w:rsidRPr="008809DF">
        <w:t xml:space="preserve"> examination methods are rapid, and conversely, virus isolation and serological methods may sometimes give a rapid result. With the advent of effective antiviral chemotherapy, rapid diagnostic </w:t>
      </w:r>
      <w:r w:rsidRPr="008809DF">
        <w:lastRenderedPageBreak/>
        <w:t>methods are expected to play an increasingly important role in the diagnosis of viral infections.</w:t>
      </w:r>
    </w:p>
    <w:p w:rsidR="008809DF" w:rsidRPr="008809DF" w:rsidRDefault="008809DF" w:rsidP="008809DF">
      <w:r w:rsidRPr="008809DF">
        <w:t>1.1. Antigen Detection</w:t>
      </w:r>
    </w:p>
    <w:p w:rsidR="0065502F" w:rsidRPr="008809DF" w:rsidRDefault="008809DF" w:rsidP="008809DF">
      <w:r w:rsidRPr="008809DF">
        <w:t xml:space="preserve">Examples of antigen detection include immunofluorescence testing of nasopharyngeal aspirates for respiratory viruses e.g.. RSV, flu A, flu B, and adenoviruses, detection of rotavirus antigen in </w:t>
      </w:r>
      <w:proofErr w:type="spellStart"/>
      <w:r w:rsidRPr="008809DF">
        <w:t>faeces</w:t>
      </w:r>
      <w:proofErr w:type="spellEnd"/>
      <w:r w:rsidRPr="008809DF">
        <w:t xml:space="preserve">, the pp65 CMV </w:t>
      </w:r>
      <w:proofErr w:type="spellStart"/>
      <w:r w:rsidRPr="008809DF">
        <w:t>antigenaemia</w:t>
      </w:r>
      <w:proofErr w:type="spellEnd"/>
      <w:r w:rsidRPr="008809DF">
        <w:t xml:space="preserve"> test, the detection of HSV and VZV in skin </w:t>
      </w:r>
      <w:proofErr w:type="spellStart"/>
      <w:r w:rsidRPr="008809DF">
        <w:t>scrappings</w:t>
      </w:r>
      <w:proofErr w:type="spellEnd"/>
      <w:r w:rsidRPr="008809DF">
        <w:t xml:space="preserve">, and the detection of </w:t>
      </w:r>
      <w:proofErr w:type="spellStart"/>
      <w:r w:rsidRPr="008809DF">
        <w:t>HBsAg</w:t>
      </w:r>
      <w:proofErr w:type="spellEnd"/>
      <w:r w:rsidRPr="008809DF">
        <w:t xml:space="preserve"> in serum. (However, the latter is usually considered as a serological test). The main advantage of these assays is that they are rapid to perform with the result being available within a few hours. However, the technique is often tedious and time consuming, the result difficult to read and interpret, and the sensitivity and specificity poor. The quality of the specimen obtained is of utmost importance in order for the test to work proper</w:t>
      </w:r>
      <w:bookmarkStart w:id="0" w:name="_GoBack"/>
      <w:bookmarkEnd w:id="0"/>
      <w:r w:rsidRPr="008809DF">
        <w:t>ly.</w:t>
      </w:r>
    </w:p>
    <w:sectPr w:rsidR="0065502F" w:rsidRPr="008809DF" w:rsidSect="0065502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9DF"/>
    <w:rsid w:val="0065502F"/>
    <w:rsid w:val="008809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5D83B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577</Words>
  <Characters>3292</Characters>
  <Application>Microsoft Macintosh Word</Application>
  <DocSecurity>0</DocSecurity>
  <Lines>27</Lines>
  <Paragraphs>7</Paragraphs>
  <ScaleCrop>false</ScaleCrop>
  <Company/>
  <LinksUpToDate>false</LinksUpToDate>
  <CharactersWithSpaces>3862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Brendan Keating</dc:creator>
  <cp:keywords/>
  <dc:description/>
  <cp:lastModifiedBy>Brendan Keating</cp:lastModifiedBy>
  <cp:revision>1</cp:revision>
  <dcterms:created xsi:type="dcterms:W3CDTF">2015-04-18T17:04:00Z</dcterms:created>
  <dcterms:modified xsi:type="dcterms:W3CDTF">2015-04-18T17:06:00Z</dcterms:modified>
</cp:coreProperties>
</file>